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ADEDC9">
      <w:pPr>
        <w:rPr>
          <w:u w:val="single"/>
        </w:rPr>
      </w:pPr>
      <w:r>
        <w:rPr>
          <w:u w:val="single"/>
        </w:rPr>
        <w:t>Enerji Piyasası Düzenleme Kurumundan:</w:t>
      </w:r>
    </w:p>
    <w:p w14:paraId="23E8A4B1">
      <w:pPr>
        <w:jc w:val="center"/>
        <w:rPr>
          <w:b/>
          <w:bCs/>
        </w:rPr>
      </w:pPr>
    </w:p>
    <w:p w14:paraId="1F4BFAB9">
      <w:pPr>
        <w:jc w:val="center"/>
        <w:rPr>
          <w:b/>
          <w:bCs/>
        </w:rPr>
      </w:pPr>
      <w:r>
        <w:rPr>
          <w:b/>
          <w:bCs/>
        </w:rPr>
        <w:t>ŞARJ HİZMETİ YÖNETMELİĞİNDE DEĞİŞİKLİK YAPILMASINA DAİR YÖNETMELİK</w:t>
      </w:r>
    </w:p>
    <w:p w14:paraId="40DE47D3">
      <w:pPr>
        <w:jc w:val="both"/>
        <w:rPr>
          <w:b/>
          <w:bCs/>
          <w:sz w:val="22"/>
          <w:szCs w:val="22"/>
        </w:rPr>
      </w:pPr>
    </w:p>
    <w:p w14:paraId="2A764178">
      <w:pPr>
        <w:ind w:firstLine="567"/>
        <w:jc w:val="both"/>
        <w:rPr>
          <w:color w:val="000000"/>
        </w:rPr>
      </w:pPr>
      <w:r>
        <w:rPr>
          <w:b/>
          <w:bCs/>
          <w:color w:val="000000"/>
        </w:rPr>
        <w:t xml:space="preserve">MADDE 1- </w:t>
      </w:r>
      <w:r>
        <w:rPr>
          <w:color w:val="000000"/>
        </w:rPr>
        <w:t xml:space="preserve">2/4/2022 tarihli ve 31797 sayılı Resmî Gazete’de yayımlanan </w:t>
      </w:r>
      <w:bookmarkStart w:id="0" w:name="_GoBack"/>
      <w:r>
        <w:rPr>
          <w:color w:val="000000"/>
        </w:rPr>
        <w:t>Şarj Hizmeti Yönetmeliği</w:t>
      </w:r>
      <w:bookmarkEnd w:id="0"/>
      <w:r>
        <w:rPr>
          <w:color w:val="000000"/>
        </w:rPr>
        <w:t>nin 1 inci maddesinin ikinci fıkrası aşağıdaki şekilde değiştirilmiştir.</w:t>
      </w:r>
    </w:p>
    <w:p w14:paraId="15BA6DF1">
      <w:pPr>
        <w:pStyle w:val="8"/>
        <w:spacing w:before="0" w:beforeAutospacing="0" w:after="0" w:afterAutospacing="0"/>
        <w:ind w:firstLine="566"/>
        <w:jc w:val="both"/>
      </w:pPr>
      <w:r>
        <w:rPr>
          <w:color w:val="000000"/>
        </w:rPr>
        <w:t>“(2) Bu Yönetmelik; şarj ünitesi ve şarj istasyonlarının kurulması ve işletilmesi, mobil şarj istasyonlarının işletilmesi, şarj ağının oluşturulması, şarj ağı işletmecilerinin lisanslandırılması ve faaliyetlerinin düzenlenmesi, şarj ağı işletmecileri ve şarj istasyonu işletmecileri ile kullanıcıların hak ve yükümlülükleri, serbest erişim platformunun kurulması ve işletilmesine ilişkin usul ve esasları kapsar.”</w:t>
      </w:r>
    </w:p>
    <w:p w14:paraId="2C1865C2">
      <w:pPr>
        <w:ind w:firstLine="708"/>
        <w:jc w:val="both"/>
        <w:rPr>
          <w:color w:val="000000"/>
          <w:sz w:val="22"/>
          <w:szCs w:val="22"/>
        </w:rPr>
      </w:pPr>
    </w:p>
    <w:p w14:paraId="3F048796">
      <w:pPr>
        <w:ind w:firstLine="567"/>
        <w:jc w:val="both"/>
        <w:rPr>
          <w:color w:val="000000"/>
        </w:rPr>
      </w:pPr>
      <w:r>
        <w:rPr>
          <w:b/>
          <w:bCs/>
          <w:color w:val="000000"/>
        </w:rPr>
        <w:t xml:space="preserve">MADDE 2- </w:t>
      </w:r>
      <w:r>
        <w:rPr>
          <w:color w:val="000000"/>
        </w:rPr>
        <w:t>Aynı Yönetmeliğin 3 üncü maddesinin birinci fıkrasının (a) bendinde yer alan</w:t>
      </w:r>
      <w:r>
        <w:rPr>
          <w:b/>
          <w:bCs/>
          <w:color w:val="000000"/>
        </w:rPr>
        <w:t xml:space="preserve"> </w:t>
      </w:r>
      <w:r>
        <w:rPr>
          <w:color w:val="000000"/>
        </w:rPr>
        <w:t>“Cumhurbaşkanlığı Dijital Dönüşüm Ofisi tarafından” ibaresi yürürlükten kaldırılmış ve aynı fıkraya aşağıdaki bentler eklenmiştir.</w:t>
      </w:r>
    </w:p>
    <w:p w14:paraId="2BD2639B">
      <w:pPr>
        <w:ind w:firstLine="567"/>
        <w:jc w:val="both"/>
        <w:rPr>
          <w:color w:val="000000"/>
        </w:rPr>
      </w:pPr>
      <w:r>
        <w:rPr>
          <w:color w:val="000000"/>
        </w:rPr>
        <w:t xml:space="preserve">“ü) Akıllı şarj sistemleri: Elektrikli araçtan veya elektrik şebekesinden elektronik iletişim yoluyla şarj istasyonuna iletilen bilgilere dayanarak şarj ünitesinden elektrikli araca aktarılan enerji miktarının gerçek zamanlı olarak izlenmesine, kontrol edilmesine ve ayarlanmasına olanak veren sistemleri, </w:t>
      </w:r>
    </w:p>
    <w:p w14:paraId="4143EA2E">
      <w:pPr>
        <w:ind w:firstLine="567"/>
        <w:jc w:val="both"/>
        <w:rPr>
          <w:color w:val="000000"/>
        </w:rPr>
      </w:pPr>
      <w:r>
        <w:rPr>
          <w:color w:val="000000"/>
        </w:rPr>
        <w:t>v) EPİAŞ: Enerji Piyasaları İşletme Anonim Şirketini,</w:t>
      </w:r>
    </w:p>
    <w:p w14:paraId="657BBB61">
      <w:pPr>
        <w:ind w:firstLine="567"/>
        <w:jc w:val="both"/>
        <w:rPr>
          <w:color w:val="000000"/>
        </w:rPr>
      </w:pPr>
      <w:r>
        <w:rPr>
          <w:color w:val="000000"/>
        </w:rPr>
        <w:t>y)  Mobil şarj istasyonu: Sabit bir elektrik tesisatına bağlı olmayan şarj istasyonunu,</w:t>
      </w:r>
    </w:p>
    <w:p w14:paraId="56D05BD1">
      <w:pPr>
        <w:ind w:firstLine="567"/>
        <w:jc w:val="both"/>
        <w:rPr>
          <w:color w:val="000000"/>
        </w:rPr>
      </w:pPr>
      <w:r>
        <w:rPr>
          <w:color w:val="000000"/>
        </w:rPr>
        <w:t>z) Ortak dolaşım (Roaming) sözleşmesi: Şarj ağı işletmecilerinin, birbirlerinin kullanıcılarına doğrudan hizmet sağlaması amacıyla birbirleriyle yaptıkları veri ve ödeme alışverişini de kapsayan sözleşmeleri,</w:t>
      </w:r>
    </w:p>
    <w:p w14:paraId="125F4A21">
      <w:pPr>
        <w:ind w:firstLine="567"/>
        <w:jc w:val="both"/>
        <w:rPr>
          <w:color w:val="000000"/>
        </w:rPr>
      </w:pPr>
      <w:r>
        <w:rPr>
          <w:color w:val="000000"/>
        </w:rPr>
        <w:t>aa) Şarj noktası (soketi): Şarj ünitesinden elektrikli araca enerji aktarımını sağlamak üzere bir şarj kablosuyla tümleşik olan veya bu kablonun bağlanması amaçlanan şarj ünitesinde bir veya birden fazla bulunabilen bağlantı ekipmanını,”</w:t>
      </w:r>
    </w:p>
    <w:p w14:paraId="6CAB885C">
      <w:pPr>
        <w:ind w:firstLine="567"/>
        <w:jc w:val="both"/>
        <w:rPr>
          <w:color w:val="000000"/>
          <w:sz w:val="22"/>
          <w:szCs w:val="22"/>
        </w:rPr>
      </w:pPr>
    </w:p>
    <w:p w14:paraId="0B9B305B">
      <w:pPr>
        <w:ind w:firstLine="566"/>
        <w:jc w:val="both"/>
        <w:rPr>
          <w:color w:val="000000"/>
        </w:rPr>
      </w:pPr>
      <w:r>
        <w:rPr>
          <w:b/>
          <w:bCs/>
          <w:color w:val="000000"/>
        </w:rPr>
        <w:t xml:space="preserve">MADDE 3- </w:t>
      </w:r>
      <w:r>
        <w:rPr>
          <w:color w:val="000000"/>
        </w:rPr>
        <w:t>Aynı Yönetmeliğin 5 inci maddesi aşağıdaki şekilde değiştirilmiştir.</w:t>
      </w:r>
    </w:p>
    <w:p w14:paraId="5B9ABB25">
      <w:pPr>
        <w:ind w:firstLine="566"/>
        <w:jc w:val="both"/>
        <w:rPr>
          <w:color w:val="000000"/>
        </w:rPr>
      </w:pPr>
      <w:r>
        <w:rPr>
          <w:color w:val="000000"/>
        </w:rPr>
        <w:t>“MADDE 5-</w:t>
      </w:r>
      <w:r>
        <w:t>(1) Her ne ad altında veya yöntemle olursa olsun ticari faaliyet göstermeyen özel şarj istasyonlarının ve kullanıcıların yalnızca kendi ihtiyacı için kurduğu ya da kurdurduğu şarj ünitelerinin bir şarj ağına bağlanmaları zorunlu değildir.”</w:t>
      </w:r>
    </w:p>
    <w:p w14:paraId="5A0A5B19">
      <w:pPr>
        <w:ind w:firstLine="566"/>
        <w:jc w:val="both"/>
        <w:rPr>
          <w:color w:val="000000"/>
          <w:sz w:val="22"/>
          <w:szCs w:val="22"/>
        </w:rPr>
      </w:pPr>
    </w:p>
    <w:p w14:paraId="5A55B40F">
      <w:pPr>
        <w:ind w:firstLine="566"/>
        <w:jc w:val="both"/>
        <w:rPr>
          <w:color w:val="000000"/>
        </w:rPr>
      </w:pPr>
      <w:r>
        <w:rPr>
          <w:b/>
          <w:bCs/>
          <w:color w:val="000000"/>
        </w:rPr>
        <w:t xml:space="preserve">MADDE 4- </w:t>
      </w:r>
      <w:r>
        <w:rPr>
          <w:color w:val="000000"/>
        </w:rPr>
        <w:t>Aynı Yönetmeliğin 8 inci maddesinin ikinci fıkrasına “lisans süresi” ibaresinden sonra gelmek üzere “Resmî Gazete’de yayımlanır ve” ibaresi eklenmiştir.</w:t>
      </w:r>
    </w:p>
    <w:p w14:paraId="24E98575">
      <w:pPr>
        <w:ind w:firstLine="566"/>
        <w:jc w:val="both"/>
        <w:rPr>
          <w:color w:val="000000"/>
          <w:sz w:val="22"/>
          <w:szCs w:val="22"/>
        </w:rPr>
      </w:pPr>
    </w:p>
    <w:p w14:paraId="2DB1A376">
      <w:pPr>
        <w:ind w:firstLine="566"/>
        <w:jc w:val="both"/>
        <w:rPr>
          <w:color w:val="000000"/>
        </w:rPr>
      </w:pPr>
      <w:r>
        <w:rPr>
          <w:b/>
          <w:bCs/>
          <w:color w:val="000000"/>
        </w:rPr>
        <w:t>MADDE 5-</w:t>
      </w:r>
      <w:r>
        <w:rPr>
          <w:color w:val="000000"/>
        </w:rPr>
        <w:t xml:space="preserve"> Aynı Yönetmeliğin 11 inci maddesinin ikinci fıkrasının son cümlesi yürürlükten kaldırılmıştır.</w:t>
      </w:r>
    </w:p>
    <w:p w14:paraId="12D8A410">
      <w:pPr>
        <w:ind w:firstLine="566"/>
        <w:jc w:val="both"/>
        <w:rPr>
          <w:color w:val="000000"/>
          <w:sz w:val="22"/>
          <w:szCs w:val="22"/>
        </w:rPr>
      </w:pPr>
    </w:p>
    <w:p w14:paraId="1C1AA426">
      <w:pPr>
        <w:ind w:firstLine="566"/>
        <w:jc w:val="both"/>
        <w:rPr>
          <w:color w:val="000000"/>
        </w:rPr>
      </w:pPr>
      <w:r>
        <w:rPr>
          <w:b/>
          <w:bCs/>
          <w:color w:val="000000"/>
        </w:rPr>
        <w:t xml:space="preserve">MADDE 6- </w:t>
      </w:r>
      <w:r>
        <w:rPr>
          <w:color w:val="000000"/>
        </w:rPr>
        <w:t>Aynı Yönetmeliğin 14 üncü maddesinin birinci fıkrasına aşağıdaki cümle eklenmiştir.</w:t>
      </w:r>
    </w:p>
    <w:p w14:paraId="45181155">
      <w:pPr>
        <w:jc w:val="both"/>
        <w:rPr>
          <w:color w:val="000000"/>
        </w:rPr>
      </w:pPr>
      <w:r>
        <w:rPr>
          <w:color w:val="000000"/>
        </w:rPr>
        <w:t xml:space="preserve">“Lisansı sona eren veya iptal edilen tüzel kişiye ait ticaret ünvanı, tescilli markası ve lisans sonlanma tarihi Resmî Gazete’de yayımlanır ve Kurumun internet sayfasında duyurulur.” </w:t>
      </w:r>
    </w:p>
    <w:p w14:paraId="475DC750">
      <w:pPr>
        <w:ind w:firstLine="566"/>
        <w:jc w:val="both"/>
        <w:rPr>
          <w:color w:val="000000"/>
          <w:sz w:val="22"/>
          <w:szCs w:val="22"/>
        </w:rPr>
      </w:pPr>
    </w:p>
    <w:p w14:paraId="73B4354E">
      <w:pPr>
        <w:ind w:firstLine="566"/>
        <w:jc w:val="both"/>
        <w:rPr>
          <w:b/>
          <w:bCs/>
          <w:color w:val="000000"/>
        </w:rPr>
      </w:pPr>
      <w:r>
        <w:rPr>
          <w:b/>
          <w:bCs/>
          <w:color w:val="000000"/>
        </w:rPr>
        <w:t>MADDE 7-</w:t>
      </w:r>
      <w:r>
        <w:rPr>
          <w:color w:val="000000"/>
        </w:rPr>
        <w:t>Aynı Yönetmeliğin 15 inci maddesinin birinci fıkrası aşağıdaki şekilde değiştirilmiş, ikinci fıkrasına “şarj ağında yer alan” ibaresinden sonra gelmek üzere “halka açık” ibaresi eklenmiş ve aynı maddeye aşağıdaki fıkra eklenmiştir.</w:t>
      </w:r>
    </w:p>
    <w:p w14:paraId="636DEB18">
      <w:pPr>
        <w:pStyle w:val="8"/>
        <w:spacing w:before="0" w:beforeAutospacing="0" w:after="0" w:afterAutospacing="0"/>
        <w:ind w:firstLine="567"/>
        <w:jc w:val="both"/>
      </w:pPr>
      <w:r>
        <w:rPr>
          <w:color w:val="000000"/>
        </w:rPr>
        <w:t>“(1) Şarj ağı, şarj ağı işletmecisinin işlettiği ve şarj ağı işletmecisi tarafından düzenlenen sertifikalar kapsamında şarj hizmetinin sunulması maksadı ile işletilen yazılım ve donanım desteği ile birden fazla şarj istasyonu arasında bağlantı kuran halka açık ve ticari faaliyet yürütülen özel şarj istasyonları ile mobil şarj istasyonlarından oluşur</w:t>
      </w:r>
      <w:r>
        <w:t>.”</w:t>
      </w:r>
    </w:p>
    <w:p w14:paraId="0AE0D801">
      <w:pPr>
        <w:pStyle w:val="8"/>
        <w:spacing w:before="0" w:beforeAutospacing="0" w:after="0" w:afterAutospacing="0"/>
        <w:ind w:firstLine="567"/>
        <w:jc w:val="both"/>
        <w:rPr>
          <w:color w:val="000000"/>
        </w:rPr>
      </w:pPr>
    </w:p>
    <w:p w14:paraId="6ECB617F">
      <w:pPr>
        <w:pStyle w:val="8"/>
        <w:spacing w:before="0" w:beforeAutospacing="0" w:after="0" w:afterAutospacing="0"/>
        <w:ind w:firstLine="567"/>
        <w:jc w:val="both"/>
      </w:pPr>
      <w:r>
        <w:t>“(6) Mobil şarj istasyonlarında yer alan şarj noktaları, bu madde çerçevesinde şarj ağının asgari oluşma yükümlülükleri kapsamında değerlendirilir.”</w:t>
      </w:r>
    </w:p>
    <w:p w14:paraId="38C8FCE8">
      <w:pPr>
        <w:pStyle w:val="8"/>
        <w:spacing w:before="0" w:beforeAutospacing="0" w:after="0" w:afterAutospacing="0"/>
        <w:jc w:val="both"/>
        <w:rPr>
          <w:b/>
          <w:bCs/>
          <w:color w:val="000000"/>
        </w:rPr>
      </w:pPr>
    </w:p>
    <w:p w14:paraId="119B270D">
      <w:pPr>
        <w:ind w:firstLine="567"/>
        <w:jc w:val="both"/>
        <w:rPr>
          <w:color w:val="000000"/>
        </w:rPr>
      </w:pPr>
      <w:r>
        <w:rPr>
          <w:b/>
          <w:bCs/>
          <w:color w:val="000000"/>
        </w:rPr>
        <w:t>MADDE 8-</w:t>
      </w:r>
      <w:r>
        <w:t>Aynı Yönetmeliğin 16 ncı maddesinin birinci fıkrasının (a) bendi aşağıdaki şekilde değiştirilmiş ve aynı f</w:t>
      </w:r>
      <w:r>
        <w:rPr>
          <w:color w:val="000000"/>
        </w:rPr>
        <w:t>ıkraya aşağıdaki bentler eklenmiştir.</w:t>
      </w:r>
    </w:p>
    <w:p w14:paraId="0835DE3D">
      <w:pPr>
        <w:jc w:val="both"/>
        <w:rPr>
          <w:color w:val="000000"/>
        </w:rPr>
      </w:pPr>
      <w:r>
        <w:rPr>
          <w:color w:val="000000"/>
        </w:rPr>
        <w:t xml:space="preserve">       “a) Ülke genelinde şarj ağını kullanıma açarak şarj hizmeti sunma ve şarj ağı işletme yetkisine sahip olma,”</w:t>
      </w:r>
    </w:p>
    <w:p w14:paraId="159B8CB3">
      <w:pPr>
        <w:pStyle w:val="8"/>
        <w:spacing w:before="0" w:beforeAutospacing="0" w:after="0" w:afterAutospacing="0"/>
        <w:jc w:val="both"/>
        <w:rPr>
          <w:color w:val="000000"/>
        </w:rPr>
      </w:pPr>
      <w:r>
        <w:rPr>
          <w:color w:val="000000"/>
        </w:rPr>
        <w:t xml:space="preserve">        “f) Ortak dolaşım sözleşmesi yapabilme, </w:t>
      </w:r>
    </w:p>
    <w:p w14:paraId="0B716DE5">
      <w:pPr>
        <w:pStyle w:val="8"/>
        <w:spacing w:before="0" w:beforeAutospacing="0" w:after="0" w:afterAutospacing="0"/>
        <w:ind w:firstLine="567"/>
        <w:jc w:val="both"/>
        <w:rPr>
          <w:color w:val="000000"/>
        </w:rPr>
      </w:pPr>
      <w:r>
        <w:rPr>
          <w:color w:val="000000"/>
        </w:rPr>
        <w:t>g) Kullanıcıya şarj hizmeti faturası düzenleme ve kullanıcıdan şarj hizmeti bedelini tahsil etme,</w:t>
      </w:r>
    </w:p>
    <w:p w14:paraId="1991ACE1">
      <w:pPr>
        <w:ind w:firstLine="567"/>
        <w:jc w:val="both"/>
        <w:rPr>
          <w:color w:val="000000"/>
        </w:rPr>
      </w:pPr>
      <w:r>
        <w:rPr>
          <w:color w:val="000000"/>
        </w:rPr>
        <w:t>ğ) Mobil şarj istasyonu işletebilme,”</w:t>
      </w:r>
    </w:p>
    <w:p w14:paraId="04A2008B">
      <w:pPr>
        <w:ind w:firstLine="567"/>
        <w:jc w:val="both"/>
        <w:rPr>
          <w:color w:val="000000"/>
        </w:rPr>
      </w:pPr>
    </w:p>
    <w:p w14:paraId="55FB8EF0">
      <w:pPr>
        <w:ind w:firstLine="566"/>
        <w:jc w:val="both"/>
        <w:rPr>
          <w:color w:val="000000"/>
        </w:rPr>
      </w:pPr>
      <w:r>
        <w:rPr>
          <w:b/>
          <w:bCs/>
          <w:color w:val="000000"/>
        </w:rPr>
        <w:t>MADDE 9-</w:t>
      </w:r>
      <w:r>
        <w:rPr>
          <w:color w:val="000000"/>
        </w:rPr>
        <w:t xml:space="preserve"> Aynı Yönetmeliğin 16 ncı maddesinin ikinci fıkrasına aşağıdaki bent eklenmiştir.</w:t>
      </w:r>
    </w:p>
    <w:p w14:paraId="2EA7811A">
      <w:pPr>
        <w:ind w:firstLine="567"/>
        <w:jc w:val="both"/>
      </w:pPr>
      <w:r>
        <w:rPr>
          <w:color w:val="000000"/>
        </w:rPr>
        <w:t>“</w:t>
      </w:r>
      <w:r>
        <w:t>l) Yaptıkları ortak dolaşım sözleşmelerinin imzalanmasını müteakiben 30 gün içerisinde Kuruma bildirmek,”</w:t>
      </w:r>
    </w:p>
    <w:p w14:paraId="6B109C35">
      <w:pPr>
        <w:ind w:firstLine="567"/>
        <w:jc w:val="both"/>
        <w:rPr>
          <w:color w:val="000000"/>
        </w:rPr>
      </w:pPr>
    </w:p>
    <w:p w14:paraId="77458E51">
      <w:pPr>
        <w:ind w:firstLine="566"/>
        <w:jc w:val="both"/>
        <w:rPr>
          <w:color w:val="000000"/>
        </w:rPr>
      </w:pPr>
      <w:r>
        <w:rPr>
          <w:b/>
          <w:bCs/>
          <w:color w:val="000000"/>
        </w:rPr>
        <w:t xml:space="preserve">MADDE 10- </w:t>
      </w:r>
      <w:r>
        <w:rPr>
          <w:color w:val="000000"/>
        </w:rPr>
        <w:t>Aynı Yönetmeliğin 16/A maddesine aşağıdaki fıkra eklenmiştir.</w:t>
      </w:r>
    </w:p>
    <w:p w14:paraId="4271BD60">
      <w:pPr>
        <w:ind w:firstLine="567"/>
        <w:jc w:val="both"/>
      </w:pPr>
      <w:r>
        <w:t>“(4) Yeşil şarj istasyonlarına sahip ve ikinci fıkra kapsamındaki itfa işlemlerini gerçekleştirmiş şarj ağı işletmecileri ile markaları her ay sonunda EPİAŞ tarafından kendi internet sitesinde yayımlanır ve Kuruma bildirilir.”</w:t>
      </w:r>
    </w:p>
    <w:p w14:paraId="207AE0C5">
      <w:pPr>
        <w:ind w:firstLine="567"/>
        <w:jc w:val="both"/>
        <w:rPr>
          <w:b/>
          <w:bCs/>
          <w:color w:val="000000"/>
        </w:rPr>
      </w:pPr>
    </w:p>
    <w:p w14:paraId="250DB7B1">
      <w:pPr>
        <w:pStyle w:val="8"/>
        <w:spacing w:before="0" w:beforeAutospacing="0" w:after="0" w:afterAutospacing="0"/>
        <w:ind w:firstLine="567"/>
        <w:jc w:val="both"/>
        <w:rPr>
          <w:color w:val="000000"/>
        </w:rPr>
      </w:pPr>
      <w:r>
        <w:rPr>
          <w:b/>
          <w:bCs/>
          <w:color w:val="000000"/>
        </w:rPr>
        <w:t>MADDE 11-</w:t>
      </w:r>
      <w:r>
        <w:rPr>
          <w:color w:val="000000"/>
        </w:rPr>
        <w:t>Aynı Yönetmeliğin 17 nci maddesinin başlığı “Şarj ağının genişletilmesi, daraltılması ve mobil şarj istasyonu” şeklinde değiştirilmiş, birinci ve ikinci fıkraları aşağıdaki şekilde değiştirilmiş ve aynı maddeye aşağıdaki fıkralar eklenmiştir.</w:t>
      </w:r>
    </w:p>
    <w:p w14:paraId="1A4CB7C7">
      <w:pPr>
        <w:pStyle w:val="8"/>
        <w:spacing w:before="0" w:beforeAutospacing="0" w:after="0" w:afterAutospacing="0"/>
        <w:ind w:firstLine="567"/>
        <w:jc w:val="both"/>
        <w:rPr>
          <w:color w:val="000000"/>
        </w:rPr>
      </w:pPr>
    </w:p>
    <w:p w14:paraId="0C3302CC">
      <w:pPr>
        <w:pStyle w:val="8"/>
        <w:spacing w:before="0" w:beforeAutospacing="0" w:after="0" w:afterAutospacing="0"/>
        <w:ind w:firstLine="566"/>
        <w:jc w:val="both"/>
        <w:rPr>
          <w:color w:val="000000"/>
        </w:rPr>
      </w:pPr>
      <w:r>
        <w:rPr>
          <w:color w:val="000000"/>
        </w:rPr>
        <w:t>“(1) Şarj ağı işletmecisi, şarj ağına yeni bir şarj istasyonu eklemek isterse Kurum tarafından belirlenen formatta elektronik ortamda Kuruma başvurur. Başvuruda, şarj ağına eklenmek istenen şarj istasyonuna ilişkin coğrafi konum, şarj ünitesi ve soket sayıları, sertifika bilgileri, şarj ünitesi tipleri ve güçleri ile ilgili bilgiler ve şarj istasyonunun iletim ve dağıtım sistemine bağlantısına ilişkin 22 nci madde kapsamında ilgili şebeke işletmecisi tarafından verilen belge Kuruma sunulur. Kurum gerekli görmesi halinde ilave bilgi ve belge talep edebilir.</w:t>
      </w:r>
    </w:p>
    <w:p w14:paraId="1BFEF3C0">
      <w:pPr>
        <w:pStyle w:val="8"/>
        <w:spacing w:before="0" w:beforeAutospacing="0" w:after="0" w:afterAutospacing="0"/>
        <w:ind w:firstLine="566"/>
        <w:jc w:val="both"/>
      </w:pPr>
    </w:p>
    <w:p w14:paraId="1ED9C39A">
      <w:pPr>
        <w:pStyle w:val="8"/>
        <w:spacing w:before="0" w:beforeAutospacing="0" w:after="0" w:afterAutospacing="0"/>
        <w:ind w:firstLine="566"/>
        <w:jc w:val="both"/>
        <w:rPr>
          <w:color w:val="000000"/>
        </w:rPr>
      </w:pPr>
      <w:r>
        <w:t xml:space="preserve">(2) Birinci </w:t>
      </w:r>
      <w:r>
        <w:rPr>
          <w:color w:val="000000"/>
        </w:rPr>
        <w:t>fıkra kapsamında yapılan başvuru, Kurum tarafından on iş günü içerisinde sonuçlandırılır. Başvuru sonucu, elektronik ortamda şarj ağı işletmecisine bildirilir. Başvurunun Kurum tarafından uygun bulunması halinde şarj istasyonu numaralandırılır, şarj ağı işletmecisinin ağına eklenir ve halka açık şarj istasyonu serbest erişim platformunda her bir istasyon için soket ve güç bazlı olarak yayımlanır.”</w:t>
      </w:r>
    </w:p>
    <w:p w14:paraId="23319CED">
      <w:pPr>
        <w:ind w:firstLine="566"/>
        <w:jc w:val="both"/>
        <w:rPr>
          <w:b/>
          <w:bCs/>
          <w:color w:val="000000"/>
        </w:rPr>
      </w:pPr>
    </w:p>
    <w:p w14:paraId="4AD365DB">
      <w:pPr>
        <w:pStyle w:val="8"/>
        <w:spacing w:before="0" w:beforeAutospacing="0" w:after="0" w:afterAutospacing="0"/>
        <w:ind w:firstLine="566"/>
        <w:jc w:val="both"/>
        <w:rPr>
          <w:color w:val="000000"/>
        </w:rPr>
      </w:pPr>
      <w:r>
        <w:rPr>
          <w:color w:val="000000"/>
        </w:rPr>
        <w:t>“(6) Şarj ağı işletmecisi, şarj ağından bir şarj istasyonunu başka bir şarj ağı işletmecisine devrettiğinde devreden ve devralan şarj ağı işletmecileri bu devir işlemini Kurum tarafından belirlenen formatta elektronik ortamda Kuruma bildirirler. Kurum tarafından bu bildirimlerin onaylanması sonrasında şarj istasyonunu devreden ile devralan şarj ağı işletmecileri tarafından ilgili şebeke işletmecisine bildirimde bulunulur. İlgili şebeke işletmecisi tarafından şarj istasyonunu devreden şarj ağı işletmecinin şarj istasyonu olumlu görüş belgesi iptal edilerek, şarj istasyonunu devralan şarj ağı işletmecisi için bu belge düzenlenir.</w:t>
      </w:r>
    </w:p>
    <w:p w14:paraId="2AF76FA8">
      <w:pPr>
        <w:ind w:firstLine="566"/>
        <w:jc w:val="both"/>
        <w:rPr>
          <w:color w:val="000000"/>
        </w:rPr>
      </w:pPr>
      <w:r>
        <w:rPr>
          <w:color w:val="000000"/>
        </w:rPr>
        <w:t>(7) Şarj ağı işletmecisi mobil şarj istasyonu işletmek istemesi halinde Kurum tarafından belirlenen formatta Kuruma bildirimde bulunur. Bildirimde faaliyet gösterilecek il veya iller, şarj ünitesi ve soket sayıları, şarj ünitesi tipleri ve güçleri ile ilgili bilgiler yer alır.”</w:t>
      </w:r>
    </w:p>
    <w:p w14:paraId="7183457D">
      <w:pPr>
        <w:ind w:firstLine="566"/>
        <w:jc w:val="both"/>
        <w:rPr>
          <w:b/>
          <w:bCs/>
          <w:color w:val="000000"/>
        </w:rPr>
      </w:pPr>
    </w:p>
    <w:p w14:paraId="540DB4DC">
      <w:pPr>
        <w:ind w:firstLine="566"/>
        <w:jc w:val="both"/>
        <w:rPr>
          <w:color w:val="000000"/>
        </w:rPr>
      </w:pPr>
      <w:r>
        <w:rPr>
          <w:b/>
          <w:bCs/>
          <w:color w:val="000000"/>
        </w:rPr>
        <w:t xml:space="preserve">MADDE 12- </w:t>
      </w:r>
      <w:r>
        <w:rPr>
          <w:color w:val="000000"/>
        </w:rPr>
        <w:t>Aynı Yönetmeliğin 18 inci maddesinin ikinci fıkrası aşağıdaki şekilde değiştirilmiştir.</w:t>
      </w:r>
    </w:p>
    <w:p w14:paraId="2CE03DDB">
      <w:pPr>
        <w:ind w:firstLine="566"/>
        <w:jc w:val="both"/>
        <w:rPr>
          <w:color w:val="000000"/>
        </w:rPr>
      </w:pPr>
      <w:r>
        <w:rPr>
          <w:color w:val="000000"/>
        </w:rPr>
        <w:t>“(2) Şarj ağı işletmecisi, lisansı kapsamında gerçekleştirilen iş ve işlemler ile elde edilen verileri yürürlükteki mevzuat uyarınca muhafaza eder ve bu verilere ve şarj ağı işletim sistemine Kurum ve Kurum tarafından yetkilendirilmiş ilgili diğer kamu kurum ve kuruluşları haricindeki yetkisiz kişilerin erişimlerini engelleyecek güvenlik önlemlerini alır ve uygular. Bilgi güvenliğine ilişkin alınacak önlemler kapsamında Bilgi ve İletişim Güvenliği Rehberi referans kaynak olarak dikkate alınır. Şarj ağı işletmecisi tarafından şarj hizmeti sunulması kapsamında kullanılan yazılım sistemlerinin, şarj cihazları ve bu sistemlere uzaktan erişimlere ilişkin süreçlere ait bilişim sitemleri altyapısının TS ISO/IEC 27001 standardının güncel sürümüne uygun olması gerekir. Bu kapsamda; yetkisiz erişimlerin önlenmesi, güvenli iletişim kanallarının kullanılması, kimlik doğrulama ve erişim yetkilendirmesi ile kullanılıyorsa bulut bilişim güvenliğine ilişkin tedbirlerin alınması esastır. Kuruma veri aktarımında, Kurum tarafından belirlenen veri iletişim protokolleri ve yöntemleri kullanılır.”</w:t>
      </w:r>
    </w:p>
    <w:p w14:paraId="31B1BD8C">
      <w:pPr>
        <w:ind w:firstLine="566"/>
        <w:jc w:val="both"/>
        <w:rPr>
          <w:color w:val="000000"/>
        </w:rPr>
      </w:pPr>
    </w:p>
    <w:p w14:paraId="0AC1662D">
      <w:pPr>
        <w:ind w:firstLine="566"/>
        <w:jc w:val="both"/>
        <w:rPr>
          <w:b/>
          <w:bCs/>
          <w:color w:val="000000"/>
        </w:rPr>
      </w:pPr>
      <w:r>
        <w:rPr>
          <w:b/>
          <w:bCs/>
          <w:color w:val="000000"/>
        </w:rPr>
        <w:t xml:space="preserve">MADDE 13- </w:t>
      </w:r>
      <w:r>
        <w:rPr>
          <w:color w:val="000000"/>
        </w:rPr>
        <w:t>Aynı Yönetmeliğin 19 uncu maddesine aşağıdaki fıkralar eklenmiştir.</w:t>
      </w:r>
    </w:p>
    <w:p w14:paraId="3879764F">
      <w:pPr>
        <w:pStyle w:val="8"/>
        <w:spacing w:before="0" w:beforeAutospacing="0" w:after="0" w:afterAutospacing="0"/>
        <w:ind w:firstLine="566"/>
        <w:jc w:val="both"/>
        <w:rPr>
          <w:color w:val="000000"/>
        </w:rPr>
      </w:pPr>
      <w:r>
        <w:rPr>
          <w:b/>
          <w:bCs/>
          <w:color w:val="000000"/>
        </w:rPr>
        <w:t>“</w:t>
      </w:r>
      <w:r>
        <w:rPr>
          <w:color w:val="000000"/>
        </w:rPr>
        <w:t>(5) Şarj istasyonlarında toplam gücün verimli ve etkin kullanımı amacıyla akıllı şarj sistemleri uygulaması yapılabilir. Akıllı şarj sistemlerinin uygulandığı şarj istasyonlarında, anlık uygulanan güce ilişkin gerekli bilgilendirmeler, ilgili şarj ağı işletmecisi tarafından kullanıcılara sağlanır.</w:t>
      </w:r>
    </w:p>
    <w:p w14:paraId="26BC83C0">
      <w:pPr>
        <w:pStyle w:val="8"/>
        <w:spacing w:before="0" w:beforeAutospacing="0" w:after="0" w:afterAutospacing="0"/>
        <w:ind w:firstLine="566"/>
        <w:jc w:val="both"/>
        <w:rPr>
          <w:color w:val="000000"/>
        </w:rPr>
      </w:pPr>
    </w:p>
    <w:p w14:paraId="2917286E">
      <w:pPr>
        <w:pStyle w:val="8"/>
        <w:spacing w:before="0" w:beforeAutospacing="0" w:after="0" w:afterAutospacing="0"/>
        <w:ind w:firstLine="566"/>
        <w:jc w:val="both"/>
        <w:rPr>
          <w:color w:val="000000"/>
        </w:rPr>
      </w:pPr>
      <w:r>
        <w:rPr>
          <w:color w:val="000000"/>
        </w:rPr>
        <w:t>(6) Kurum ortak dolaşım sözleşmeleri kapsamında yürütülen faaliyetlere ilişkin usul ve esaslar ile gerekli protokolleri belirleyebilir.”</w:t>
      </w:r>
    </w:p>
    <w:p w14:paraId="7876C8F7">
      <w:pPr>
        <w:ind w:firstLine="566"/>
        <w:jc w:val="both"/>
        <w:rPr>
          <w:color w:val="000000"/>
        </w:rPr>
      </w:pPr>
    </w:p>
    <w:p w14:paraId="0008B71A">
      <w:pPr>
        <w:ind w:firstLine="566"/>
        <w:jc w:val="both"/>
        <w:rPr>
          <w:color w:val="000000"/>
        </w:rPr>
      </w:pPr>
      <w:r>
        <w:rPr>
          <w:b/>
          <w:bCs/>
          <w:color w:val="000000"/>
        </w:rPr>
        <w:t xml:space="preserve">MADDE 14- </w:t>
      </w:r>
      <w:r>
        <w:rPr>
          <w:color w:val="000000"/>
        </w:rPr>
        <w:t>Aynı Yönetmeliğin 20 nci maddesine aşağıdaki fıkra eklenmiştir.</w:t>
      </w:r>
    </w:p>
    <w:p w14:paraId="69650E39">
      <w:pPr>
        <w:pStyle w:val="8"/>
        <w:spacing w:before="0" w:beforeAutospacing="0" w:after="0" w:afterAutospacing="0"/>
        <w:ind w:firstLine="566"/>
        <w:jc w:val="both"/>
        <w:rPr>
          <w:color w:val="000000"/>
        </w:rPr>
      </w:pPr>
      <w:r>
        <w:rPr>
          <w:b/>
          <w:bCs/>
          <w:color w:val="000000"/>
        </w:rPr>
        <w:t>“</w:t>
      </w:r>
      <w:r>
        <w:rPr>
          <w:color w:val="000000"/>
        </w:rPr>
        <w:t>(8) Şarj istasyonunda şarj ağı işletmecisinin markası ile birlikte olmak koşuluyla şarj istasyonu işletmecisi tarafından kendi markası da ilave olarak kullanabilir.”</w:t>
      </w:r>
    </w:p>
    <w:p w14:paraId="64DFA03C">
      <w:pPr>
        <w:ind w:firstLine="566"/>
        <w:jc w:val="both"/>
        <w:rPr>
          <w:b/>
          <w:bCs/>
          <w:color w:val="000000"/>
        </w:rPr>
      </w:pPr>
    </w:p>
    <w:p w14:paraId="72130B1D">
      <w:pPr>
        <w:ind w:firstLine="566"/>
        <w:jc w:val="both"/>
        <w:rPr>
          <w:color w:val="000000"/>
        </w:rPr>
      </w:pPr>
      <w:r>
        <w:rPr>
          <w:b/>
          <w:bCs/>
          <w:color w:val="000000"/>
        </w:rPr>
        <w:t xml:space="preserve">MADDE 15- </w:t>
      </w:r>
      <w:r>
        <w:rPr>
          <w:color w:val="000000"/>
        </w:rPr>
        <w:t xml:space="preserve">Aynı Yönetmeliğin 21 inci maddesinin üçüncü ve beşinci fıkraları aşağıdaki şekilde değiştirilmiş ve aynı maddeye aşağıdaki fıkra eklenmiştir. </w:t>
      </w:r>
    </w:p>
    <w:p w14:paraId="5F9E5843">
      <w:pPr>
        <w:pStyle w:val="8"/>
        <w:spacing w:before="0" w:beforeAutospacing="0" w:after="0" w:afterAutospacing="0"/>
        <w:ind w:firstLine="566"/>
        <w:jc w:val="both"/>
        <w:rPr>
          <w:color w:val="000000"/>
        </w:rPr>
      </w:pPr>
      <w:r>
        <w:rPr>
          <w:color w:val="000000"/>
        </w:rPr>
        <w:t>“(3) Şarj hizmeti, Kanun kapsamında elektrik tedarik faaliyeti olarak değerlendirilmez.”</w:t>
      </w:r>
    </w:p>
    <w:p w14:paraId="58ACDE93">
      <w:pPr>
        <w:pStyle w:val="8"/>
        <w:spacing w:before="0" w:beforeAutospacing="0" w:after="0" w:afterAutospacing="0"/>
        <w:ind w:firstLine="566"/>
        <w:jc w:val="both"/>
        <w:rPr>
          <w:color w:val="000000"/>
        </w:rPr>
      </w:pPr>
    </w:p>
    <w:p w14:paraId="7AE39E3E">
      <w:pPr>
        <w:pStyle w:val="8"/>
        <w:spacing w:before="0" w:beforeAutospacing="0" w:after="0" w:afterAutospacing="0"/>
        <w:ind w:firstLine="566"/>
        <w:jc w:val="both"/>
      </w:pPr>
      <w:r>
        <w:rPr>
          <w:color w:val="000000"/>
        </w:rPr>
        <w:t xml:space="preserve">  “(5) Şarj istasyonlarının elektrik tüketiminin ölçülmesi için kullanılacak sayaçlar, </w:t>
      </w:r>
      <w:r>
        <w:t>28/12/2023 tarihli ve 32413 sayılı Resmî Gazete’de yayımlanan Elektrik Piyasası Ölçüm Sistemleri Yönetmeliği hükümleri kapsamında tesis edilir.”</w:t>
      </w:r>
    </w:p>
    <w:p w14:paraId="093A9F7F">
      <w:pPr>
        <w:pStyle w:val="8"/>
        <w:spacing w:before="0" w:beforeAutospacing="0" w:after="0" w:afterAutospacing="0"/>
        <w:ind w:firstLine="566"/>
        <w:jc w:val="both"/>
      </w:pPr>
    </w:p>
    <w:p w14:paraId="29057F10">
      <w:pPr>
        <w:pStyle w:val="8"/>
        <w:spacing w:before="0" w:beforeAutospacing="0" w:after="0" w:afterAutospacing="0"/>
        <w:ind w:firstLine="566"/>
        <w:jc w:val="both"/>
        <w:rPr>
          <w:spacing w:val="-1"/>
        </w:rPr>
      </w:pPr>
      <w:r>
        <w:rPr>
          <w:color w:val="000000"/>
        </w:rPr>
        <w:t xml:space="preserve"> “(8) Karayolları Genel Müdürlüğünün sorumluluğu altında bulunan otoyollarda şarj ağına yeni eklenen şarj istasyonlarında bulunan DC 50 kW ve üzeri güçteki şarj ünitelerinden en az bir tanesi için </w:t>
      </w:r>
      <w:r>
        <w:rPr>
          <w:spacing w:val="-1"/>
        </w:rPr>
        <w:t>banka/kredi kartı okuyucuları veya temassız ödeme yapılabilen dijital cihazlar aracılığıyla doğrudan ödeme imkanı sağlanır. Bu ödeme yöntemleri için kullanıcıdan ilave bedel, komisyon veya fark talep edilemez.”</w:t>
      </w:r>
    </w:p>
    <w:p w14:paraId="52E85DEE">
      <w:pPr>
        <w:pStyle w:val="8"/>
        <w:spacing w:before="0" w:beforeAutospacing="0" w:after="0" w:afterAutospacing="0"/>
        <w:ind w:firstLine="566"/>
        <w:jc w:val="both"/>
        <w:rPr>
          <w:color w:val="000000"/>
        </w:rPr>
      </w:pPr>
    </w:p>
    <w:p w14:paraId="37685A7D">
      <w:pPr>
        <w:ind w:firstLine="566"/>
        <w:jc w:val="both"/>
        <w:rPr>
          <w:color w:val="000000"/>
        </w:rPr>
      </w:pPr>
      <w:r>
        <w:rPr>
          <w:b/>
          <w:bCs/>
          <w:color w:val="000000"/>
        </w:rPr>
        <w:t>MADDE 16-</w:t>
      </w:r>
      <w:r>
        <w:rPr>
          <w:color w:val="000000"/>
        </w:rPr>
        <w:t>Aynı Yönetmeliğin 22 nci maddesinin üçüncü, beşinci ve altıncı fıkraları aşağıdaki şekilde değiştirilmiştir.</w:t>
      </w:r>
    </w:p>
    <w:p w14:paraId="0D2F4771">
      <w:pPr>
        <w:ind w:firstLine="566"/>
        <w:jc w:val="both"/>
        <w:rPr>
          <w:color w:val="000000"/>
        </w:rPr>
      </w:pPr>
    </w:p>
    <w:p w14:paraId="39643DE2">
      <w:pPr>
        <w:ind w:firstLine="566"/>
        <w:jc w:val="both"/>
        <w:rPr>
          <w:spacing w:val="-1"/>
        </w:rPr>
      </w:pPr>
      <w:r>
        <w:rPr>
          <w:spacing w:val="-1"/>
        </w:rPr>
        <w:t xml:space="preserve">“(3) OSB Dağıtım Lisansı sahibi Organize Sanayi Bölgeleri içerisinde kurulması planlanan şarj istasyonu için OSB dağıtım sistemine bağlantı başvuruları, 25/7/2024 tarihli ve 32612 sayılı Resmî Gazete’de yayımlanan Organize Sanayi Bölgelerinin ve Endüstri Bölgelerinin Elektrik Piyasası Faaliyetlerine İlişkin Yönetmelik hükümleri çerçevesinde yapılır.” </w:t>
      </w:r>
    </w:p>
    <w:p w14:paraId="55A6E416">
      <w:pPr>
        <w:pStyle w:val="8"/>
        <w:spacing w:before="0" w:beforeAutospacing="0" w:after="0" w:afterAutospacing="0"/>
        <w:ind w:firstLine="566"/>
        <w:jc w:val="both"/>
        <w:rPr>
          <w:color w:val="000000"/>
        </w:rPr>
      </w:pPr>
      <w:r>
        <w:rPr>
          <w:color w:val="000000"/>
        </w:rPr>
        <w:t>“(5) Şarj istasyonları için yapılan dağıtım sistemine bağlantı talepleri tüketim tesisi kapsamında değerlendirilerek karşılanır ve bağlantı talepleri hakkında Elektrik Piyasası Bağlantı ve Sistem Kullanım Yönetmeliği ile Organize Sanayi Bölgelerinin ve Endüstri Bölgelerinin Elektrik Piyasası Faaliyetlerine İlişkin Yönetmelikte sayılan durumlar hariç ilgili şebeke işletmecisi tarafından olumsuz görüş verilemez.”</w:t>
      </w:r>
    </w:p>
    <w:p w14:paraId="7E8909CA">
      <w:pPr>
        <w:pStyle w:val="8"/>
        <w:spacing w:before="0" w:beforeAutospacing="0" w:after="0" w:afterAutospacing="0"/>
        <w:ind w:firstLine="566"/>
        <w:jc w:val="both"/>
        <w:rPr>
          <w:color w:val="000000"/>
        </w:rPr>
      </w:pPr>
    </w:p>
    <w:p w14:paraId="6A497681">
      <w:pPr>
        <w:pStyle w:val="8"/>
        <w:spacing w:before="0" w:beforeAutospacing="0" w:after="0" w:afterAutospacing="0"/>
        <w:ind w:firstLine="566"/>
        <w:jc w:val="both"/>
        <w:rPr>
          <w:color w:val="000000"/>
        </w:rPr>
      </w:pPr>
      <w:r>
        <w:rPr>
          <w:color w:val="000000"/>
        </w:rPr>
        <w:t>“(6) İlgili mevzuat kapsamındaki gereklilikleri yerine getirerek şarj hizmeti sunmak üzere şarj istasyonu kurmak ve işletmek isteyen şarj ağı işletmecileri veya sertifika sahibi şarj istasyonu işletmecileri tarafından Ek-1’de yer alan formla, ilgili şebeke işletmecisine elektronik ortamda başvuruda bulunulur. İlgili şebeke işletmecisi tarafından başvuru tarihinden itibaren beş iş günü içerisinde olumlu görüş verilen başvurular için Ek-2’de yer alan belge elektronik ortamda düzenlenir. Düzenlendiği tarihten itibaren en geç üç ay içerisinde 17 nci madde kapsamında Kuruma sunulmayan söz konusu belge geçerliliğini yitirir. İlgili şebeke işletmecisi uygun görmediği başvuruları gerekçeleriyle birlikte başvuru sahibine bildirir. Bu gerekçeler ilgili mevzuata aykırı olamaz. Uygun görülmeyen başvurulara yapılan itirazlar Kurul tarafından karara bağlanır. Yapılan başvurulara ilişkin bilgiler ilgili şebeke işletmecisi tarafından Kurum tarafından belirlenen sürelere ve formata uygun şekilde Kuruma bildirilir.”</w:t>
      </w:r>
    </w:p>
    <w:p w14:paraId="1F5410E7">
      <w:pPr>
        <w:ind w:firstLine="566"/>
        <w:jc w:val="both"/>
        <w:rPr>
          <w:color w:val="000000"/>
        </w:rPr>
      </w:pPr>
    </w:p>
    <w:p w14:paraId="77191FD1">
      <w:pPr>
        <w:ind w:firstLine="566"/>
        <w:jc w:val="both"/>
        <w:rPr>
          <w:color w:val="000000"/>
        </w:rPr>
      </w:pPr>
      <w:r>
        <w:rPr>
          <w:b/>
          <w:bCs/>
          <w:color w:val="000000"/>
        </w:rPr>
        <w:t>MADDE 17-</w:t>
      </w:r>
      <w:r>
        <w:rPr>
          <w:color w:val="000000"/>
        </w:rPr>
        <w:t>Aynı Yönetmeliğin 23 üncü maddesinin birinci fıkrası aşağıdaki şekilde değiştirilmiş ve aynı maddeye aşağıdaki fıkra ilave edilmiştir.</w:t>
      </w:r>
    </w:p>
    <w:p w14:paraId="19E69415">
      <w:pPr>
        <w:pStyle w:val="8"/>
        <w:spacing w:before="0" w:beforeAutospacing="0" w:after="0" w:afterAutospacing="0"/>
        <w:ind w:firstLine="566"/>
        <w:jc w:val="both"/>
        <w:rPr>
          <w:color w:val="000000"/>
        </w:rPr>
      </w:pPr>
      <w:r>
        <w:rPr>
          <w:color w:val="000000"/>
        </w:rPr>
        <w:t>“(1) Şarj hizmeti sunan şarj istasyonları faaliyetlerini 14/7/2005 tarihli ve 2005/9207 sayılı Bakanlar Kurulu Kararı ile yürürlüğe konulan İşyeri Açma ve Çalışma Ruhsatlarına İlişkin Yönetmelik hükümlerine göre yürütür.”</w:t>
      </w:r>
    </w:p>
    <w:p w14:paraId="3DCBA68C">
      <w:pPr>
        <w:pStyle w:val="8"/>
        <w:spacing w:before="0" w:beforeAutospacing="0" w:after="0" w:afterAutospacing="0"/>
        <w:ind w:firstLine="566"/>
        <w:jc w:val="both"/>
        <w:rPr>
          <w:color w:val="000000"/>
        </w:rPr>
      </w:pPr>
    </w:p>
    <w:p w14:paraId="48C1162F">
      <w:pPr>
        <w:pStyle w:val="8"/>
        <w:spacing w:before="0" w:beforeAutospacing="0" w:after="0" w:afterAutospacing="0"/>
        <w:ind w:firstLine="566"/>
        <w:jc w:val="both"/>
        <w:rPr>
          <w:color w:val="000000"/>
        </w:rPr>
      </w:pPr>
      <w:r>
        <w:t>“(6</w:t>
      </w:r>
      <w:r>
        <w:rPr>
          <w:color w:val="000000"/>
        </w:rPr>
        <w:t>)</w:t>
      </w:r>
      <w:r>
        <w:rPr>
          <w:b/>
          <w:bCs/>
          <w:color w:val="000000"/>
        </w:rPr>
        <w:t xml:space="preserve"> </w:t>
      </w:r>
      <w:r>
        <w:t>Şarj ağı işletmecisi veya şarj istasyonu işletmecisi, elektrikli araç park alanında, şarj hizmetinin sunulmasını engelleyecek şekilde araç park edilmesini engellemek için gerekli önlemleri alabilir, uyarı ve bilgilendirmeler yapabilir. Şarj hizmeti alan araçlar dışındakilerin park etmesini yasaklayıcı kararların alınmasına ilişkin ilgili kurumlara başvuru ve bildirimde bulunur.</w:t>
      </w:r>
      <w:r>
        <w:rPr>
          <w:color w:val="000000"/>
        </w:rPr>
        <w:t>”</w:t>
      </w:r>
    </w:p>
    <w:p w14:paraId="327CF44C">
      <w:pPr>
        <w:ind w:firstLine="566"/>
        <w:jc w:val="both"/>
        <w:rPr>
          <w:b/>
          <w:bCs/>
          <w:color w:val="000000"/>
        </w:rPr>
      </w:pPr>
    </w:p>
    <w:p w14:paraId="7EB4DEAC">
      <w:pPr>
        <w:pStyle w:val="8"/>
        <w:spacing w:before="0" w:beforeAutospacing="0" w:after="0" w:afterAutospacing="0"/>
        <w:ind w:firstLine="566"/>
        <w:jc w:val="both"/>
      </w:pPr>
      <w:r>
        <w:rPr>
          <w:b/>
          <w:bCs/>
          <w:color w:val="000000"/>
        </w:rPr>
        <w:t>MADDE 18-</w:t>
      </w:r>
      <w:r>
        <w:t>Aynı Yönetmeliğin 25 inci maddesinin birinci, ikinci, dördüncü ve yedinci fıkraları aşağıdaki şekilde değiştirilmiş ve aynı maddeye aşağıdaki fıkralar eklenmiştir.</w:t>
      </w:r>
    </w:p>
    <w:p w14:paraId="7BCF6F3B">
      <w:pPr>
        <w:pStyle w:val="8"/>
        <w:spacing w:before="0" w:beforeAutospacing="0" w:after="0" w:afterAutospacing="0"/>
        <w:ind w:firstLine="566"/>
        <w:jc w:val="both"/>
      </w:pPr>
    </w:p>
    <w:p w14:paraId="5FEB2949">
      <w:pPr>
        <w:pStyle w:val="8"/>
        <w:spacing w:before="0" w:beforeAutospacing="0" w:after="0" w:afterAutospacing="0"/>
        <w:ind w:firstLine="566"/>
        <w:jc w:val="both"/>
        <w:rPr>
          <w:color w:val="000000"/>
        </w:rPr>
      </w:pPr>
      <w:r>
        <w:t xml:space="preserve"> “</w:t>
      </w:r>
      <w:r>
        <w:rPr>
          <w:color w:val="000000"/>
        </w:rPr>
        <w:t>(1) Kanunun ek 5 inci maddesinde yer alan haller saklı olmak kaydıyla, şarj hizmeti fiyatı serbestçe belirlenir. Şarj hizmeti fiyatı, elektrikli araca aktarımı yapılan birim enerji fiyatı (TL/kWh) cinsinden uygulanır. Sunulan şarj hizmeti için 4/1/1961 tarihli ve 213 sayılı Vergi Usul Kanunu kapsamında düzenlenen fatura veya fatura yerine geçen belgede araca aktarılan enerji miktarına ayrıca yer verilir. Sunulan şarj hizmeti karşılığında, şarj hizmeti fiyatı esas alınarak hesaplanan bedel dışında bağlanma bedeli, işlem başlatma bedeli, şarj ekipmanı kullanımı bedeli gibi her ne ad altında olursa olsun ayrı bir bedel talep edilemez.</w:t>
      </w:r>
    </w:p>
    <w:p w14:paraId="5B9BC34A">
      <w:pPr>
        <w:pStyle w:val="8"/>
        <w:spacing w:before="0" w:beforeAutospacing="0" w:after="0" w:afterAutospacing="0"/>
        <w:ind w:firstLine="566"/>
        <w:jc w:val="both"/>
        <w:rPr>
          <w:color w:val="000000"/>
        </w:rPr>
      </w:pPr>
    </w:p>
    <w:p w14:paraId="019FCBB2">
      <w:pPr>
        <w:pStyle w:val="8"/>
        <w:spacing w:before="0" w:beforeAutospacing="0" w:after="0" w:afterAutospacing="0"/>
        <w:ind w:firstLine="566"/>
        <w:jc w:val="both"/>
        <w:rPr>
          <w:color w:val="000000"/>
        </w:rPr>
      </w:pPr>
      <w:r>
        <w:rPr>
          <w:color w:val="000000"/>
        </w:rPr>
        <w:t>(2) Şarj ağı işletmecisi, şarj ağında yer alan şarj istasyonlarında uygulanan şarj hizmeti fiyatlarını ve bu hizmet ile ilişkili rezervasyon ve işgaliye bedellerini kendi internet sayfası, dijital mecralar ile şarj istasyonlarından da erişilebilecek şekilde eş zamanlı olarak ilan eder.”</w:t>
      </w:r>
    </w:p>
    <w:p w14:paraId="6A562F06">
      <w:pPr>
        <w:pStyle w:val="8"/>
        <w:spacing w:before="0" w:beforeAutospacing="0" w:after="0" w:afterAutospacing="0"/>
        <w:ind w:firstLine="566"/>
        <w:jc w:val="both"/>
        <w:rPr>
          <w:color w:val="000000"/>
        </w:rPr>
      </w:pPr>
    </w:p>
    <w:p w14:paraId="0756DE56">
      <w:pPr>
        <w:pStyle w:val="8"/>
        <w:spacing w:before="0" w:beforeAutospacing="0" w:after="0" w:afterAutospacing="0"/>
        <w:ind w:firstLine="566"/>
        <w:jc w:val="both"/>
        <w:rPr>
          <w:color w:val="000000"/>
        </w:rPr>
      </w:pPr>
      <w:r>
        <w:rPr>
          <w:color w:val="000000"/>
        </w:rPr>
        <w:t xml:space="preserve">“(4) Şarj ağında yer alan halka açık şarj istasyonlarında on ikinci fıkra hükümleri saklı kalmak kaydıyla, yalnızca AC ve DC şarj üniteleri ve mobil şarj istasyonları arasında fiyat farklılaştırılması yapılabilir.” </w:t>
      </w:r>
    </w:p>
    <w:p w14:paraId="2A9C506D">
      <w:pPr>
        <w:pStyle w:val="8"/>
        <w:spacing w:before="0" w:beforeAutospacing="0" w:after="0" w:afterAutospacing="0"/>
        <w:ind w:firstLine="566"/>
        <w:jc w:val="both"/>
      </w:pPr>
    </w:p>
    <w:p w14:paraId="49C62E81">
      <w:pPr>
        <w:pStyle w:val="8"/>
        <w:spacing w:before="0" w:beforeAutospacing="0" w:after="0" w:afterAutospacing="0"/>
        <w:ind w:firstLine="566"/>
        <w:jc w:val="both"/>
        <w:rPr>
          <w:color w:val="000000"/>
        </w:rPr>
      </w:pPr>
      <w:r>
        <w:rPr>
          <w:color w:val="000000"/>
        </w:rPr>
        <w:t>“(7) Şarj ağı işletmecilerinin halka açık şarj istasyonlarında uygulayacağı şarj hizmeti fiyatı, sadakat sözleşmesi akdettiği kullanıcılara uyguladığı en düşük şarj hizmeti fiyatının %25 fazlasını aşamaz. Şarj ağı işletmecileri sadakat sözleşmesi akdettiği kullanıcılardan sadakat sözleşmesi kapsamında sözleşme bedeli, üyelik bedeli gibi her ne ad altında olursa olsun ayrı bir bedel talep edemez.”</w:t>
      </w:r>
    </w:p>
    <w:p w14:paraId="52F2DA96">
      <w:pPr>
        <w:pStyle w:val="8"/>
        <w:spacing w:before="0" w:beforeAutospacing="0" w:after="0" w:afterAutospacing="0"/>
        <w:ind w:firstLine="566"/>
        <w:jc w:val="both"/>
        <w:rPr>
          <w:color w:val="000000"/>
        </w:rPr>
      </w:pPr>
    </w:p>
    <w:p w14:paraId="49B89085">
      <w:pPr>
        <w:pStyle w:val="8"/>
        <w:spacing w:before="0" w:beforeAutospacing="0" w:after="0" w:afterAutospacing="0"/>
        <w:ind w:firstLine="566"/>
        <w:jc w:val="both"/>
        <w:rPr>
          <w:color w:val="000000"/>
        </w:rPr>
      </w:pPr>
      <w:r>
        <w:t xml:space="preserve">“(11) </w:t>
      </w:r>
      <w:r>
        <w:rPr>
          <w:color w:val="000000"/>
        </w:rPr>
        <w:t>Şarj ağı işletmecisi tarafından kullanıcıya önceden bilgi verilmesi şartıyla DC güçteki şarj ünitelerinin kullanımı kapsamında araç batarya doluluğu %85 ve üzeri olan elektrikli araçların şarj hizmeti sonlandırılabilir.</w:t>
      </w:r>
    </w:p>
    <w:p w14:paraId="488D2AF6">
      <w:pPr>
        <w:pStyle w:val="8"/>
        <w:spacing w:before="0" w:beforeAutospacing="0" w:after="0" w:afterAutospacing="0"/>
        <w:ind w:firstLine="566"/>
        <w:jc w:val="both"/>
      </w:pPr>
    </w:p>
    <w:p w14:paraId="6AB607BD">
      <w:pPr>
        <w:pStyle w:val="8"/>
        <w:spacing w:before="0" w:beforeAutospacing="0" w:after="0" w:afterAutospacing="0"/>
        <w:ind w:firstLine="566"/>
        <w:jc w:val="both"/>
        <w:rPr>
          <w:color w:val="000000"/>
        </w:rPr>
      </w:pPr>
      <w:r>
        <w:rPr>
          <w:color w:val="000000"/>
        </w:rPr>
        <w:t>(12) Şarj ağı işletmecisi tarafından, şarj istasyonunun bulunduğu lokasyona ve günün saatlerine göre indirimli fiyat uygulanabilir. Günün saatlerine göre indirimli fiyat uygulanması halinde kullanıcıya yansıtılacak şarj hizmeti bedelinde şarj hizmetinin başladığı saat dilimindeki şarj hizmeti fiyatı esas alınır. Uygulanan indirimli fiyatlar, ikinci fıkra kapsamında ilan edilir ve altıncı fıkra kapsamında Kuruma bildirilir.”</w:t>
      </w:r>
    </w:p>
    <w:p w14:paraId="6453DED6">
      <w:pPr>
        <w:pStyle w:val="8"/>
        <w:spacing w:before="0" w:beforeAutospacing="0" w:after="0" w:afterAutospacing="0"/>
        <w:ind w:firstLine="566"/>
        <w:jc w:val="both"/>
      </w:pPr>
    </w:p>
    <w:p w14:paraId="78F048F8">
      <w:pPr>
        <w:ind w:firstLine="566"/>
        <w:jc w:val="both"/>
        <w:rPr>
          <w:color w:val="000000"/>
        </w:rPr>
      </w:pPr>
      <w:r>
        <w:rPr>
          <w:b/>
          <w:bCs/>
          <w:color w:val="000000"/>
        </w:rPr>
        <w:t xml:space="preserve">MADDE 19- </w:t>
      </w:r>
      <w:r>
        <w:rPr>
          <w:color w:val="000000"/>
        </w:rPr>
        <w:t>Aynı Yönetmeliğin 28 inci maddesinin birinci fıkrası aşağıdaki şekilde değiştirilmiştir.</w:t>
      </w:r>
    </w:p>
    <w:p w14:paraId="352C4B8E">
      <w:pPr>
        <w:ind w:firstLine="566"/>
        <w:jc w:val="both"/>
        <w:rPr>
          <w:color w:val="000000"/>
        </w:rPr>
      </w:pPr>
      <w:r>
        <w:rPr>
          <w:color w:val="000000"/>
        </w:rPr>
        <w:t>“1) Şarj ağı işletmecisi kullanıcı şikâyetlerinin iletildiği, kaydedildiği ve kullanıcıların takip edilebildiği iletişim kanallarını tesis etmekle, 24 saat boyunca kesintisiz hizmet vermek üzere ISO 18295 sertifikalı çağrı merkezi kurmak veya bu hizmeti almakla, internet sitesi veya mobil uygulama üzerinden kendisiyle sadakat sözleşmesi olan veya olmayan tüm kullanıcılara anlık sarj hizmeti vermekle, şarj ağındaki tüm istasyon ve soketlerin kullanım durumlarını, müsaitliklerini, fiyatlarını anlık olarak internet sitesi veya mobil uygulama üzerinden kullanıcılara sağlamakla ve kendisine iletilen talepleri on beş iş günü içerisinde sonuçlandırarak kullanıcıyı bilgilendirmekle yükümlüdür.”</w:t>
      </w:r>
    </w:p>
    <w:p w14:paraId="7F5B5688">
      <w:pPr>
        <w:ind w:firstLine="566"/>
        <w:jc w:val="both"/>
        <w:rPr>
          <w:color w:val="000000"/>
        </w:rPr>
      </w:pPr>
    </w:p>
    <w:p w14:paraId="6E139857">
      <w:pPr>
        <w:ind w:firstLine="566"/>
        <w:jc w:val="both"/>
        <w:rPr>
          <w:color w:val="000000"/>
        </w:rPr>
      </w:pPr>
      <w:r>
        <w:rPr>
          <w:b/>
          <w:bCs/>
          <w:color w:val="000000"/>
        </w:rPr>
        <w:t>MADDE 20-</w:t>
      </w:r>
      <w:r>
        <w:rPr>
          <w:color w:val="000000"/>
        </w:rPr>
        <w:t>Aynı Yönetmeliğin 30 uncu maddesi aşağıdaki şekilde değiştirilmiştir.</w:t>
      </w:r>
    </w:p>
    <w:p w14:paraId="00C8220B">
      <w:pPr>
        <w:pStyle w:val="8"/>
        <w:spacing w:before="0" w:beforeAutospacing="0" w:after="0" w:afterAutospacing="0"/>
        <w:ind w:firstLine="566"/>
        <w:jc w:val="both"/>
        <w:rPr>
          <w:rFonts w:eastAsiaTheme="minorHAnsi"/>
          <w:color w:val="000000"/>
          <w:lang w:eastAsia="en-US"/>
        </w:rPr>
      </w:pPr>
      <w:r>
        <w:rPr>
          <w:rFonts w:eastAsiaTheme="minorHAnsi"/>
          <w:color w:val="000000"/>
          <w:lang w:eastAsia="en-US"/>
        </w:rPr>
        <w:t>“ MADDE 30- (1) Şarj ağlarının tamamında yer alan halka açık şarj istasyonlarının coğrafi konumları, şarj ünitesi tipleri, soket sayıları, güçleri ve tipleri ile uygunluk durumlarının, ödeme yönteminin ve şarj hizmeti fiyatlarının yayımlandığı bir serbest erişim platformu Kurum tarafından kurulur ve işletilir.</w:t>
      </w:r>
    </w:p>
    <w:p w14:paraId="288831C8">
      <w:pPr>
        <w:spacing w:line="305" w:lineRule="atLeast"/>
        <w:ind w:firstLine="566"/>
        <w:jc w:val="both"/>
        <w:rPr>
          <w:color w:val="000000"/>
        </w:rPr>
      </w:pPr>
      <w:r>
        <w:rPr>
          <w:color w:val="000000"/>
        </w:rPr>
        <w:t>(2) Şarj ağı işletmecisi bu Yönetmelik kapsamında;</w:t>
      </w:r>
    </w:p>
    <w:p w14:paraId="62A61345">
      <w:pPr>
        <w:spacing w:line="305" w:lineRule="atLeast"/>
        <w:ind w:firstLine="566"/>
        <w:jc w:val="both"/>
        <w:rPr>
          <w:rFonts w:eastAsiaTheme="minorHAnsi"/>
          <w:color w:val="000000"/>
          <w:lang w:eastAsia="en-US"/>
        </w:rPr>
      </w:pPr>
      <w:r>
        <w:rPr>
          <w:color w:val="000000"/>
        </w:rPr>
        <w:t xml:space="preserve">a) </w:t>
      </w:r>
      <w:r>
        <w:rPr>
          <w:rFonts w:eastAsiaTheme="minorHAnsi"/>
          <w:color w:val="000000"/>
          <w:lang w:eastAsia="en-US"/>
        </w:rPr>
        <w:t>Kendi şarj ağında yer alan her bir şarj istasyonu için şarj istasyonunun coğrafi konumunu, şarj ünitesi sayısını, şarj ünitesi tipini, şarj ünitesi gücünü, soket sayısı, gücü ile tiplerini ve şarj istasyonu numarası ile adını,</w:t>
      </w:r>
    </w:p>
    <w:p w14:paraId="3F2FC843">
      <w:pPr>
        <w:spacing w:line="305" w:lineRule="atLeast"/>
        <w:ind w:firstLine="566"/>
        <w:jc w:val="both"/>
        <w:rPr>
          <w:color w:val="000000"/>
        </w:rPr>
      </w:pPr>
      <w:r>
        <w:rPr>
          <w:color w:val="000000"/>
        </w:rPr>
        <w:t>b) Her bir şarj istasyonunda şarj hizmeti için kullanılacak ödeme yöntemi ile çalışma saatlerini,</w:t>
      </w:r>
    </w:p>
    <w:p w14:paraId="27228F54">
      <w:pPr>
        <w:spacing w:line="305" w:lineRule="atLeast"/>
        <w:ind w:firstLine="566"/>
        <w:jc w:val="both"/>
        <w:rPr>
          <w:color w:val="000000"/>
        </w:rPr>
      </w:pPr>
      <w:r>
        <w:rPr>
          <w:color w:val="000000"/>
        </w:rPr>
        <w:t>c) Her bir şarj istasyonu için şarj ünitesi ve soket bazında uygulanacak şarj hizmeti fiyatlarını,</w:t>
      </w:r>
    </w:p>
    <w:p w14:paraId="73E14CF3">
      <w:pPr>
        <w:spacing w:line="305" w:lineRule="atLeast"/>
        <w:ind w:firstLine="566"/>
        <w:jc w:val="both"/>
        <w:rPr>
          <w:color w:val="000000"/>
        </w:rPr>
      </w:pPr>
      <w:r>
        <w:rPr>
          <w:color w:val="000000"/>
        </w:rPr>
        <w:t>ç) Şarj istasyonunun planlı bakım ve arızalarının başlangıç ve bitiş veya muhtemel bitiş tarih ve saatlerini,</w:t>
      </w:r>
    </w:p>
    <w:p w14:paraId="2551F267">
      <w:pPr>
        <w:spacing w:line="305" w:lineRule="atLeast"/>
        <w:ind w:firstLine="566"/>
        <w:jc w:val="both"/>
        <w:rPr>
          <w:color w:val="000000"/>
        </w:rPr>
      </w:pPr>
      <w:r>
        <w:rPr>
          <w:color w:val="000000"/>
        </w:rPr>
        <w:t>d) Şarj istasyonlarında bulunan şarj ünitelerinin ve soketlerinin uygunluk durumlarını,</w:t>
      </w:r>
    </w:p>
    <w:p w14:paraId="7A23E05F">
      <w:pPr>
        <w:spacing w:line="305" w:lineRule="atLeast"/>
        <w:ind w:firstLine="566"/>
        <w:jc w:val="both"/>
        <w:rPr>
          <w:rFonts w:eastAsiaTheme="minorHAnsi"/>
          <w:color w:val="000000"/>
          <w:lang w:eastAsia="en-US"/>
        </w:rPr>
      </w:pPr>
      <w:r>
        <w:rPr>
          <w:color w:val="000000"/>
        </w:rPr>
        <w:t xml:space="preserve">e) </w:t>
      </w:r>
      <w:r>
        <w:rPr>
          <w:rFonts w:eastAsiaTheme="minorHAnsi"/>
          <w:color w:val="000000"/>
          <w:lang w:eastAsia="en-US"/>
        </w:rPr>
        <w:t>Şarj istasyonlarında şarj hizmeti kapsamında tüketilen elektrik enerjisi miktarını,</w:t>
      </w:r>
    </w:p>
    <w:p w14:paraId="29621864">
      <w:pPr>
        <w:ind w:firstLine="566"/>
        <w:jc w:val="both"/>
        <w:rPr>
          <w:color w:val="000000"/>
        </w:rPr>
      </w:pPr>
      <w:r>
        <w:rPr>
          <w:color w:val="000000"/>
        </w:rPr>
        <w:t>Kurum tarafından belirlenecek sürelere ve formata uygun olarak serbest erişim platformunda yayımlanmak üzere Kuruma sunmakla yükümlüdür.”</w:t>
      </w:r>
    </w:p>
    <w:p w14:paraId="6297D401">
      <w:pPr>
        <w:pStyle w:val="8"/>
        <w:spacing w:before="0" w:beforeAutospacing="0" w:after="0" w:afterAutospacing="0"/>
        <w:ind w:firstLine="566"/>
        <w:jc w:val="both"/>
        <w:rPr>
          <w:rFonts w:eastAsiaTheme="minorHAnsi"/>
          <w:color w:val="000000"/>
          <w:lang w:eastAsia="en-US"/>
        </w:rPr>
      </w:pPr>
      <w:r>
        <w:rPr>
          <w:b/>
          <w:bCs/>
          <w:color w:val="000000"/>
        </w:rPr>
        <w:t>MADDE 21-</w:t>
      </w:r>
      <w:r>
        <w:rPr>
          <w:color w:val="000000"/>
        </w:rPr>
        <w:t xml:space="preserve"> </w:t>
      </w:r>
      <w:r>
        <w:rPr>
          <w:rFonts w:eastAsiaTheme="minorHAnsi"/>
          <w:color w:val="000000"/>
          <w:lang w:eastAsia="en-US"/>
        </w:rPr>
        <w:t>Aynı Yönetmeliğin 32 nci maddesinin dördüncü fıkrası aşağıdaki şekilde değiştirilmiştir.</w:t>
      </w:r>
    </w:p>
    <w:p w14:paraId="75AD2146">
      <w:pPr>
        <w:pStyle w:val="8"/>
        <w:spacing w:before="0" w:beforeAutospacing="0" w:after="0" w:afterAutospacing="0"/>
        <w:ind w:firstLine="566"/>
        <w:jc w:val="both"/>
        <w:rPr>
          <w:rFonts w:eastAsiaTheme="minorHAnsi"/>
          <w:color w:val="000000"/>
          <w:lang w:eastAsia="en-US"/>
        </w:rPr>
      </w:pPr>
      <w:r>
        <w:rPr>
          <w:rFonts w:eastAsiaTheme="minorHAnsi"/>
          <w:color w:val="000000"/>
          <w:lang w:eastAsia="en-US"/>
        </w:rPr>
        <w:t>“(4) Şarj ağına bağlı olmadan şarj istasyonundan elektrikli araçlara ticari amaçlı olarak elektrik enerjisi temin edilmesi, 30/5/2018 tarihli ve 30436 sayılı Resmî Gazete’de yayımlanan Elektrik Piyasası Tüketici Hizmetleri Yönetmeliğinin 48 inci maddesinin birinci fıkrasının (c) bendi kapsamında değerlendirilir ve ilgili şebeke işletmecisi tarafından Kuruma bildirimde bulunulmakla beraber, yetkili idare ile defterdarlığa ihbarda bulunulur.”</w:t>
      </w:r>
    </w:p>
    <w:p w14:paraId="0DE25E63">
      <w:pPr>
        <w:ind w:firstLine="566"/>
        <w:jc w:val="both"/>
        <w:rPr>
          <w:color w:val="000000"/>
        </w:rPr>
      </w:pPr>
    </w:p>
    <w:p w14:paraId="404BBB6E">
      <w:pPr>
        <w:ind w:firstLine="566"/>
        <w:jc w:val="both"/>
        <w:rPr>
          <w:color w:val="000000"/>
        </w:rPr>
      </w:pPr>
      <w:r>
        <w:rPr>
          <w:b/>
          <w:bCs/>
          <w:color w:val="000000"/>
        </w:rPr>
        <w:t>MADDE 22-</w:t>
      </w:r>
      <w:r>
        <w:rPr>
          <w:color w:val="000000"/>
        </w:rPr>
        <w:t xml:space="preserve"> Aynı Yönetmeliğe aşağıdaki geçici maddeler eklenmiştir.</w:t>
      </w:r>
    </w:p>
    <w:p w14:paraId="34623F08">
      <w:pPr>
        <w:ind w:firstLine="566"/>
        <w:jc w:val="both"/>
        <w:rPr>
          <w:color w:val="000000"/>
        </w:rPr>
      </w:pPr>
    </w:p>
    <w:p w14:paraId="3818E81A">
      <w:pPr>
        <w:ind w:firstLine="566"/>
        <w:jc w:val="both"/>
        <w:rPr>
          <w:color w:val="000000"/>
        </w:rPr>
      </w:pPr>
      <w:r>
        <w:rPr>
          <w:color w:val="000000"/>
        </w:rPr>
        <w:t>“Bilgi güvenliği</w:t>
      </w:r>
    </w:p>
    <w:p w14:paraId="2E8D1140">
      <w:pPr>
        <w:jc w:val="both"/>
      </w:pPr>
      <w:r>
        <w:rPr>
          <w:b/>
          <w:bCs/>
          <w:color w:val="000000"/>
        </w:rPr>
        <w:t xml:space="preserve">   </w:t>
      </w:r>
      <w:r>
        <w:t>GEÇİCİ MADDE 4</w:t>
      </w:r>
      <w:r>
        <w:rPr>
          <w:b/>
          <w:bCs/>
        </w:rPr>
        <w:t xml:space="preserve">- </w:t>
      </w:r>
      <w:r>
        <w:t>(1) Bu maddenin yürürlüğe girdiği tarih itibarıyla mevcut şarj ağı işletmeci lisansı sahibi tüzel kişilere, 18 inci maddenin ikinci fıkrası kapsamında yazılım sistemlerinin TS ISO/IEC 27001 sertifikalı olacak şekilde kurulması için 1 yıl süre verilir.”</w:t>
      </w:r>
    </w:p>
    <w:p w14:paraId="74DB9BFD">
      <w:pPr>
        <w:jc w:val="both"/>
      </w:pPr>
    </w:p>
    <w:p w14:paraId="27FC2DA6">
      <w:pPr>
        <w:jc w:val="both"/>
        <w:rPr>
          <w:color w:val="000000"/>
        </w:rPr>
      </w:pPr>
      <w:r>
        <w:rPr>
          <w:color w:val="000000"/>
        </w:rPr>
        <w:t xml:space="preserve">        “Hizmet kalitesi</w:t>
      </w:r>
    </w:p>
    <w:p w14:paraId="10701326">
      <w:pPr>
        <w:jc w:val="both"/>
      </w:pPr>
      <w:r>
        <w:rPr>
          <w:b/>
          <w:bCs/>
          <w:color w:val="000000"/>
        </w:rPr>
        <w:t xml:space="preserve">     </w:t>
      </w:r>
      <w:r>
        <w:rPr>
          <w:color w:val="000000"/>
        </w:rPr>
        <w:t>GEÇİCİ MADDE 5</w:t>
      </w:r>
      <w:r>
        <w:rPr>
          <w:b/>
          <w:bCs/>
          <w:color w:val="000000"/>
        </w:rPr>
        <w:t xml:space="preserve">- </w:t>
      </w:r>
      <w:r>
        <w:t>(1) Bu maddenin yürürlüğe girdiği tarih itibarıyla mevcut şarj ağı işletmeci lisansı sahibi tüzel kişilere, 28 inci maddenin birinci fıkrası kapsamında yükümlülüklerini yerine getirebilmesi için  6 ay süre verilir.”</w:t>
      </w:r>
    </w:p>
    <w:p w14:paraId="369B441D">
      <w:pPr>
        <w:ind w:firstLine="566"/>
        <w:jc w:val="both"/>
        <w:rPr>
          <w:b/>
          <w:bCs/>
          <w:color w:val="000000"/>
        </w:rPr>
      </w:pPr>
    </w:p>
    <w:p w14:paraId="23491A93">
      <w:pPr>
        <w:ind w:firstLine="566"/>
        <w:jc w:val="both"/>
        <w:rPr>
          <w:color w:val="000000"/>
        </w:rPr>
      </w:pPr>
      <w:r>
        <w:rPr>
          <w:b/>
          <w:bCs/>
          <w:color w:val="000000"/>
        </w:rPr>
        <w:t xml:space="preserve">MADDE 23- </w:t>
      </w:r>
      <w:r>
        <w:rPr>
          <w:color w:val="000000"/>
        </w:rPr>
        <w:t>Bu Yönetmeliğin;</w:t>
      </w:r>
    </w:p>
    <w:p w14:paraId="672A71C3">
      <w:pPr>
        <w:ind w:firstLine="566"/>
        <w:jc w:val="both"/>
        <w:rPr>
          <w:color w:val="000000"/>
        </w:rPr>
      </w:pPr>
      <w:r>
        <w:rPr>
          <w:color w:val="000000"/>
        </w:rPr>
        <w:t>a) 15 inci maddesi ile 21 inci maddeye eklenen sekizinci fıkrası 1/7/2026 tarihinde,</w:t>
      </w:r>
    </w:p>
    <w:p w14:paraId="444BF6E6">
      <w:pPr>
        <w:ind w:firstLine="566"/>
        <w:jc w:val="both"/>
        <w:rPr>
          <w:color w:val="000000"/>
        </w:rPr>
      </w:pPr>
      <w:r>
        <w:rPr>
          <w:color w:val="000000"/>
        </w:rPr>
        <w:t>b) Diğer hükümleri yayımı tarihinde,</w:t>
      </w:r>
    </w:p>
    <w:p w14:paraId="7D90E5EC">
      <w:pPr>
        <w:ind w:firstLine="566"/>
        <w:jc w:val="both"/>
        <w:rPr>
          <w:color w:val="000000"/>
        </w:rPr>
      </w:pPr>
      <w:r>
        <w:rPr>
          <w:color w:val="000000"/>
        </w:rPr>
        <w:t xml:space="preserve"> yürürlüğe girer.</w:t>
      </w:r>
    </w:p>
    <w:p w14:paraId="49F62257">
      <w:pPr>
        <w:ind w:firstLine="566"/>
        <w:jc w:val="both"/>
        <w:rPr>
          <w:b/>
          <w:bCs/>
          <w:color w:val="000000"/>
        </w:rPr>
      </w:pPr>
    </w:p>
    <w:p w14:paraId="12A7D2E8">
      <w:pPr>
        <w:autoSpaceDE w:val="0"/>
        <w:autoSpaceDN w:val="0"/>
        <w:adjustRightInd w:val="0"/>
        <w:jc w:val="both"/>
        <w:rPr>
          <w:color w:val="000000"/>
        </w:rPr>
      </w:pPr>
      <w:r>
        <w:rPr>
          <w:b/>
          <w:bCs/>
          <w:color w:val="000000"/>
        </w:rPr>
        <w:t xml:space="preserve">         MADDE 24</w:t>
      </w:r>
      <w:r>
        <w:rPr>
          <w:rFonts w:eastAsia="TimesNewRomanPSMT"/>
        </w:rPr>
        <w:t xml:space="preserve"> -Bu Yönetmelik hükümlerini Enerji Piyasası Düzenleme Kurumu Başkanı yürütür.</w:t>
      </w:r>
    </w:p>
    <w:p w14:paraId="4B52DA42">
      <w:pPr>
        <w:ind w:firstLine="566"/>
        <w:jc w:val="both"/>
        <w:rPr>
          <w:color w:val="000000"/>
        </w:rPr>
      </w:pPr>
    </w:p>
    <w:p w14:paraId="448BF6DC">
      <w:pPr>
        <w:pStyle w:val="6"/>
        <w:spacing w:line="360" w:lineRule="auto"/>
        <w:rPr>
          <w:b/>
        </w:rPr>
      </w:pPr>
    </w:p>
    <w:p w14:paraId="488A2A71">
      <w:pPr>
        <w:pStyle w:val="6"/>
        <w:spacing w:line="360" w:lineRule="auto"/>
        <w:jc w:val="center"/>
        <w:rPr>
          <w:b/>
        </w:rPr>
      </w:pPr>
    </w:p>
    <w:p w14:paraId="778B06B1">
      <w:pPr>
        <w:pStyle w:val="6"/>
        <w:spacing w:line="360" w:lineRule="auto"/>
        <w:jc w:val="center"/>
        <w:rPr>
          <w:b/>
        </w:rPr>
      </w:pPr>
    </w:p>
    <w:p w14:paraId="2B8CA5BE">
      <w:pPr>
        <w:pStyle w:val="6"/>
        <w:spacing w:line="360" w:lineRule="auto"/>
        <w:jc w:val="center"/>
        <w:rPr>
          <w:b/>
        </w:rPr>
      </w:pPr>
    </w:p>
    <w:p w14:paraId="231C624C"/>
    <w:sectPr>
      <w:pgSz w:w="11906" w:h="16838"/>
      <w:pgMar w:top="1417" w:right="1417" w:bottom="1417" w:left="1417"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A2"/>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TimesNewRomanPSMT">
    <w:altName w:val="Times New Roman"/>
    <w:panose1 w:val="00000000000000000000"/>
    <w:charset w:val="A2"/>
    <w:family w:val="auto"/>
    <w:pitch w:val="default"/>
    <w:sig w:usb0="00000000" w:usb1="00000000" w:usb2="00000010" w:usb3="00000000" w:csb0="00100011"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BBF"/>
    <w:rsid w:val="00005388"/>
    <w:rsid w:val="000D2ED7"/>
    <w:rsid w:val="000E6C91"/>
    <w:rsid w:val="00227A9D"/>
    <w:rsid w:val="00307F60"/>
    <w:rsid w:val="005B6A4F"/>
    <w:rsid w:val="0071707C"/>
    <w:rsid w:val="00940FFC"/>
    <w:rsid w:val="009E5DEA"/>
    <w:rsid w:val="00BE05A1"/>
    <w:rsid w:val="00C024D6"/>
    <w:rsid w:val="00D45512"/>
    <w:rsid w:val="00D563EB"/>
    <w:rsid w:val="00DB0769"/>
    <w:rsid w:val="00E96FF8"/>
    <w:rsid w:val="00EB1F37"/>
    <w:rsid w:val="00EF2A9D"/>
    <w:rsid w:val="00F32BBF"/>
    <w:rsid w:val="00F83D5C"/>
    <w:rsid w:val="00FA174A"/>
    <w:rsid w:val="00FB33E4"/>
    <w:rsid w:val="7E7021F3"/>
  </w:rsids>
  <m:mathPr>
    <m:mathFont m:val="Cambria Math"/>
    <m:brkBin m:val="before"/>
    <m:brkBinSub m:val="--"/>
    <m:smallFrac m:val="0"/>
    <m:dispDef/>
    <m:lMargin m:val="0"/>
    <m:rMargin m:val="0"/>
    <m:defJc m:val="centerGroup"/>
    <m:wrapIndent m:val="1440"/>
    <m:intLim m:val="subSup"/>
    <m:naryLim m:val="undOvr"/>
  </m:mathPr>
  <w:themeFontLang w:val="tr-T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34"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tr-TR" w:eastAsia="tr-TR"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0"/>
    <w:unhideWhenUsed/>
    <w:qFormat/>
    <w:uiPriority w:val="99"/>
    <w:pPr>
      <w:tabs>
        <w:tab w:val="center" w:pos="4536"/>
        <w:tab w:val="right" w:pos="9072"/>
      </w:tabs>
    </w:pPr>
  </w:style>
  <w:style w:type="paragraph" w:styleId="5">
    <w:name w:val="header"/>
    <w:basedOn w:val="1"/>
    <w:link w:val="9"/>
    <w:unhideWhenUsed/>
    <w:uiPriority w:val="99"/>
    <w:pPr>
      <w:tabs>
        <w:tab w:val="center" w:pos="4536"/>
        <w:tab w:val="right" w:pos="9072"/>
      </w:tabs>
    </w:pPr>
  </w:style>
  <w:style w:type="paragraph" w:styleId="6">
    <w:name w:val="Normal (Web)"/>
    <w:basedOn w:val="1"/>
    <w:link w:val="7"/>
    <w:qFormat/>
    <w:uiPriority w:val="34"/>
    <w:pPr>
      <w:spacing w:before="100" w:beforeAutospacing="1" w:after="100" w:afterAutospacing="1"/>
    </w:pPr>
  </w:style>
  <w:style w:type="character" w:customStyle="1" w:styleId="7">
    <w:name w:val="Normal (Web) Char"/>
    <w:basedOn w:val="2"/>
    <w:link w:val="6"/>
    <w:qFormat/>
    <w:locked/>
    <w:uiPriority w:val="34"/>
    <w:rPr>
      <w:rFonts w:ascii="Times New Roman" w:hAnsi="Times New Roman" w:eastAsia="Times New Roman" w:cs="Times New Roman"/>
      <w:sz w:val="24"/>
      <w:szCs w:val="24"/>
      <w:lang w:eastAsia="tr-TR"/>
    </w:rPr>
  </w:style>
  <w:style w:type="paragraph" w:customStyle="1" w:styleId="8">
    <w:name w:val="metin"/>
    <w:basedOn w:val="1"/>
    <w:uiPriority w:val="0"/>
    <w:pPr>
      <w:spacing w:before="100" w:beforeAutospacing="1" w:after="100" w:afterAutospacing="1"/>
    </w:pPr>
  </w:style>
  <w:style w:type="character" w:customStyle="1" w:styleId="9">
    <w:name w:val="Üst Bilgi Char"/>
    <w:basedOn w:val="2"/>
    <w:link w:val="5"/>
    <w:uiPriority w:val="99"/>
    <w:rPr>
      <w:rFonts w:ascii="Times New Roman" w:hAnsi="Times New Roman" w:eastAsia="Times New Roman" w:cs="Times New Roman"/>
      <w:sz w:val="24"/>
      <w:szCs w:val="24"/>
      <w:lang w:eastAsia="tr-TR"/>
    </w:rPr>
  </w:style>
  <w:style w:type="character" w:customStyle="1" w:styleId="10">
    <w:name w:val="Alt Bilgi Char"/>
    <w:basedOn w:val="2"/>
    <w:link w:val="4"/>
    <w:qFormat/>
    <w:uiPriority w:val="99"/>
    <w:rPr>
      <w:rFonts w:ascii="Times New Roman" w:hAnsi="Times New Roman" w:eastAsia="Times New Roman" w:cs="Times New Roman"/>
      <w:sz w:val="24"/>
      <w:szCs w:val="24"/>
      <w:lang w:eastAsia="tr-T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2674</Words>
  <Characters>15243</Characters>
  <Lines>127</Lines>
  <Paragraphs>35</Paragraphs>
  <TotalTime>33</TotalTime>
  <ScaleCrop>false</ScaleCrop>
  <LinksUpToDate>false</LinksUpToDate>
  <CharactersWithSpaces>17882</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2026-02-16T08:16:00Z</dcterms:created>
  <dc:creator>Şüheda DALKA OKUMUŞ</dc:creator>
  <cp:lastModifiedBy>gkokturk</cp:lastModifiedBy>
  <cp:lastPrinted>2026-02-16T08:15:00Z</cp:lastPrinted>
  <dcterms:modified xsi:type="dcterms:W3CDTF">2026-03-23T09:03:04Z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0E8D586A7EF2443CBCBA9725A6782728_12</vt:lpwstr>
  </property>
</Properties>
</file>