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133A" w:rsidRPr="003C5412" w:rsidRDefault="0095133A" w:rsidP="003C5412">
      <w:pPr>
        <w:spacing w:after="0" w:line="240" w:lineRule="auto"/>
        <w:jc w:val="both"/>
        <w:rPr>
          <w:rFonts w:cstheme="minorHAnsi"/>
        </w:rPr>
      </w:pPr>
    </w:p>
    <w:tbl>
      <w:tblPr>
        <w:tblStyle w:val="TabloKlavuzu"/>
        <w:tblW w:w="14312" w:type="dxa"/>
        <w:tblLook w:val="04A0" w:firstRow="1" w:lastRow="0" w:firstColumn="1" w:lastColumn="0" w:noHBand="0" w:noVBand="1"/>
      </w:tblPr>
      <w:tblGrid>
        <w:gridCol w:w="6686"/>
        <w:gridCol w:w="7626"/>
      </w:tblGrid>
      <w:tr w:rsidR="005D23EB" w:rsidRPr="003C5412" w:rsidTr="003C5412">
        <w:trPr>
          <w:trHeight w:val="191"/>
        </w:trPr>
        <w:tc>
          <w:tcPr>
            <w:tcW w:w="14312" w:type="dxa"/>
            <w:gridSpan w:val="2"/>
          </w:tcPr>
          <w:p w:rsidR="00455FA0" w:rsidRPr="003C5412" w:rsidRDefault="00917733" w:rsidP="003C5412">
            <w:pPr>
              <w:jc w:val="center"/>
              <w:rPr>
                <w:rFonts w:cstheme="minorHAnsi"/>
                <w:b/>
              </w:rPr>
            </w:pPr>
            <w:r w:rsidRPr="003C5412">
              <w:rPr>
                <w:rFonts w:cstheme="minorHAnsi"/>
                <w:b/>
              </w:rPr>
              <w:t>KARŞILAŞTIRMA TABLOSU</w:t>
            </w:r>
          </w:p>
        </w:tc>
      </w:tr>
      <w:tr w:rsidR="00917733" w:rsidRPr="003C5412" w:rsidTr="003C5412">
        <w:trPr>
          <w:trHeight w:val="294"/>
        </w:trPr>
        <w:tc>
          <w:tcPr>
            <w:tcW w:w="14312" w:type="dxa"/>
            <w:gridSpan w:val="2"/>
          </w:tcPr>
          <w:p w:rsidR="00616BA8" w:rsidRPr="003C5412" w:rsidRDefault="00616BA8" w:rsidP="003C5412">
            <w:pPr>
              <w:pStyle w:val="Balk1"/>
              <w:ind w:left="172"/>
              <w:jc w:val="center"/>
              <w:outlineLvl w:val="0"/>
              <w:rPr>
                <w:rFonts w:asciiTheme="minorHAnsi" w:hAnsiTheme="minorHAnsi" w:cstheme="minorHAnsi"/>
                <w:b w:val="0"/>
                <w:bCs w:val="0"/>
                <w:sz w:val="22"/>
                <w:szCs w:val="22"/>
              </w:rPr>
            </w:pPr>
            <w:r w:rsidRPr="003C5412">
              <w:rPr>
                <w:rFonts w:asciiTheme="minorHAnsi" w:hAnsiTheme="minorHAnsi" w:cstheme="minorHAnsi"/>
                <w:sz w:val="22"/>
                <w:szCs w:val="22"/>
              </w:rPr>
              <w:t>DAĞITICILAR</w:t>
            </w:r>
            <w:r w:rsidRPr="003C5412">
              <w:rPr>
                <w:rFonts w:asciiTheme="minorHAnsi" w:hAnsiTheme="minorHAnsi" w:cstheme="minorHAnsi"/>
                <w:spacing w:val="-1"/>
                <w:sz w:val="22"/>
                <w:szCs w:val="22"/>
              </w:rPr>
              <w:t xml:space="preserve"> ARASI AKARYAKIT </w:t>
            </w:r>
            <w:r w:rsidRPr="003C5412">
              <w:rPr>
                <w:rFonts w:asciiTheme="minorHAnsi" w:hAnsiTheme="minorHAnsi" w:cstheme="minorHAnsi"/>
                <w:sz w:val="22"/>
                <w:szCs w:val="22"/>
              </w:rPr>
              <w:t>TİCARETİ</w:t>
            </w:r>
          </w:p>
          <w:p w:rsidR="00917733" w:rsidRPr="003C5412" w:rsidRDefault="00616BA8" w:rsidP="003C5412">
            <w:pPr>
              <w:pStyle w:val="Balk1"/>
              <w:ind w:left="172"/>
              <w:jc w:val="center"/>
              <w:outlineLvl w:val="0"/>
              <w:rPr>
                <w:rFonts w:asciiTheme="minorHAnsi" w:hAnsiTheme="minorHAnsi" w:cstheme="minorHAnsi"/>
                <w:b w:val="0"/>
                <w:color w:val="000000" w:themeColor="text1"/>
                <w:sz w:val="22"/>
                <w:szCs w:val="22"/>
              </w:rPr>
            </w:pPr>
            <w:r w:rsidRPr="003C5412">
              <w:rPr>
                <w:rFonts w:asciiTheme="minorHAnsi" w:hAnsiTheme="minorHAnsi" w:cstheme="minorHAnsi"/>
                <w:sz w:val="22"/>
                <w:szCs w:val="22"/>
              </w:rPr>
              <w:t>HAKKINDA KARARDA DEĞİŞİKLİK YAPILMASINA DAİR KARAR</w:t>
            </w:r>
          </w:p>
        </w:tc>
      </w:tr>
      <w:tr w:rsidR="00B45A33" w:rsidRPr="003C5412" w:rsidTr="003C5412">
        <w:trPr>
          <w:trHeight w:val="258"/>
        </w:trPr>
        <w:tc>
          <w:tcPr>
            <w:tcW w:w="6686" w:type="dxa"/>
          </w:tcPr>
          <w:p w:rsidR="00B45A33" w:rsidRPr="003C5412" w:rsidRDefault="00B45A33" w:rsidP="003C5412">
            <w:pPr>
              <w:jc w:val="center"/>
              <w:rPr>
                <w:rFonts w:cstheme="minorHAnsi"/>
                <w:b/>
              </w:rPr>
            </w:pPr>
            <w:r w:rsidRPr="003C5412">
              <w:rPr>
                <w:rFonts w:cstheme="minorHAnsi"/>
                <w:b/>
              </w:rPr>
              <w:t>Mevcut Metin</w:t>
            </w:r>
          </w:p>
        </w:tc>
        <w:tc>
          <w:tcPr>
            <w:tcW w:w="7626" w:type="dxa"/>
          </w:tcPr>
          <w:p w:rsidR="00B45A33" w:rsidRPr="003C5412" w:rsidRDefault="00B45A33" w:rsidP="003C5412">
            <w:pPr>
              <w:jc w:val="center"/>
              <w:rPr>
                <w:rFonts w:cstheme="minorHAnsi"/>
                <w:b/>
              </w:rPr>
            </w:pPr>
            <w:r w:rsidRPr="003C5412">
              <w:rPr>
                <w:rFonts w:cstheme="minorHAnsi"/>
                <w:b/>
              </w:rPr>
              <w:t>Taslak Metin</w:t>
            </w:r>
          </w:p>
        </w:tc>
      </w:tr>
      <w:tr w:rsidR="00B45A33" w:rsidRPr="003C5412" w:rsidTr="003C5412">
        <w:trPr>
          <w:trHeight w:val="826"/>
        </w:trPr>
        <w:tc>
          <w:tcPr>
            <w:tcW w:w="6686" w:type="dxa"/>
          </w:tcPr>
          <w:p w:rsidR="00616BA8" w:rsidRPr="003C5412" w:rsidRDefault="00616BA8" w:rsidP="003C5412">
            <w:pPr>
              <w:rPr>
                <w:rFonts w:cstheme="minorHAnsi"/>
                <w:b/>
              </w:rPr>
            </w:pPr>
            <w:r w:rsidRPr="003C5412">
              <w:rPr>
                <w:rFonts w:cstheme="minorHAnsi"/>
                <w:b/>
              </w:rPr>
              <w:t>Sınırla</w:t>
            </w:r>
            <w:bookmarkStart w:id="0" w:name="_GoBack"/>
            <w:bookmarkEnd w:id="0"/>
            <w:r w:rsidRPr="003C5412">
              <w:rPr>
                <w:rFonts w:cstheme="minorHAnsi"/>
                <w:b/>
              </w:rPr>
              <w:t>malar</w:t>
            </w:r>
          </w:p>
          <w:p w:rsidR="00616BA8" w:rsidRPr="003C5412" w:rsidRDefault="00616BA8" w:rsidP="003C5412">
            <w:pPr>
              <w:tabs>
                <w:tab w:val="left" w:pos="7740"/>
              </w:tabs>
              <w:jc w:val="both"/>
              <w:rPr>
                <w:rFonts w:cstheme="minorHAnsi"/>
                <w:b/>
              </w:rPr>
            </w:pPr>
            <w:r w:rsidRPr="003C5412">
              <w:rPr>
                <w:rFonts w:cstheme="minorHAnsi"/>
                <w:b/>
              </w:rPr>
              <w:t xml:space="preserve">Madde 5- </w:t>
            </w:r>
            <w:r w:rsidRPr="003C5412">
              <w:rPr>
                <w:rFonts w:cstheme="minorHAnsi"/>
              </w:rPr>
              <w:t xml:space="preserve">(1) İzin sahibi olmayan dağıtıcı lisansı sahipleri, dağıtıcılar arası akaryakıt ticareti kapsamında satış işlemi gerçekleştiremez. </w:t>
            </w:r>
            <w:r w:rsidRPr="003C5412">
              <w:rPr>
                <w:rFonts w:cstheme="minorHAnsi"/>
                <w:b/>
              </w:rPr>
              <w:t>(</w:t>
            </w:r>
            <w:r w:rsidRPr="003C5412">
              <w:rPr>
                <w:rFonts w:cstheme="minorHAnsi"/>
                <w:b/>
                <w:bCs/>
              </w:rPr>
              <w:t>Ek cümle: RG-25/2/</w:t>
            </w:r>
            <w:proofErr w:type="gramStart"/>
            <w:r w:rsidRPr="003C5412">
              <w:rPr>
                <w:rFonts w:cstheme="minorHAnsi"/>
                <w:b/>
                <w:bCs/>
              </w:rPr>
              <w:t>2020</w:t>
            </w:r>
            <w:r w:rsidR="00776EA4" w:rsidRPr="003C5412">
              <w:rPr>
                <w:rFonts w:cstheme="minorHAnsi"/>
                <w:b/>
                <w:bCs/>
              </w:rPr>
              <w:t xml:space="preserve"> </w:t>
            </w:r>
            <w:r w:rsidRPr="003C5412">
              <w:rPr>
                <w:rFonts w:cstheme="minorHAnsi"/>
                <w:b/>
                <w:bCs/>
              </w:rPr>
              <w:t>-</w:t>
            </w:r>
            <w:proofErr w:type="gramEnd"/>
            <w:r w:rsidRPr="003C5412">
              <w:rPr>
                <w:rFonts w:cstheme="minorHAnsi"/>
              </w:rPr>
              <w:t xml:space="preserve"> </w:t>
            </w:r>
            <w:r w:rsidRPr="003C5412">
              <w:rPr>
                <w:rFonts w:cstheme="minorHAnsi"/>
                <w:b/>
                <w:bCs/>
              </w:rPr>
              <w:t>31050)</w:t>
            </w:r>
            <w:r w:rsidRPr="003C5412">
              <w:rPr>
                <w:rFonts w:cstheme="minorHAnsi"/>
              </w:rPr>
              <w:t xml:space="preserve"> </w:t>
            </w:r>
            <w:r w:rsidRPr="003C5412">
              <w:rPr>
                <w:rFonts w:cstheme="minorHAnsi"/>
                <w:spacing w:val="-1"/>
              </w:rPr>
              <w:t>Dağıtıcılar</w:t>
            </w:r>
            <w:r w:rsidRPr="003C5412">
              <w:rPr>
                <w:rFonts w:cstheme="minorHAnsi"/>
                <w:spacing w:val="-3"/>
              </w:rPr>
              <w:t xml:space="preserve"> </w:t>
            </w:r>
            <w:r w:rsidRPr="003C5412">
              <w:rPr>
                <w:rFonts w:cstheme="minorHAnsi"/>
                <w:spacing w:val="-1"/>
              </w:rPr>
              <w:t>arası</w:t>
            </w:r>
            <w:r w:rsidRPr="003C5412">
              <w:rPr>
                <w:rFonts w:cstheme="minorHAnsi"/>
                <w:spacing w:val="-4"/>
              </w:rPr>
              <w:t xml:space="preserve"> </w:t>
            </w:r>
            <w:r w:rsidRPr="003C5412">
              <w:rPr>
                <w:rFonts w:cstheme="minorHAnsi"/>
              </w:rPr>
              <w:t>akaryakıt</w:t>
            </w:r>
            <w:r w:rsidRPr="003C5412">
              <w:rPr>
                <w:rFonts w:cstheme="minorHAnsi"/>
                <w:spacing w:val="-3"/>
              </w:rPr>
              <w:t xml:space="preserve"> </w:t>
            </w:r>
            <w:r w:rsidRPr="003C5412">
              <w:rPr>
                <w:rFonts w:cstheme="minorHAnsi"/>
                <w:spacing w:val="-1"/>
              </w:rPr>
              <w:t>ticareti</w:t>
            </w:r>
            <w:r w:rsidRPr="003C5412">
              <w:rPr>
                <w:rFonts w:cstheme="minorHAnsi"/>
                <w:spacing w:val="-4"/>
              </w:rPr>
              <w:t xml:space="preserve"> </w:t>
            </w:r>
            <w:r w:rsidRPr="003C5412">
              <w:rPr>
                <w:rFonts w:cstheme="minorHAnsi"/>
                <w:spacing w:val="-1"/>
              </w:rPr>
              <w:t>lisanslı</w:t>
            </w:r>
            <w:r w:rsidRPr="003C5412">
              <w:rPr>
                <w:rFonts w:cstheme="minorHAnsi"/>
                <w:spacing w:val="-3"/>
              </w:rPr>
              <w:t xml:space="preserve"> </w:t>
            </w:r>
            <w:r w:rsidRPr="003C5412">
              <w:rPr>
                <w:rFonts w:cstheme="minorHAnsi"/>
              </w:rPr>
              <w:t>tesisler</w:t>
            </w:r>
            <w:r w:rsidRPr="003C5412">
              <w:rPr>
                <w:rFonts w:cstheme="minorHAnsi"/>
                <w:spacing w:val="-4"/>
              </w:rPr>
              <w:t xml:space="preserve"> </w:t>
            </w:r>
            <w:r w:rsidRPr="003C5412">
              <w:rPr>
                <w:rFonts w:cstheme="minorHAnsi"/>
                <w:spacing w:val="-1"/>
              </w:rPr>
              <w:t>haricinde</w:t>
            </w:r>
            <w:r w:rsidRPr="003C5412">
              <w:rPr>
                <w:rFonts w:cstheme="minorHAnsi"/>
                <w:spacing w:val="-3"/>
              </w:rPr>
              <w:t xml:space="preserve"> </w:t>
            </w:r>
            <w:r w:rsidRPr="003C5412">
              <w:rPr>
                <w:rFonts w:cstheme="minorHAnsi"/>
                <w:spacing w:val="-1"/>
              </w:rPr>
              <w:t>yapılamaz.</w:t>
            </w:r>
            <w:r w:rsidRPr="003C5412">
              <w:rPr>
                <w:rFonts w:cstheme="minorHAnsi"/>
              </w:rPr>
              <w:t xml:space="preserve"> Dağıtıcılar arası akaryakıt ticareti kapsamında akaryakıt temini sadece izin sahibi dağıtıcı lisansı sahiplerinden yapılır.</w:t>
            </w:r>
          </w:p>
          <w:p w:rsidR="00616BA8" w:rsidRPr="003C5412" w:rsidRDefault="00616BA8" w:rsidP="003C5412">
            <w:pPr>
              <w:jc w:val="both"/>
              <w:rPr>
                <w:rFonts w:cstheme="minorHAnsi"/>
                <w:b/>
              </w:rPr>
            </w:pPr>
          </w:p>
          <w:p w:rsidR="00616BA8" w:rsidRPr="003C5412" w:rsidRDefault="00616BA8" w:rsidP="003C5412">
            <w:pPr>
              <w:jc w:val="both"/>
              <w:rPr>
                <w:rFonts w:cstheme="minorHAnsi"/>
              </w:rPr>
            </w:pPr>
            <w:r w:rsidRPr="003C5412">
              <w:rPr>
                <w:rFonts w:cstheme="minorHAnsi"/>
              </w:rPr>
              <w:t>(2)</w:t>
            </w:r>
            <w:r w:rsidRPr="003C5412">
              <w:rPr>
                <w:rFonts w:cstheme="minorHAnsi"/>
                <w:b/>
              </w:rPr>
              <w:t xml:space="preserve"> </w:t>
            </w:r>
            <w:r w:rsidRPr="003C5412">
              <w:rPr>
                <w:rFonts w:cstheme="minorHAnsi"/>
              </w:rPr>
              <w:t>Dağıtıcılar arası akaryakıt ticareti, satış yapan ve temin eden lisans sahiplerinin her ikisinin alt başlığında da yer alan akaryakıtlarla sınırlıdır. Gazyağı dağıtıcılar arası akaryakıt ticaretine konu edilemez.</w:t>
            </w:r>
          </w:p>
          <w:p w:rsidR="00616BA8" w:rsidRPr="003C5412" w:rsidRDefault="00616BA8" w:rsidP="003C5412">
            <w:pPr>
              <w:jc w:val="both"/>
              <w:rPr>
                <w:rFonts w:cstheme="minorHAnsi"/>
              </w:rPr>
            </w:pPr>
          </w:p>
          <w:p w:rsidR="00616BA8" w:rsidRPr="003C5412" w:rsidRDefault="00616BA8" w:rsidP="003C5412">
            <w:pPr>
              <w:jc w:val="both"/>
              <w:rPr>
                <w:rFonts w:cstheme="minorHAnsi"/>
              </w:rPr>
            </w:pPr>
            <w:r w:rsidRPr="003C5412">
              <w:rPr>
                <w:rFonts w:cstheme="minorHAnsi"/>
              </w:rPr>
              <w:t xml:space="preserve">(3) </w:t>
            </w:r>
            <w:r w:rsidRPr="003C5412">
              <w:rPr>
                <w:rFonts w:cstheme="minorHAnsi"/>
                <w:b/>
              </w:rPr>
              <w:t>(</w:t>
            </w:r>
            <w:r w:rsidRPr="003C5412">
              <w:rPr>
                <w:rFonts w:cstheme="minorHAnsi"/>
                <w:b/>
                <w:bCs/>
              </w:rPr>
              <w:t>Ek: RG-1/6/</w:t>
            </w:r>
            <w:proofErr w:type="gramStart"/>
            <w:r w:rsidRPr="003C5412">
              <w:rPr>
                <w:rFonts w:cstheme="minorHAnsi"/>
                <w:b/>
                <w:bCs/>
              </w:rPr>
              <w:t>2019 -</w:t>
            </w:r>
            <w:proofErr w:type="gramEnd"/>
            <w:r w:rsidRPr="003C5412">
              <w:rPr>
                <w:rFonts w:cstheme="minorHAnsi"/>
              </w:rPr>
              <w:t xml:space="preserve"> </w:t>
            </w:r>
            <w:r w:rsidRPr="003C5412">
              <w:rPr>
                <w:rFonts w:cstheme="minorHAnsi"/>
                <w:b/>
                <w:bCs/>
              </w:rPr>
              <w:t>30791)</w:t>
            </w:r>
            <w:r w:rsidRPr="003C5412">
              <w:rPr>
                <w:rFonts w:cstheme="minorHAnsi"/>
                <w:b/>
              </w:rPr>
              <w:t xml:space="preserve"> </w:t>
            </w:r>
            <w:r w:rsidRPr="003C5412">
              <w:rPr>
                <w:rFonts w:cstheme="minorHAnsi"/>
              </w:rPr>
              <w:t>İzin sahibi tarafından bir faaliyet dönemi içinde dağıtıcılar arası akaryakıt ticareti kapsamında yapılabilecek toplam teslim miktarı, izin sahibinin aynı dönem içinde ithalat yoluyla ve/veya rafinericiden temin ettiği akaryakıt miktarının toplamından fazla olamaz.</w:t>
            </w:r>
          </w:p>
          <w:p w:rsidR="00616BA8" w:rsidRPr="003C5412" w:rsidRDefault="00616BA8" w:rsidP="003C5412">
            <w:pPr>
              <w:jc w:val="both"/>
              <w:rPr>
                <w:rFonts w:cstheme="minorHAnsi"/>
              </w:rPr>
            </w:pPr>
          </w:p>
          <w:p w:rsidR="00616BA8" w:rsidRPr="003C5412" w:rsidRDefault="00616BA8" w:rsidP="003C5412">
            <w:pPr>
              <w:jc w:val="both"/>
              <w:rPr>
                <w:rFonts w:cstheme="minorHAnsi"/>
              </w:rPr>
            </w:pPr>
            <w:r w:rsidRPr="003C5412">
              <w:rPr>
                <w:rFonts w:cstheme="minorHAnsi"/>
              </w:rPr>
              <w:t xml:space="preserve">(4) </w:t>
            </w:r>
            <w:r w:rsidRPr="003C5412">
              <w:rPr>
                <w:rFonts w:cstheme="minorHAnsi"/>
                <w:b/>
              </w:rPr>
              <w:t>(</w:t>
            </w:r>
            <w:r w:rsidRPr="003C5412">
              <w:rPr>
                <w:rFonts w:cstheme="minorHAnsi"/>
                <w:b/>
                <w:bCs/>
              </w:rPr>
              <w:t>Ek: RG-1/6/</w:t>
            </w:r>
            <w:proofErr w:type="gramStart"/>
            <w:r w:rsidRPr="003C5412">
              <w:rPr>
                <w:rFonts w:cstheme="minorHAnsi"/>
                <w:b/>
                <w:bCs/>
              </w:rPr>
              <w:t>2019 -</w:t>
            </w:r>
            <w:proofErr w:type="gramEnd"/>
            <w:r w:rsidRPr="003C5412">
              <w:rPr>
                <w:rFonts w:cstheme="minorHAnsi"/>
              </w:rPr>
              <w:t xml:space="preserve"> </w:t>
            </w:r>
            <w:r w:rsidRPr="003C5412">
              <w:rPr>
                <w:rFonts w:cstheme="minorHAnsi"/>
                <w:b/>
                <w:bCs/>
              </w:rPr>
              <w:t>30791)</w:t>
            </w:r>
            <w:r w:rsidRPr="003C5412">
              <w:rPr>
                <w:rFonts w:cstheme="minorHAnsi"/>
                <w:b/>
              </w:rPr>
              <w:t xml:space="preserve"> </w:t>
            </w:r>
            <w:r w:rsidRPr="003C5412">
              <w:rPr>
                <w:rFonts w:cstheme="minorHAnsi"/>
              </w:rPr>
              <w:t>Bu maddenin üçüncü fıkrasında yer alan kısıtlamaya uymadığı tespit edilen izin sahibine 5015 sayılı Petrol Piyasası Kanunun ilgili maddelerince uygulanacak idari yaptırımın yanı sıra, bir sonraki dönem için izin verilmez, varsa mevcut izni Kurul tarafından sona erdirilir.</w:t>
            </w:r>
          </w:p>
          <w:p w:rsidR="00B45A33" w:rsidRPr="003C5412" w:rsidRDefault="00B45A33" w:rsidP="003C5412">
            <w:pPr>
              <w:jc w:val="both"/>
              <w:rPr>
                <w:rFonts w:cstheme="minorHAnsi"/>
                <w:b/>
              </w:rPr>
            </w:pPr>
          </w:p>
        </w:tc>
        <w:tc>
          <w:tcPr>
            <w:tcW w:w="7626" w:type="dxa"/>
          </w:tcPr>
          <w:p w:rsidR="00616BA8" w:rsidRPr="003C5412" w:rsidRDefault="00616BA8" w:rsidP="003C5412">
            <w:pPr>
              <w:rPr>
                <w:rFonts w:cstheme="minorHAnsi"/>
                <w:b/>
              </w:rPr>
            </w:pPr>
            <w:r w:rsidRPr="003C5412">
              <w:rPr>
                <w:rFonts w:cstheme="minorHAnsi"/>
                <w:b/>
              </w:rPr>
              <w:t>Sınırlamalar</w:t>
            </w:r>
          </w:p>
          <w:p w:rsidR="00616BA8" w:rsidRPr="003C5412" w:rsidRDefault="00616BA8" w:rsidP="003C5412">
            <w:pPr>
              <w:tabs>
                <w:tab w:val="left" w:pos="7740"/>
              </w:tabs>
              <w:jc w:val="both"/>
              <w:rPr>
                <w:rFonts w:cstheme="minorHAnsi"/>
                <w:b/>
              </w:rPr>
            </w:pPr>
            <w:r w:rsidRPr="003C5412">
              <w:rPr>
                <w:rFonts w:cstheme="minorHAnsi"/>
                <w:b/>
              </w:rPr>
              <w:t xml:space="preserve">Madde 5- </w:t>
            </w:r>
            <w:r w:rsidRPr="003C5412">
              <w:rPr>
                <w:rFonts w:cstheme="minorHAnsi"/>
              </w:rPr>
              <w:t xml:space="preserve">(1) İzin sahibi olmayan dağıtıcı lisansı sahipleri, dağıtıcılar arası akaryakıt ticareti kapsamında satış işlemi gerçekleştiremez. </w:t>
            </w:r>
            <w:r w:rsidRPr="003C5412">
              <w:rPr>
                <w:rFonts w:cstheme="minorHAnsi"/>
                <w:b/>
              </w:rPr>
              <w:t>(</w:t>
            </w:r>
            <w:r w:rsidRPr="003C5412">
              <w:rPr>
                <w:rFonts w:cstheme="minorHAnsi"/>
                <w:b/>
                <w:bCs/>
              </w:rPr>
              <w:t>Ek cümle: RG-25/2/</w:t>
            </w:r>
            <w:proofErr w:type="gramStart"/>
            <w:r w:rsidR="00776EA4" w:rsidRPr="003C5412">
              <w:rPr>
                <w:rFonts w:cstheme="minorHAnsi"/>
                <w:b/>
                <w:bCs/>
              </w:rPr>
              <w:t>2020 -</w:t>
            </w:r>
            <w:proofErr w:type="gramEnd"/>
            <w:r w:rsidRPr="003C5412">
              <w:rPr>
                <w:rFonts w:cstheme="minorHAnsi"/>
              </w:rPr>
              <w:t xml:space="preserve"> </w:t>
            </w:r>
            <w:r w:rsidRPr="003C5412">
              <w:rPr>
                <w:rFonts w:cstheme="minorHAnsi"/>
                <w:b/>
                <w:bCs/>
              </w:rPr>
              <w:t>31050)</w:t>
            </w:r>
            <w:r w:rsidRPr="003C5412">
              <w:rPr>
                <w:rFonts w:cstheme="minorHAnsi"/>
              </w:rPr>
              <w:t xml:space="preserve"> </w:t>
            </w:r>
            <w:r w:rsidRPr="003C5412">
              <w:rPr>
                <w:rFonts w:cstheme="minorHAnsi"/>
                <w:spacing w:val="-1"/>
              </w:rPr>
              <w:t>Dağıtıcılar</w:t>
            </w:r>
            <w:r w:rsidRPr="003C5412">
              <w:rPr>
                <w:rFonts w:cstheme="minorHAnsi"/>
                <w:spacing w:val="-3"/>
              </w:rPr>
              <w:t xml:space="preserve"> </w:t>
            </w:r>
            <w:r w:rsidRPr="003C5412">
              <w:rPr>
                <w:rFonts w:cstheme="minorHAnsi"/>
                <w:spacing w:val="-1"/>
              </w:rPr>
              <w:t>arası</w:t>
            </w:r>
            <w:r w:rsidRPr="003C5412">
              <w:rPr>
                <w:rFonts w:cstheme="minorHAnsi"/>
                <w:spacing w:val="-4"/>
              </w:rPr>
              <w:t xml:space="preserve"> </w:t>
            </w:r>
            <w:r w:rsidRPr="003C5412">
              <w:rPr>
                <w:rFonts w:cstheme="minorHAnsi"/>
              </w:rPr>
              <w:t>akaryakıt</w:t>
            </w:r>
            <w:r w:rsidRPr="003C5412">
              <w:rPr>
                <w:rFonts w:cstheme="minorHAnsi"/>
                <w:spacing w:val="-3"/>
              </w:rPr>
              <w:t xml:space="preserve"> </w:t>
            </w:r>
            <w:r w:rsidRPr="003C5412">
              <w:rPr>
                <w:rFonts w:cstheme="minorHAnsi"/>
                <w:spacing w:val="-1"/>
              </w:rPr>
              <w:t>ticareti</w:t>
            </w:r>
            <w:r w:rsidRPr="003C5412">
              <w:rPr>
                <w:rFonts w:cstheme="minorHAnsi"/>
                <w:spacing w:val="-4"/>
              </w:rPr>
              <w:t xml:space="preserve"> </w:t>
            </w:r>
            <w:r w:rsidRPr="003C5412">
              <w:rPr>
                <w:rFonts w:cstheme="minorHAnsi"/>
                <w:spacing w:val="-1"/>
              </w:rPr>
              <w:t>lisanslı</w:t>
            </w:r>
            <w:r w:rsidRPr="003C5412">
              <w:rPr>
                <w:rFonts w:cstheme="minorHAnsi"/>
                <w:spacing w:val="-3"/>
              </w:rPr>
              <w:t xml:space="preserve"> </w:t>
            </w:r>
            <w:r w:rsidRPr="003C5412">
              <w:rPr>
                <w:rFonts w:cstheme="minorHAnsi"/>
              </w:rPr>
              <w:t>tesisler</w:t>
            </w:r>
            <w:r w:rsidRPr="003C5412">
              <w:rPr>
                <w:rFonts w:cstheme="minorHAnsi"/>
                <w:spacing w:val="-4"/>
              </w:rPr>
              <w:t xml:space="preserve"> </w:t>
            </w:r>
            <w:r w:rsidRPr="003C5412">
              <w:rPr>
                <w:rFonts w:cstheme="minorHAnsi"/>
                <w:spacing w:val="-1"/>
              </w:rPr>
              <w:t>haricinde</w:t>
            </w:r>
            <w:r w:rsidRPr="003C5412">
              <w:rPr>
                <w:rFonts w:cstheme="minorHAnsi"/>
                <w:spacing w:val="-3"/>
              </w:rPr>
              <w:t xml:space="preserve"> </w:t>
            </w:r>
            <w:r w:rsidRPr="003C5412">
              <w:rPr>
                <w:rFonts w:cstheme="minorHAnsi"/>
                <w:spacing w:val="-1"/>
              </w:rPr>
              <w:t>yapılamaz.</w:t>
            </w:r>
            <w:r w:rsidRPr="003C5412">
              <w:rPr>
                <w:rFonts w:cstheme="minorHAnsi"/>
              </w:rPr>
              <w:t xml:space="preserve"> Dağıtıcılar arası akaryakıt ticareti kapsamında akaryakıt temini sadece izin sahibi dağıtıcı lisansı sahiplerinden yapılır.</w:t>
            </w:r>
          </w:p>
          <w:p w:rsidR="00616BA8" w:rsidRPr="003C5412" w:rsidRDefault="00616BA8" w:rsidP="003C5412">
            <w:pPr>
              <w:jc w:val="both"/>
              <w:rPr>
                <w:rFonts w:cstheme="minorHAnsi"/>
                <w:b/>
              </w:rPr>
            </w:pPr>
          </w:p>
          <w:p w:rsidR="00616BA8" w:rsidRPr="003C5412" w:rsidRDefault="00616BA8" w:rsidP="003C5412">
            <w:pPr>
              <w:jc w:val="both"/>
              <w:rPr>
                <w:rFonts w:cstheme="minorHAnsi"/>
              </w:rPr>
            </w:pPr>
            <w:r w:rsidRPr="003C5412">
              <w:rPr>
                <w:rFonts w:cstheme="minorHAnsi"/>
              </w:rPr>
              <w:t>(2)</w:t>
            </w:r>
            <w:r w:rsidRPr="003C5412">
              <w:rPr>
                <w:rFonts w:cstheme="minorHAnsi"/>
                <w:b/>
              </w:rPr>
              <w:t xml:space="preserve"> </w:t>
            </w:r>
            <w:r w:rsidRPr="003C5412">
              <w:rPr>
                <w:rFonts w:cstheme="minorHAnsi"/>
              </w:rPr>
              <w:t>Dağıtıcılar arası akaryakıt ticareti, satış yapan ve temin eden lisans sahiplerinin her ikisinin alt başlığında da yer alan akaryakıtlarla sınırlıdır. Gazyağı dağıtıcılar arası akaryakıt ticaretine konu edilemez.</w:t>
            </w:r>
          </w:p>
          <w:p w:rsidR="00616BA8" w:rsidRPr="003C5412" w:rsidRDefault="00616BA8" w:rsidP="003C5412">
            <w:pPr>
              <w:jc w:val="both"/>
              <w:rPr>
                <w:rFonts w:cstheme="minorHAnsi"/>
              </w:rPr>
            </w:pPr>
          </w:p>
          <w:p w:rsidR="00616BA8" w:rsidRPr="003C5412" w:rsidRDefault="00616BA8" w:rsidP="003C5412">
            <w:pPr>
              <w:jc w:val="both"/>
              <w:rPr>
                <w:rFonts w:cstheme="minorHAnsi"/>
              </w:rPr>
            </w:pPr>
            <w:r w:rsidRPr="003C5412">
              <w:rPr>
                <w:rFonts w:cstheme="minorHAnsi"/>
              </w:rPr>
              <w:t xml:space="preserve">(3) </w:t>
            </w:r>
            <w:r w:rsidRPr="003C5412">
              <w:rPr>
                <w:rFonts w:cstheme="minorHAnsi"/>
                <w:b/>
              </w:rPr>
              <w:t>(</w:t>
            </w:r>
            <w:r w:rsidRPr="003C5412">
              <w:rPr>
                <w:rFonts w:cstheme="minorHAnsi"/>
                <w:b/>
                <w:bCs/>
              </w:rPr>
              <w:t>Ek: RG-1/6/</w:t>
            </w:r>
            <w:proofErr w:type="gramStart"/>
            <w:r w:rsidRPr="003C5412">
              <w:rPr>
                <w:rFonts w:cstheme="minorHAnsi"/>
                <w:b/>
                <w:bCs/>
              </w:rPr>
              <w:t>2019 -</w:t>
            </w:r>
            <w:proofErr w:type="gramEnd"/>
            <w:r w:rsidRPr="003C5412">
              <w:rPr>
                <w:rFonts w:cstheme="minorHAnsi"/>
              </w:rPr>
              <w:t xml:space="preserve"> </w:t>
            </w:r>
            <w:r w:rsidRPr="003C5412">
              <w:rPr>
                <w:rFonts w:cstheme="minorHAnsi"/>
                <w:b/>
                <w:bCs/>
              </w:rPr>
              <w:t>30791)</w:t>
            </w:r>
            <w:r w:rsidRPr="003C5412">
              <w:rPr>
                <w:rFonts w:cstheme="minorHAnsi"/>
                <w:b/>
              </w:rPr>
              <w:t xml:space="preserve"> </w:t>
            </w:r>
            <w:r w:rsidRPr="003C5412">
              <w:rPr>
                <w:rFonts w:cstheme="minorHAnsi"/>
              </w:rPr>
              <w:t>İzin sahibi tarafından bir faaliyet dönemi içinde dağıtıcılar arası akaryakıt ticareti kapsamında yapılabilecek toplam teslim miktarı, izin sahibinin aynı dönem içinde ithalat yoluyla ve/veya rafinericiden temin ettiği akaryakıt miktarının toplamından fazla olamaz.</w:t>
            </w:r>
          </w:p>
          <w:p w:rsidR="00616BA8" w:rsidRPr="003C5412" w:rsidRDefault="00616BA8" w:rsidP="003C5412">
            <w:pPr>
              <w:jc w:val="both"/>
              <w:rPr>
                <w:rFonts w:cstheme="minorHAnsi"/>
              </w:rPr>
            </w:pPr>
          </w:p>
          <w:p w:rsidR="00616BA8" w:rsidRPr="003C5412" w:rsidRDefault="00616BA8" w:rsidP="003C5412">
            <w:pPr>
              <w:jc w:val="both"/>
              <w:rPr>
                <w:rFonts w:cstheme="minorHAnsi"/>
              </w:rPr>
            </w:pPr>
            <w:r w:rsidRPr="003C5412">
              <w:rPr>
                <w:rFonts w:cstheme="minorHAnsi"/>
              </w:rPr>
              <w:t xml:space="preserve">(4) </w:t>
            </w:r>
            <w:r w:rsidRPr="003C5412">
              <w:rPr>
                <w:rFonts w:cstheme="minorHAnsi"/>
                <w:b/>
              </w:rPr>
              <w:t>(</w:t>
            </w:r>
            <w:r w:rsidRPr="003C5412">
              <w:rPr>
                <w:rFonts w:cstheme="minorHAnsi"/>
                <w:b/>
                <w:bCs/>
              </w:rPr>
              <w:t>Ek: RG-1/6/</w:t>
            </w:r>
            <w:proofErr w:type="gramStart"/>
            <w:r w:rsidRPr="003C5412">
              <w:rPr>
                <w:rFonts w:cstheme="minorHAnsi"/>
                <w:b/>
                <w:bCs/>
              </w:rPr>
              <w:t>2019 -</w:t>
            </w:r>
            <w:proofErr w:type="gramEnd"/>
            <w:r w:rsidRPr="003C5412">
              <w:rPr>
                <w:rFonts w:cstheme="minorHAnsi"/>
              </w:rPr>
              <w:t xml:space="preserve"> </w:t>
            </w:r>
            <w:r w:rsidRPr="003C5412">
              <w:rPr>
                <w:rFonts w:cstheme="minorHAnsi"/>
                <w:b/>
                <w:bCs/>
              </w:rPr>
              <w:t>30791)</w:t>
            </w:r>
            <w:r w:rsidRPr="003C5412">
              <w:rPr>
                <w:rFonts w:cstheme="minorHAnsi"/>
                <w:b/>
              </w:rPr>
              <w:t xml:space="preserve"> </w:t>
            </w:r>
            <w:r w:rsidRPr="003C5412">
              <w:rPr>
                <w:rFonts w:cstheme="minorHAnsi"/>
              </w:rPr>
              <w:t>Bu maddenin üçüncü fıkrasında yer alan kısıtlamaya uymadığı tespit edilen izin sahibine 5015 sayılı Petrol Piyasası Kanunun ilgili maddelerince uygulanacak idari yaptırımın yanı sıra, bir sonraki dönem için izin verilmez, varsa mevcut izni Kurul tarafından sona erdirilir.</w:t>
            </w:r>
          </w:p>
          <w:p w:rsidR="00616BA8" w:rsidRPr="003C5412" w:rsidRDefault="00616BA8" w:rsidP="003C5412">
            <w:pPr>
              <w:jc w:val="both"/>
              <w:rPr>
                <w:rFonts w:cstheme="minorHAnsi"/>
                <w:color w:val="FF0000"/>
              </w:rPr>
            </w:pPr>
          </w:p>
          <w:p w:rsidR="00B45A33" w:rsidRPr="003C5412" w:rsidRDefault="00616BA8" w:rsidP="003C5412">
            <w:pPr>
              <w:jc w:val="both"/>
              <w:rPr>
                <w:rFonts w:cstheme="minorHAnsi"/>
                <w:color w:val="FF0000"/>
              </w:rPr>
            </w:pPr>
            <w:r w:rsidRPr="003C5412">
              <w:rPr>
                <w:rFonts w:cstheme="minorHAnsi"/>
                <w:color w:val="FF0000"/>
              </w:rPr>
              <w:t>(5)</w:t>
            </w:r>
            <w:r w:rsidR="003C5412" w:rsidRPr="003C5412">
              <w:rPr>
                <w:rFonts w:cstheme="minorHAnsi"/>
                <w:color w:val="000000" w:themeColor="text1"/>
              </w:rPr>
              <w:t xml:space="preserve"> </w:t>
            </w:r>
            <w:r w:rsidR="003C5412" w:rsidRPr="003C5412">
              <w:rPr>
                <w:rFonts w:cstheme="minorHAnsi"/>
                <w:color w:val="FF0000"/>
              </w:rPr>
              <w:t>Kanunun 9 uncu maddesinin birinci fıkrasında yer alan “Dağıtıcılar, herhangi bir dağıtıcıdan aldıkları akaryakıtı başka bir dağıtıcıya satamazlar.” hükmünün uygulamasına ilişkin değerlendirme, depolama faaliyetinde bulunan lisans sahiplerinin tesislerinde bulunan ve dağıtıcılar arası akaryakıt ticaretine konu olan serbest dolaşımdaki akaryakıtların toplamı dikkate alınarak aylık bazda yapılır ve buna ilişkin izleme ilgili mevzuat kapsamında lisans sahipleri tarafından Kuruma iletilen veriler ve gerekli görülmesi halinde ilgili diğer bilgi ve belgeler aracılığı ile gerçekleştirilir</w:t>
            </w:r>
            <w:r w:rsidRPr="003C5412">
              <w:rPr>
                <w:rFonts w:cstheme="minorHAnsi"/>
                <w:color w:val="FF0000"/>
              </w:rPr>
              <w:t>.</w:t>
            </w:r>
          </w:p>
        </w:tc>
      </w:tr>
      <w:tr w:rsidR="00C8469F" w:rsidRPr="003C5412" w:rsidTr="003C5412">
        <w:trPr>
          <w:trHeight w:val="826"/>
        </w:trPr>
        <w:tc>
          <w:tcPr>
            <w:tcW w:w="6686" w:type="dxa"/>
          </w:tcPr>
          <w:p w:rsidR="00C8469F" w:rsidRPr="003C5412" w:rsidRDefault="00C8469F" w:rsidP="003C5412">
            <w:pPr>
              <w:ind w:firstLine="709"/>
              <w:jc w:val="both"/>
              <w:rPr>
                <w:rFonts w:cstheme="minorHAnsi"/>
                <w:b/>
              </w:rPr>
            </w:pPr>
          </w:p>
        </w:tc>
        <w:tc>
          <w:tcPr>
            <w:tcW w:w="7626" w:type="dxa"/>
          </w:tcPr>
          <w:p w:rsidR="00616BA8" w:rsidRPr="003C5412" w:rsidRDefault="00616BA8" w:rsidP="003C5412">
            <w:pPr>
              <w:jc w:val="both"/>
              <w:rPr>
                <w:rFonts w:cstheme="minorHAnsi"/>
                <w:b/>
                <w:color w:val="FF0000"/>
              </w:rPr>
            </w:pPr>
            <w:r w:rsidRPr="003C5412">
              <w:rPr>
                <w:rFonts w:cstheme="minorHAnsi"/>
                <w:b/>
                <w:color w:val="FF0000"/>
              </w:rPr>
              <w:t>Önceki teminler</w:t>
            </w:r>
          </w:p>
          <w:p w:rsidR="00C8469F" w:rsidRPr="003C5412" w:rsidRDefault="00616BA8" w:rsidP="003C5412">
            <w:pPr>
              <w:jc w:val="both"/>
              <w:rPr>
                <w:rFonts w:cstheme="minorHAnsi"/>
                <w:color w:val="FF0000"/>
              </w:rPr>
            </w:pPr>
            <w:r w:rsidRPr="003C5412">
              <w:rPr>
                <w:rFonts w:cstheme="minorHAnsi"/>
                <w:b/>
                <w:color w:val="FF0000"/>
              </w:rPr>
              <w:t xml:space="preserve">Geçici Madde 4- </w:t>
            </w:r>
            <w:r w:rsidRPr="003C5412">
              <w:rPr>
                <w:rFonts w:cstheme="minorHAnsi"/>
                <w:color w:val="FF0000"/>
              </w:rPr>
              <w:t>Bu Kararın 5 inci maddesinin beşinci fıkrasının uygulamasında 1/1/2022 tarihinden önceki teminler dikkate alınmaz.</w:t>
            </w:r>
          </w:p>
        </w:tc>
      </w:tr>
    </w:tbl>
    <w:p w:rsidR="00327A9C" w:rsidRPr="003C5412" w:rsidRDefault="00327A9C" w:rsidP="003C5412">
      <w:pPr>
        <w:spacing w:after="0" w:line="240" w:lineRule="auto"/>
        <w:jc w:val="both"/>
        <w:rPr>
          <w:rFonts w:cstheme="minorHAnsi"/>
        </w:rPr>
      </w:pPr>
    </w:p>
    <w:sectPr w:rsidR="00327A9C" w:rsidRPr="003C5412" w:rsidSect="003C5412">
      <w:footerReference w:type="default" r:id="rId6"/>
      <w:pgSz w:w="16838" w:h="11906" w:orient="landscape"/>
      <w:pgMar w:top="284" w:right="1417" w:bottom="426"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5A93" w:rsidRDefault="004B5A93" w:rsidP="00CC6FE0">
      <w:pPr>
        <w:spacing w:after="0" w:line="240" w:lineRule="auto"/>
      </w:pPr>
      <w:r>
        <w:separator/>
      </w:r>
    </w:p>
  </w:endnote>
  <w:endnote w:type="continuationSeparator" w:id="0">
    <w:p w:rsidR="004B5A93" w:rsidRDefault="004B5A93" w:rsidP="00CC6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3847629"/>
      <w:docPartObj>
        <w:docPartGallery w:val="Page Numbers (Bottom of Page)"/>
        <w:docPartUnique/>
      </w:docPartObj>
    </w:sdtPr>
    <w:sdtEndPr/>
    <w:sdtContent>
      <w:p w:rsidR="00D22701" w:rsidRDefault="00D22701">
        <w:pPr>
          <w:pStyle w:val="AltBilgi"/>
          <w:jc w:val="center"/>
        </w:pPr>
        <w:r>
          <w:fldChar w:fldCharType="begin"/>
        </w:r>
        <w:r>
          <w:instrText>PAGE   \* MERGEFORMAT</w:instrText>
        </w:r>
        <w:r>
          <w:fldChar w:fldCharType="separate"/>
        </w:r>
        <w:r w:rsidR="002135D2">
          <w:rPr>
            <w:noProof/>
          </w:rPr>
          <w:t>2</w:t>
        </w:r>
        <w:r>
          <w:fldChar w:fldCharType="end"/>
        </w:r>
      </w:p>
    </w:sdtContent>
  </w:sdt>
  <w:p w:rsidR="00F05F03" w:rsidRDefault="00F05F0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5A93" w:rsidRDefault="004B5A93" w:rsidP="00CC6FE0">
      <w:pPr>
        <w:spacing w:after="0" w:line="240" w:lineRule="auto"/>
      </w:pPr>
      <w:r>
        <w:separator/>
      </w:r>
    </w:p>
  </w:footnote>
  <w:footnote w:type="continuationSeparator" w:id="0">
    <w:p w:rsidR="004B5A93" w:rsidRDefault="004B5A93" w:rsidP="00CC6F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3C6"/>
    <w:rsid w:val="000262B7"/>
    <w:rsid w:val="000516EC"/>
    <w:rsid w:val="00080ECF"/>
    <w:rsid w:val="000955E8"/>
    <w:rsid w:val="000A6705"/>
    <w:rsid w:val="000B3952"/>
    <w:rsid w:val="00102BF9"/>
    <w:rsid w:val="00112654"/>
    <w:rsid w:val="0012124F"/>
    <w:rsid w:val="00125045"/>
    <w:rsid w:val="0012770F"/>
    <w:rsid w:val="00165A7D"/>
    <w:rsid w:val="00183D0A"/>
    <w:rsid w:val="001866B9"/>
    <w:rsid w:val="00197A9F"/>
    <w:rsid w:val="001A1996"/>
    <w:rsid w:val="001D05BD"/>
    <w:rsid w:val="00202194"/>
    <w:rsid w:val="002026B6"/>
    <w:rsid w:val="00211007"/>
    <w:rsid w:val="002135D2"/>
    <w:rsid w:val="00216655"/>
    <w:rsid w:val="0023778F"/>
    <w:rsid w:val="0024559A"/>
    <w:rsid w:val="00291BC3"/>
    <w:rsid w:val="00294F8C"/>
    <w:rsid w:val="002A0965"/>
    <w:rsid w:val="002A1C30"/>
    <w:rsid w:val="002A506E"/>
    <w:rsid w:val="002C51CD"/>
    <w:rsid w:val="003160BF"/>
    <w:rsid w:val="003202D5"/>
    <w:rsid w:val="00327A9C"/>
    <w:rsid w:val="00342036"/>
    <w:rsid w:val="0037406F"/>
    <w:rsid w:val="003A626A"/>
    <w:rsid w:val="003C5412"/>
    <w:rsid w:val="003D33E1"/>
    <w:rsid w:val="004109CD"/>
    <w:rsid w:val="004117FA"/>
    <w:rsid w:val="004443C6"/>
    <w:rsid w:val="004543B2"/>
    <w:rsid w:val="00455FA0"/>
    <w:rsid w:val="00457032"/>
    <w:rsid w:val="00464C58"/>
    <w:rsid w:val="00475546"/>
    <w:rsid w:val="00484118"/>
    <w:rsid w:val="004A6B17"/>
    <w:rsid w:val="004B2D0D"/>
    <w:rsid w:val="004B3971"/>
    <w:rsid w:val="004B523B"/>
    <w:rsid w:val="004B5A93"/>
    <w:rsid w:val="004C66AB"/>
    <w:rsid w:val="004D38CE"/>
    <w:rsid w:val="004D72FA"/>
    <w:rsid w:val="004D7CD2"/>
    <w:rsid w:val="004E1E07"/>
    <w:rsid w:val="004E1F75"/>
    <w:rsid w:val="005176F9"/>
    <w:rsid w:val="0052533F"/>
    <w:rsid w:val="00540184"/>
    <w:rsid w:val="00567C26"/>
    <w:rsid w:val="00591284"/>
    <w:rsid w:val="005C06D6"/>
    <w:rsid w:val="005D23EB"/>
    <w:rsid w:val="005E49D4"/>
    <w:rsid w:val="005E4C2F"/>
    <w:rsid w:val="005E5D46"/>
    <w:rsid w:val="005F3B10"/>
    <w:rsid w:val="00616BA8"/>
    <w:rsid w:val="006274EC"/>
    <w:rsid w:val="00627AA9"/>
    <w:rsid w:val="00634AC7"/>
    <w:rsid w:val="006415B3"/>
    <w:rsid w:val="00642767"/>
    <w:rsid w:val="00656167"/>
    <w:rsid w:val="00672C0B"/>
    <w:rsid w:val="00680856"/>
    <w:rsid w:val="00684A9B"/>
    <w:rsid w:val="00695493"/>
    <w:rsid w:val="006A1701"/>
    <w:rsid w:val="006B2293"/>
    <w:rsid w:val="006D6C44"/>
    <w:rsid w:val="006F72FD"/>
    <w:rsid w:val="007206F9"/>
    <w:rsid w:val="0075576B"/>
    <w:rsid w:val="007677D5"/>
    <w:rsid w:val="007708B8"/>
    <w:rsid w:val="00776EA4"/>
    <w:rsid w:val="00783979"/>
    <w:rsid w:val="0079241C"/>
    <w:rsid w:val="007A05EB"/>
    <w:rsid w:val="007A4B01"/>
    <w:rsid w:val="007D0763"/>
    <w:rsid w:val="008370C0"/>
    <w:rsid w:val="00841127"/>
    <w:rsid w:val="00883A0C"/>
    <w:rsid w:val="008C395E"/>
    <w:rsid w:val="008E14EC"/>
    <w:rsid w:val="008F26F1"/>
    <w:rsid w:val="008F3682"/>
    <w:rsid w:val="008F4E8B"/>
    <w:rsid w:val="00902EB3"/>
    <w:rsid w:val="0090482F"/>
    <w:rsid w:val="00904D54"/>
    <w:rsid w:val="00917733"/>
    <w:rsid w:val="00925768"/>
    <w:rsid w:val="009276D0"/>
    <w:rsid w:val="009343F2"/>
    <w:rsid w:val="0095133A"/>
    <w:rsid w:val="00952487"/>
    <w:rsid w:val="0096498D"/>
    <w:rsid w:val="0098587F"/>
    <w:rsid w:val="00987896"/>
    <w:rsid w:val="0099146F"/>
    <w:rsid w:val="00991785"/>
    <w:rsid w:val="00992B28"/>
    <w:rsid w:val="009E16C8"/>
    <w:rsid w:val="009F5FAF"/>
    <w:rsid w:val="00A44115"/>
    <w:rsid w:val="00A5159F"/>
    <w:rsid w:val="00A527F7"/>
    <w:rsid w:val="00A71725"/>
    <w:rsid w:val="00A74956"/>
    <w:rsid w:val="00A95235"/>
    <w:rsid w:val="00AB4512"/>
    <w:rsid w:val="00AF0B4D"/>
    <w:rsid w:val="00AF7094"/>
    <w:rsid w:val="00B020D4"/>
    <w:rsid w:val="00B0759B"/>
    <w:rsid w:val="00B117E9"/>
    <w:rsid w:val="00B27900"/>
    <w:rsid w:val="00B30B9B"/>
    <w:rsid w:val="00B422CC"/>
    <w:rsid w:val="00B45A33"/>
    <w:rsid w:val="00B6140B"/>
    <w:rsid w:val="00B67B87"/>
    <w:rsid w:val="00B8303A"/>
    <w:rsid w:val="00B85C52"/>
    <w:rsid w:val="00B93D08"/>
    <w:rsid w:val="00BC2F79"/>
    <w:rsid w:val="00BC4C6E"/>
    <w:rsid w:val="00BD767B"/>
    <w:rsid w:val="00BF31B8"/>
    <w:rsid w:val="00BF7436"/>
    <w:rsid w:val="00BF74D1"/>
    <w:rsid w:val="00C32EE1"/>
    <w:rsid w:val="00C333D8"/>
    <w:rsid w:val="00C4332F"/>
    <w:rsid w:val="00C8469F"/>
    <w:rsid w:val="00CB2421"/>
    <w:rsid w:val="00CB6115"/>
    <w:rsid w:val="00CC6FE0"/>
    <w:rsid w:val="00CD3B3E"/>
    <w:rsid w:val="00CD3BC8"/>
    <w:rsid w:val="00CE7B17"/>
    <w:rsid w:val="00CF7AE1"/>
    <w:rsid w:val="00D029D8"/>
    <w:rsid w:val="00D22302"/>
    <w:rsid w:val="00D22701"/>
    <w:rsid w:val="00D22B2C"/>
    <w:rsid w:val="00D27D2D"/>
    <w:rsid w:val="00D32AEE"/>
    <w:rsid w:val="00D37E8F"/>
    <w:rsid w:val="00D51DC2"/>
    <w:rsid w:val="00D55C2B"/>
    <w:rsid w:val="00D80AF6"/>
    <w:rsid w:val="00DB72A3"/>
    <w:rsid w:val="00DC5B37"/>
    <w:rsid w:val="00DE4B3A"/>
    <w:rsid w:val="00DF5A6D"/>
    <w:rsid w:val="00E0045C"/>
    <w:rsid w:val="00E00A4C"/>
    <w:rsid w:val="00E10988"/>
    <w:rsid w:val="00E15F5F"/>
    <w:rsid w:val="00E349C1"/>
    <w:rsid w:val="00E41077"/>
    <w:rsid w:val="00E47E2D"/>
    <w:rsid w:val="00EA7F64"/>
    <w:rsid w:val="00EC1CDD"/>
    <w:rsid w:val="00EE1DBB"/>
    <w:rsid w:val="00EF2873"/>
    <w:rsid w:val="00F0320E"/>
    <w:rsid w:val="00F05F03"/>
    <w:rsid w:val="00F20FFC"/>
    <w:rsid w:val="00F257AF"/>
    <w:rsid w:val="00F43C9E"/>
    <w:rsid w:val="00F44E36"/>
    <w:rsid w:val="00F5165B"/>
    <w:rsid w:val="00F9254F"/>
    <w:rsid w:val="00FA236B"/>
    <w:rsid w:val="00FB15E2"/>
    <w:rsid w:val="00FB33B5"/>
    <w:rsid w:val="00FB498A"/>
    <w:rsid w:val="00FC46F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AF370"/>
  <w15:docId w15:val="{86DB29AA-6991-4995-9C77-267E3AEBE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Balk1">
    <w:name w:val="heading 1"/>
    <w:basedOn w:val="Normal"/>
    <w:link w:val="Balk1Char"/>
    <w:uiPriority w:val="9"/>
    <w:qFormat/>
    <w:rsid w:val="00616BA8"/>
    <w:pPr>
      <w:widowControl w:val="0"/>
      <w:spacing w:after="0" w:line="240" w:lineRule="auto"/>
      <w:outlineLvl w:val="0"/>
    </w:pPr>
    <w:rPr>
      <w:rFonts w:ascii="Times New Roman" w:eastAsia="Times New Roman" w:hAnsi="Times New Roman"/>
      <w:b/>
      <w:bCs/>
      <w:sz w:val="24"/>
      <w:szCs w:val="24"/>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4443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E7B1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E7B17"/>
    <w:rPr>
      <w:rFonts w:ascii="Tahoma" w:hAnsi="Tahoma" w:cs="Tahoma"/>
      <w:sz w:val="16"/>
      <w:szCs w:val="16"/>
    </w:rPr>
  </w:style>
  <w:style w:type="character" w:styleId="Kpr">
    <w:name w:val="Hyperlink"/>
    <w:basedOn w:val="VarsaylanParagrafYazTipi"/>
    <w:uiPriority w:val="99"/>
    <w:semiHidden/>
    <w:unhideWhenUsed/>
    <w:rsid w:val="00DF5A6D"/>
    <w:rPr>
      <w:color w:val="0000FF"/>
      <w:u w:val="single"/>
    </w:rPr>
  </w:style>
  <w:style w:type="paragraph" w:styleId="stBilgi">
    <w:name w:val="header"/>
    <w:basedOn w:val="Normal"/>
    <w:link w:val="stBilgiChar"/>
    <w:uiPriority w:val="99"/>
    <w:unhideWhenUsed/>
    <w:rsid w:val="00CC6FE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C6FE0"/>
  </w:style>
  <w:style w:type="paragraph" w:styleId="AltBilgi">
    <w:name w:val="footer"/>
    <w:basedOn w:val="Normal"/>
    <w:link w:val="AltBilgiChar"/>
    <w:uiPriority w:val="99"/>
    <w:unhideWhenUsed/>
    <w:rsid w:val="00CC6FE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C6FE0"/>
  </w:style>
  <w:style w:type="paragraph" w:customStyle="1" w:styleId="Default">
    <w:name w:val="Default"/>
    <w:rsid w:val="00B93D08"/>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aliases w:val="Normal (Web) Char Char,Normal (Web) Char Char Char Char,Normal (Web) Char Char Char"/>
    <w:basedOn w:val="Normal"/>
    <w:uiPriority w:val="34"/>
    <w:qFormat/>
    <w:rsid w:val="00A527F7"/>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AklamaMetni">
    <w:name w:val="annotation text"/>
    <w:basedOn w:val="Normal"/>
    <w:link w:val="AklamaMetniChar"/>
    <w:uiPriority w:val="99"/>
    <w:semiHidden/>
    <w:unhideWhenUsed/>
    <w:rsid w:val="00883A0C"/>
    <w:pPr>
      <w:spacing w:after="160" w:line="240" w:lineRule="auto"/>
    </w:pPr>
    <w:rPr>
      <w:sz w:val="20"/>
      <w:szCs w:val="20"/>
    </w:rPr>
  </w:style>
  <w:style w:type="character" w:customStyle="1" w:styleId="AklamaMetniChar">
    <w:name w:val="Açıklama Metni Char"/>
    <w:basedOn w:val="VarsaylanParagrafYazTipi"/>
    <w:link w:val="AklamaMetni"/>
    <w:uiPriority w:val="99"/>
    <w:semiHidden/>
    <w:rsid w:val="00883A0C"/>
    <w:rPr>
      <w:sz w:val="20"/>
      <w:szCs w:val="20"/>
    </w:rPr>
  </w:style>
  <w:style w:type="character" w:styleId="AklamaBavurusu">
    <w:name w:val="annotation reference"/>
    <w:basedOn w:val="VarsaylanParagrafYazTipi"/>
    <w:uiPriority w:val="99"/>
    <w:semiHidden/>
    <w:unhideWhenUsed/>
    <w:rsid w:val="00883A0C"/>
    <w:rPr>
      <w:sz w:val="16"/>
      <w:szCs w:val="16"/>
    </w:rPr>
  </w:style>
  <w:style w:type="paragraph" w:styleId="AklamaKonusu">
    <w:name w:val="annotation subject"/>
    <w:basedOn w:val="AklamaMetni"/>
    <w:next w:val="AklamaMetni"/>
    <w:link w:val="AklamaKonusuChar"/>
    <w:uiPriority w:val="99"/>
    <w:semiHidden/>
    <w:unhideWhenUsed/>
    <w:rsid w:val="005D23EB"/>
    <w:rPr>
      <w:b/>
      <w:bCs/>
    </w:rPr>
  </w:style>
  <w:style w:type="character" w:customStyle="1" w:styleId="AklamaKonusuChar">
    <w:name w:val="Açıklama Konusu Char"/>
    <w:basedOn w:val="AklamaMetniChar"/>
    <w:link w:val="AklamaKonusu"/>
    <w:uiPriority w:val="99"/>
    <w:semiHidden/>
    <w:rsid w:val="005D23EB"/>
    <w:rPr>
      <w:b/>
      <w:bCs/>
      <w:sz w:val="20"/>
      <w:szCs w:val="20"/>
    </w:rPr>
  </w:style>
  <w:style w:type="paragraph" w:styleId="ListeParagraf">
    <w:name w:val="List Paragraph"/>
    <w:basedOn w:val="Normal"/>
    <w:uiPriority w:val="34"/>
    <w:qFormat/>
    <w:rsid w:val="007A05EB"/>
    <w:pPr>
      <w:ind w:left="720"/>
      <w:contextualSpacing/>
    </w:pPr>
  </w:style>
  <w:style w:type="paragraph" w:styleId="DipnotMetni">
    <w:name w:val="footnote text"/>
    <w:basedOn w:val="Normal"/>
    <w:link w:val="DipnotMetniChar"/>
    <w:uiPriority w:val="99"/>
    <w:semiHidden/>
    <w:unhideWhenUsed/>
    <w:rsid w:val="00D37E8F"/>
    <w:pPr>
      <w:spacing w:after="0" w:line="240" w:lineRule="auto"/>
    </w:pPr>
    <w:rPr>
      <w:rFonts w:ascii="Times New Roman" w:eastAsia="Times New Roman" w:hAnsi="Times New Roman" w:cs="Times New Roman"/>
      <w:sz w:val="20"/>
      <w:szCs w:val="20"/>
      <w:lang w:eastAsia="tr-TR"/>
    </w:rPr>
  </w:style>
  <w:style w:type="character" w:customStyle="1" w:styleId="DipnotMetniChar">
    <w:name w:val="Dipnot Metni Char"/>
    <w:basedOn w:val="VarsaylanParagrafYazTipi"/>
    <w:link w:val="DipnotMetni"/>
    <w:uiPriority w:val="99"/>
    <w:semiHidden/>
    <w:rsid w:val="00D37E8F"/>
    <w:rPr>
      <w:rFonts w:ascii="Times New Roman" w:eastAsia="Times New Roman" w:hAnsi="Times New Roman" w:cs="Times New Roman"/>
      <w:sz w:val="20"/>
      <w:szCs w:val="20"/>
      <w:lang w:eastAsia="tr-TR"/>
    </w:rPr>
  </w:style>
  <w:style w:type="character" w:styleId="DipnotBavurusu">
    <w:name w:val="footnote reference"/>
    <w:basedOn w:val="VarsaylanParagrafYazTipi"/>
    <w:uiPriority w:val="99"/>
    <w:semiHidden/>
    <w:unhideWhenUsed/>
    <w:rsid w:val="00D37E8F"/>
    <w:rPr>
      <w:vertAlign w:val="superscript"/>
    </w:rPr>
  </w:style>
  <w:style w:type="character" w:customStyle="1" w:styleId="Balk1Char">
    <w:name w:val="Başlık 1 Char"/>
    <w:basedOn w:val="VarsaylanParagrafYazTipi"/>
    <w:link w:val="Balk1"/>
    <w:uiPriority w:val="9"/>
    <w:rsid w:val="00616BA8"/>
    <w:rPr>
      <w:rFonts w:ascii="Times New Roman" w:eastAsia="Times New Roman" w:hAnsi="Times New Roman"/>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460771">
      <w:bodyDiv w:val="1"/>
      <w:marLeft w:val="0"/>
      <w:marRight w:val="0"/>
      <w:marTop w:val="0"/>
      <w:marBottom w:val="0"/>
      <w:divBdr>
        <w:top w:val="none" w:sz="0" w:space="0" w:color="auto"/>
        <w:left w:val="none" w:sz="0" w:space="0" w:color="auto"/>
        <w:bottom w:val="none" w:sz="0" w:space="0" w:color="auto"/>
        <w:right w:val="none" w:sz="0" w:space="0" w:color="auto"/>
      </w:divBdr>
    </w:div>
    <w:div w:id="115612396">
      <w:bodyDiv w:val="1"/>
      <w:marLeft w:val="0"/>
      <w:marRight w:val="0"/>
      <w:marTop w:val="0"/>
      <w:marBottom w:val="0"/>
      <w:divBdr>
        <w:top w:val="none" w:sz="0" w:space="0" w:color="auto"/>
        <w:left w:val="none" w:sz="0" w:space="0" w:color="auto"/>
        <w:bottom w:val="none" w:sz="0" w:space="0" w:color="auto"/>
        <w:right w:val="none" w:sz="0" w:space="0" w:color="auto"/>
      </w:divBdr>
    </w:div>
    <w:div w:id="183716449">
      <w:bodyDiv w:val="1"/>
      <w:marLeft w:val="0"/>
      <w:marRight w:val="0"/>
      <w:marTop w:val="0"/>
      <w:marBottom w:val="0"/>
      <w:divBdr>
        <w:top w:val="none" w:sz="0" w:space="0" w:color="auto"/>
        <w:left w:val="none" w:sz="0" w:space="0" w:color="auto"/>
        <w:bottom w:val="none" w:sz="0" w:space="0" w:color="auto"/>
        <w:right w:val="none" w:sz="0" w:space="0" w:color="auto"/>
      </w:divBdr>
    </w:div>
    <w:div w:id="231895397">
      <w:bodyDiv w:val="1"/>
      <w:marLeft w:val="0"/>
      <w:marRight w:val="0"/>
      <w:marTop w:val="0"/>
      <w:marBottom w:val="0"/>
      <w:divBdr>
        <w:top w:val="none" w:sz="0" w:space="0" w:color="auto"/>
        <w:left w:val="none" w:sz="0" w:space="0" w:color="auto"/>
        <w:bottom w:val="none" w:sz="0" w:space="0" w:color="auto"/>
        <w:right w:val="none" w:sz="0" w:space="0" w:color="auto"/>
      </w:divBdr>
    </w:div>
    <w:div w:id="258493692">
      <w:bodyDiv w:val="1"/>
      <w:marLeft w:val="0"/>
      <w:marRight w:val="0"/>
      <w:marTop w:val="0"/>
      <w:marBottom w:val="0"/>
      <w:divBdr>
        <w:top w:val="none" w:sz="0" w:space="0" w:color="auto"/>
        <w:left w:val="none" w:sz="0" w:space="0" w:color="auto"/>
        <w:bottom w:val="none" w:sz="0" w:space="0" w:color="auto"/>
        <w:right w:val="none" w:sz="0" w:space="0" w:color="auto"/>
      </w:divBdr>
    </w:div>
    <w:div w:id="301741039">
      <w:bodyDiv w:val="1"/>
      <w:marLeft w:val="0"/>
      <w:marRight w:val="0"/>
      <w:marTop w:val="0"/>
      <w:marBottom w:val="0"/>
      <w:divBdr>
        <w:top w:val="none" w:sz="0" w:space="0" w:color="auto"/>
        <w:left w:val="none" w:sz="0" w:space="0" w:color="auto"/>
        <w:bottom w:val="none" w:sz="0" w:space="0" w:color="auto"/>
        <w:right w:val="none" w:sz="0" w:space="0" w:color="auto"/>
      </w:divBdr>
    </w:div>
    <w:div w:id="343827799">
      <w:bodyDiv w:val="1"/>
      <w:marLeft w:val="0"/>
      <w:marRight w:val="0"/>
      <w:marTop w:val="0"/>
      <w:marBottom w:val="0"/>
      <w:divBdr>
        <w:top w:val="none" w:sz="0" w:space="0" w:color="auto"/>
        <w:left w:val="none" w:sz="0" w:space="0" w:color="auto"/>
        <w:bottom w:val="none" w:sz="0" w:space="0" w:color="auto"/>
        <w:right w:val="none" w:sz="0" w:space="0" w:color="auto"/>
      </w:divBdr>
    </w:div>
    <w:div w:id="367948849">
      <w:bodyDiv w:val="1"/>
      <w:marLeft w:val="0"/>
      <w:marRight w:val="0"/>
      <w:marTop w:val="0"/>
      <w:marBottom w:val="0"/>
      <w:divBdr>
        <w:top w:val="none" w:sz="0" w:space="0" w:color="auto"/>
        <w:left w:val="none" w:sz="0" w:space="0" w:color="auto"/>
        <w:bottom w:val="none" w:sz="0" w:space="0" w:color="auto"/>
        <w:right w:val="none" w:sz="0" w:space="0" w:color="auto"/>
      </w:divBdr>
    </w:div>
    <w:div w:id="436415549">
      <w:bodyDiv w:val="1"/>
      <w:marLeft w:val="0"/>
      <w:marRight w:val="0"/>
      <w:marTop w:val="0"/>
      <w:marBottom w:val="0"/>
      <w:divBdr>
        <w:top w:val="none" w:sz="0" w:space="0" w:color="auto"/>
        <w:left w:val="none" w:sz="0" w:space="0" w:color="auto"/>
        <w:bottom w:val="none" w:sz="0" w:space="0" w:color="auto"/>
        <w:right w:val="none" w:sz="0" w:space="0" w:color="auto"/>
      </w:divBdr>
    </w:div>
    <w:div w:id="508104705">
      <w:bodyDiv w:val="1"/>
      <w:marLeft w:val="0"/>
      <w:marRight w:val="0"/>
      <w:marTop w:val="0"/>
      <w:marBottom w:val="0"/>
      <w:divBdr>
        <w:top w:val="none" w:sz="0" w:space="0" w:color="auto"/>
        <w:left w:val="none" w:sz="0" w:space="0" w:color="auto"/>
        <w:bottom w:val="none" w:sz="0" w:space="0" w:color="auto"/>
        <w:right w:val="none" w:sz="0" w:space="0" w:color="auto"/>
      </w:divBdr>
    </w:div>
    <w:div w:id="523175502">
      <w:bodyDiv w:val="1"/>
      <w:marLeft w:val="0"/>
      <w:marRight w:val="0"/>
      <w:marTop w:val="0"/>
      <w:marBottom w:val="0"/>
      <w:divBdr>
        <w:top w:val="none" w:sz="0" w:space="0" w:color="auto"/>
        <w:left w:val="none" w:sz="0" w:space="0" w:color="auto"/>
        <w:bottom w:val="none" w:sz="0" w:space="0" w:color="auto"/>
        <w:right w:val="none" w:sz="0" w:space="0" w:color="auto"/>
      </w:divBdr>
    </w:div>
    <w:div w:id="562062244">
      <w:bodyDiv w:val="1"/>
      <w:marLeft w:val="0"/>
      <w:marRight w:val="0"/>
      <w:marTop w:val="0"/>
      <w:marBottom w:val="0"/>
      <w:divBdr>
        <w:top w:val="none" w:sz="0" w:space="0" w:color="auto"/>
        <w:left w:val="none" w:sz="0" w:space="0" w:color="auto"/>
        <w:bottom w:val="none" w:sz="0" w:space="0" w:color="auto"/>
        <w:right w:val="none" w:sz="0" w:space="0" w:color="auto"/>
      </w:divBdr>
    </w:div>
    <w:div w:id="574509146">
      <w:bodyDiv w:val="1"/>
      <w:marLeft w:val="0"/>
      <w:marRight w:val="0"/>
      <w:marTop w:val="0"/>
      <w:marBottom w:val="0"/>
      <w:divBdr>
        <w:top w:val="none" w:sz="0" w:space="0" w:color="auto"/>
        <w:left w:val="none" w:sz="0" w:space="0" w:color="auto"/>
        <w:bottom w:val="none" w:sz="0" w:space="0" w:color="auto"/>
        <w:right w:val="none" w:sz="0" w:space="0" w:color="auto"/>
      </w:divBdr>
    </w:div>
    <w:div w:id="583537036">
      <w:bodyDiv w:val="1"/>
      <w:marLeft w:val="0"/>
      <w:marRight w:val="0"/>
      <w:marTop w:val="0"/>
      <w:marBottom w:val="0"/>
      <w:divBdr>
        <w:top w:val="none" w:sz="0" w:space="0" w:color="auto"/>
        <w:left w:val="none" w:sz="0" w:space="0" w:color="auto"/>
        <w:bottom w:val="none" w:sz="0" w:space="0" w:color="auto"/>
        <w:right w:val="none" w:sz="0" w:space="0" w:color="auto"/>
      </w:divBdr>
    </w:div>
    <w:div w:id="618414618">
      <w:bodyDiv w:val="1"/>
      <w:marLeft w:val="0"/>
      <w:marRight w:val="0"/>
      <w:marTop w:val="0"/>
      <w:marBottom w:val="0"/>
      <w:divBdr>
        <w:top w:val="none" w:sz="0" w:space="0" w:color="auto"/>
        <w:left w:val="none" w:sz="0" w:space="0" w:color="auto"/>
        <w:bottom w:val="none" w:sz="0" w:space="0" w:color="auto"/>
        <w:right w:val="none" w:sz="0" w:space="0" w:color="auto"/>
      </w:divBdr>
    </w:div>
    <w:div w:id="635912625">
      <w:bodyDiv w:val="1"/>
      <w:marLeft w:val="0"/>
      <w:marRight w:val="0"/>
      <w:marTop w:val="0"/>
      <w:marBottom w:val="0"/>
      <w:divBdr>
        <w:top w:val="none" w:sz="0" w:space="0" w:color="auto"/>
        <w:left w:val="none" w:sz="0" w:space="0" w:color="auto"/>
        <w:bottom w:val="none" w:sz="0" w:space="0" w:color="auto"/>
        <w:right w:val="none" w:sz="0" w:space="0" w:color="auto"/>
      </w:divBdr>
    </w:div>
    <w:div w:id="657610124">
      <w:bodyDiv w:val="1"/>
      <w:marLeft w:val="0"/>
      <w:marRight w:val="0"/>
      <w:marTop w:val="0"/>
      <w:marBottom w:val="0"/>
      <w:divBdr>
        <w:top w:val="none" w:sz="0" w:space="0" w:color="auto"/>
        <w:left w:val="none" w:sz="0" w:space="0" w:color="auto"/>
        <w:bottom w:val="none" w:sz="0" w:space="0" w:color="auto"/>
        <w:right w:val="none" w:sz="0" w:space="0" w:color="auto"/>
      </w:divBdr>
    </w:div>
    <w:div w:id="661205849">
      <w:bodyDiv w:val="1"/>
      <w:marLeft w:val="0"/>
      <w:marRight w:val="0"/>
      <w:marTop w:val="0"/>
      <w:marBottom w:val="0"/>
      <w:divBdr>
        <w:top w:val="none" w:sz="0" w:space="0" w:color="auto"/>
        <w:left w:val="none" w:sz="0" w:space="0" w:color="auto"/>
        <w:bottom w:val="none" w:sz="0" w:space="0" w:color="auto"/>
        <w:right w:val="none" w:sz="0" w:space="0" w:color="auto"/>
      </w:divBdr>
    </w:div>
    <w:div w:id="750541984">
      <w:bodyDiv w:val="1"/>
      <w:marLeft w:val="0"/>
      <w:marRight w:val="0"/>
      <w:marTop w:val="0"/>
      <w:marBottom w:val="0"/>
      <w:divBdr>
        <w:top w:val="none" w:sz="0" w:space="0" w:color="auto"/>
        <w:left w:val="none" w:sz="0" w:space="0" w:color="auto"/>
        <w:bottom w:val="none" w:sz="0" w:space="0" w:color="auto"/>
        <w:right w:val="none" w:sz="0" w:space="0" w:color="auto"/>
      </w:divBdr>
    </w:div>
    <w:div w:id="847019877">
      <w:bodyDiv w:val="1"/>
      <w:marLeft w:val="0"/>
      <w:marRight w:val="0"/>
      <w:marTop w:val="0"/>
      <w:marBottom w:val="0"/>
      <w:divBdr>
        <w:top w:val="none" w:sz="0" w:space="0" w:color="auto"/>
        <w:left w:val="none" w:sz="0" w:space="0" w:color="auto"/>
        <w:bottom w:val="none" w:sz="0" w:space="0" w:color="auto"/>
        <w:right w:val="none" w:sz="0" w:space="0" w:color="auto"/>
      </w:divBdr>
      <w:divsChild>
        <w:div w:id="1453984503">
          <w:marLeft w:val="0"/>
          <w:marRight w:val="0"/>
          <w:marTop w:val="0"/>
          <w:marBottom w:val="0"/>
          <w:divBdr>
            <w:top w:val="none" w:sz="0" w:space="0" w:color="auto"/>
            <w:left w:val="none" w:sz="0" w:space="0" w:color="auto"/>
            <w:bottom w:val="none" w:sz="0" w:space="0" w:color="auto"/>
            <w:right w:val="none" w:sz="0" w:space="0" w:color="auto"/>
          </w:divBdr>
        </w:div>
      </w:divsChild>
    </w:div>
    <w:div w:id="875460754">
      <w:bodyDiv w:val="1"/>
      <w:marLeft w:val="0"/>
      <w:marRight w:val="0"/>
      <w:marTop w:val="0"/>
      <w:marBottom w:val="0"/>
      <w:divBdr>
        <w:top w:val="none" w:sz="0" w:space="0" w:color="auto"/>
        <w:left w:val="none" w:sz="0" w:space="0" w:color="auto"/>
        <w:bottom w:val="none" w:sz="0" w:space="0" w:color="auto"/>
        <w:right w:val="none" w:sz="0" w:space="0" w:color="auto"/>
      </w:divBdr>
    </w:div>
    <w:div w:id="937175610">
      <w:bodyDiv w:val="1"/>
      <w:marLeft w:val="0"/>
      <w:marRight w:val="0"/>
      <w:marTop w:val="0"/>
      <w:marBottom w:val="0"/>
      <w:divBdr>
        <w:top w:val="none" w:sz="0" w:space="0" w:color="auto"/>
        <w:left w:val="none" w:sz="0" w:space="0" w:color="auto"/>
        <w:bottom w:val="none" w:sz="0" w:space="0" w:color="auto"/>
        <w:right w:val="none" w:sz="0" w:space="0" w:color="auto"/>
      </w:divBdr>
    </w:div>
    <w:div w:id="1117723329">
      <w:bodyDiv w:val="1"/>
      <w:marLeft w:val="0"/>
      <w:marRight w:val="0"/>
      <w:marTop w:val="0"/>
      <w:marBottom w:val="0"/>
      <w:divBdr>
        <w:top w:val="none" w:sz="0" w:space="0" w:color="auto"/>
        <w:left w:val="none" w:sz="0" w:space="0" w:color="auto"/>
        <w:bottom w:val="none" w:sz="0" w:space="0" w:color="auto"/>
        <w:right w:val="none" w:sz="0" w:space="0" w:color="auto"/>
      </w:divBdr>
    </w:div>
    <w:div w:id="1211843440">
      <w:bodyDiv w:val="1"/>
      <w:marLeft w:val="0"/>
      <w:marRight w:val="0"/>
      <w:marTop w:val="0"/>
      <w:marBottom w:val="0"/>
      <w:divBdr>
        <w:top w:val="none" w:sz="0" w:space="0" w:color="auto"/>
        <w:left w:val="none" w:sz="0" w:space="0" w:color="auto"/>
        <w:bottom w:val="none" w:sz="0" w:space="0" w:color="auto"/>
        <w:right w:val="none" w:sz="0" w:space="0" w:color="auto"/>
      </w:divBdr>
    </w:div>
    <w:div w:id="1242367637">
      <w:bodyDiv w:val="1"/>
      <w:marLeft w:val="0"/>
      <w:marRight w:val="0"/>
      <w:marTop w:val="0"/>
      <w:marBottom w:val="0"/>
      <w:divBdr>
        <w:top w:val="none" w:sz="0" w:space="0" w:color="auto"/>
        <w:left w:val="none" w:sz="0" w:space="0" w:color="auto"/>
        <w:bottom w:val="none" w:sz="0" w:space="0" w:color="auto"/>
        <w:right w:val="none" w:sz="0" w:space="0" w:color="auto"/>
      </w:divBdr>
    </w:div>
    <w:div w:id="1336499291">
      <w:bodyDiv w:val="1"/>
      <w:marLeft w:val="0"/>
      <w:marRight w:val="0"/>
      <w:marTop w:val="0"/>
      <w:marBottom w:val="0"/>
      <w:divBdr>
        <w:top w:val="none" w:sz="0" w:space="0" w:color="auto"/>
        <w:left w:val="none" w:sz="0" w:space="0" w:color="auto"/>
        <w:bottom w:val="none" w:sz="0" w:space="0" w:color="auto"/>
        <w:right w:val="none" w:sz="0" w:space="0" w:color="auto"/>
      </w:divBdr>
    </w:div>
    <w:div w:id="1386757658">
      <w:bodyDiv w:val="1"/>
      <w:marLeft w:val="0"/>
      <w:marRight w:val="0"/>
      <w:marTop w:val="0"/>
      <w:marBottom w:val="0"/>
      <w:divBdr>
        <w:top w:val="none" w:sz="0" w:space="0" w:color="auto"/>
        <w:left w:val="none" w:sz="0" w:space="0" w:color="auto"/>
        <w:bottom w:val="none" w:sz="0" w:space="0" w:color="auto"/>
        <w:right w:val="none" w:sz="0" w:space="0" w:color="auto"/>
      </w:divBdr>
    </w:div>
    <w:div w:id="1419904230">
      <w:bodyDiv w:val="1"/>
      <w:marLeft w:val="0"/>
      <w:marRight w:val="0"/>
      <w:marTop w:val="0"/>
      <w:marBottom w:val="0"/>
      <w:divBdr>
        <w:top w:val="none" w:sz="0" w:space="0" w:color="auto"/>
        <w:left w:val="none" w:sz="0" w:space="0" w:color="auto"/>
        <w:bottom w:val="none" w:sz="0" w:space="0" w:color="auto"/>
        <w:right w:val="none" w:sz="0" w:space="0" w:color="auto"/>
      </w:divBdr>
    </w:div>
    <w:div w:id="1431318679">
      <w:bodyDiv w:val="1"/>
      <w:marLeft w:val="0"/>
      <w:marRight w:val="0"/>
      <w:marTop w:val="0"/>
      <w:marBottom w:val="0"/>
      <w:divBdr>
        <w:top w:val="none" w:sz="0" w:space="0" w:color="auto"/>
        <w:left w:val="none" w:sz="0" w:space="0" w:color="auto"/>
        <w:bottom w:val="none" w:sz="0" w:space="0" w:color="auto"/>
        <w:right w:val="none" w:sz="0" w:space="0" w:color="auto"/>
      </w:divBdr>
    </w:div>
    <w:div w:id="1559248560">
      <w:bodyDiv w:val="1"/>
      <w:marLeft w:val="0"/>
      <w:marRight w:val="0"/>
      <w:marTop w:val="0"/>
      <w:marBottom w:val="0"/>
      <w:divBdr>
        <w:top w:val="none" w:sz="0" w:space="0" w:color="auto"/>
        <w:left w:val="none" w:sz="0" w:space="0" w:color="auto"/>
        <w:bottom w:val="none" w:sz="0" w:space="0" w:color="auto"/>
        <w:right w:val="none" w:sz="0" w:space="0" w:color="auto"/>
      </w:divBdr>
    </w:div>
    <w:div w:id="1616408035">
      <w:bodyDiv w:val="1"/>
      <w:marLeft w:val="0"/>
      <w:marRight w:val="0"/>
      <w:marTop w:val="0"/>
      <w:marBottom w:val="0"/>
      <w:divBdr>
        <w:top w:val="none" w:sz="0" w:space="0" w:color="auto"/>
        <w:left w:val="none" w:sz="0" w:space="0" w:color="auto"/>
        <w:bottom w:val="none" w:sz="0" w:space="0" w:color="auto"/>
        <w:right w:val="none" w:sz="0" w:space="0" w:color="auto"/>
      </w:divBdr>
    </w:div>
    <w:div w:id="1628660694">
      <w:bodyDiv w:val="1"/>
      <w:marLeft w:val="0"/>
      <w:marRight w:val="0"/>
      <w:marTop w:val="0"/>
      <w:marBottom w:val="0"/>
      <w:divBdr>
        <w:top w:val="none" w:sz="0" w:space="0" w:color="auto"/>
        <w:left w:val="none" w:sz="0" w:space="0" w:color="auto"/>
        <w:bottom w:val="none" w:sz="0" w:space="0" w:color="auto"/>
        <w:right w:val="none" w:sz="0" w:space="0" w:color="auto"/>
      </w:divBdr>
    </w:div>
    <w:div w:id="1657297862">
      <w:bodyDiv w:val="1"/>
      <w:marLeft w:val="0"/>
      <w:marRight w:val="0"/>
      <w:marTop w:val="0"/>
      <w:marBottom w:val="0"/>
      <w:divBdr>
        <w:top w:val="none" w:sz="0" w:space="0" w:color="auto"/>
        <w:left w:val="none" w:sz="0" w:space="0" w:color="auto"/>
        <w:bottom w:val="none" w:sz="0" w:space="0" w:color="auto"/>
        <w:right w:val="none" w:sz="0" w:space="0" w:color="auto"/>
      </w:divBdr>
    </w:div>
    <w:div w:id="1659461723">
      <w:bodyDiv w:val="1"/>
      <w:marLeft w:val="0"/>
      <w:marRight w:val="0"/>
      <w:marTop w:val="0"/>
      <w:marBottom w:val="0"/>
      <w:divBdr>
        <w:top w:val="none" w:sz="0" w:space="0" w:color="auto"/>
        <w:left w:val="none" w:sz="0" w:space="0" w:color="auto"/>
        <w:bottom w:val="none" w:sz="0" w:space="0" w:color="auto"/>
        <w:right w:val="none" w:sz="0" w:space="0" w:color="auto"/>
      </w:divBdr>
    </w:div>
    <w:div w:id="1697002291">
      <w:bodyDiv w:val="1"/>
      <w:marLeft w:val="0"/>
      <w:marRight w:val="0"/>
      <w:marTop w:val="0"/>
      <w:marBottom w:val="0"/>
      <w:divBdr>
        <w:top w:val="none" w:sz="0" w:space="0" w:color="auto"/>
        <w:left w:val="none" w:sz="0" w:space="0" w:color="auto"/>
        <w:bottom w:val="none" w:sz="0" w:space="0" w:color="auto"/>
        <w:right w:val="none" w:sz="0" w:space="0" w:color="auto"/>
      </w:divBdr>
    </w:div>
    <w:div w:id="1729721211">
      <w:bodyDiv w:val="1"/>
      <w:marLeft w:val="0"/>
      <w:marRight w:val="0"/>
      <w:marTop w:val="0"/>
      <w:marBottom w:val="0"/>
      <w:divBdr>
        <w:top w:val="none" w:sz="0" w:space="0" w:color="auto"/>
        <w:left w:val="none" w:sz="0" w:space="0" w:color="auto"/>
        <w:bottom w:val="none" w:sz="0" w:space="0" w:color="auto"/>
        <w:right w:val="none" w:sz="0" w:space="0" w:color="auto"/>
      </w:divBdr>
    </w:div>
    <w:div w:id="1756592078">
      <w:bodyDiv w:val="1"/>
      <w:marLeft w:val="0"/>
      <w:marRight w:val="0"/>
      <w:marTop w:val="0"/>
      <w:marBottom w:val="0"/>
      <w:divBdr>
        <w:top w:val="none" w:sz="0" w:space="0" w:color="auto"/>
        <w:left w:val="none" w:sz="0" w:space="0" w:color="auto"/>
        <w:bottom w:val="none" w:sz="0" w:space="0" w:color="auto"/>
        <w:right w:val="none" w:sz="0" w:space="0" w:color="auto"/>
      </w:divBdr>
    </w:div>
    <w:div w:id="1764451499">
      <w:bodyDiv w:val="1"/>
      <w:marLeft w:val="0"/>
      <w:marRight w:val="0"/>
      <w:marTop w:val="0"/>
      <w:marBottom w:val="0"/>
      <w:divBdr>
        <w:top w:val="none" w:sz="0" w:space="0" w:color="auto"/>
        <w:left w:val="none" w:sz="0" w:space="0" w:color="auto"/>
        <w:bottom w:val="none" w:sz="0" w:space="0" w:color="auto"/>
        <w:right w:val="none" w:sz="0" w:space="0" w:color="auto"/>
      </w:divBdr>
    </w:div>
    <w:div w:id="1992177156">
      <w:bodyDiv w:val="1"/>
      <w:marLeft w:val="0"/>
      <w:marRight w:val="0"/>
      <w:marTop w:val="0"/>
      <w:marBottom w:val="0"/>
      <w:divBdr>
        <w:top w:val="none" w:sz="0" w:space="0" w:color="auto"/>
        <w:left w:val="none" w:sz="0" w:space="0" w:color="auto"/>
        <w:bottom w:val="none" w:sz="0" w:space="0" w:color="auto"/>
        <w:right w:val="none" w:sz="0" w:space="0" w:color="auto"/>
      </w:divBdr>
    </w:div>
    <w:div w:id="205161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491</Words>
  <Characters>2805</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Mehmet TUNCEL</dc:creator>
  <cp:lastModifiedBy>Mehmet Doğukan ÖZÇELİK</cp:lastModifiedBy>
  <cp:revision>6</cp:revision>
  <cp:lastPrinted>2019-04-12T06:46:00Z</cp:lastPrinted>
  <dcterms:created xsi:type="dcterms:W3CDTF">2021-08-12T14:27:00Z</dcterms:created>
  <dcterms:modified xsi:type="dcterms:W3CDTF">2021-09-16T07:20:00Z</dcterms:modified>
</cp:coreProperties>
</file>