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99A" w:rsidRDefault="0099399A" w:rsidP="00D87054">
      <w:pPr>
        <w:pStyle w:val="BALIKLAR"/>
        <w:spacing w:line="360" w:lineRule="auto"/>
        <w:jc w:val="center"/>
      </w:pPr>
      <w:bookmarkStart w:id="0" w:name="_Toc512430794"/>
      <w:bookmarkStart w:id="1" w:name="_Toc483831850"/>
      <w:bookmarkStart w:id="2" w:name="_Toc520822009"/>
      <w:bookmarkStart w:id="3" w:name="_Toc512430795"/>
      <w:bookmarkStart w:id="4" w:name="_Toc483831851"/>
      <w:bookmarkStart w:id="5" w:name="_Toc520822010"/>
      <w:bookmarkStart w:id="6" w:name="_Toc512430796"/>
      <w:bookmarkStart w:id="7" w:name="_Toc483831852"/>
      <w:bookmarkStart w:id="8" w:name="_Toc520822011"/>
      <w:bookmarkStart w:id="9" w:name="_Toc520822012"/>
      <w:bookmarkStart w:id="10" w:name="_Toc520822019"/>
      <w:bookmarkStart w:id="11" w:name="_Toc520822026"/>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tabs>
          <w:tab w:val="left" w:pos="3449"/>
          <w:tab w:val="center" w:pos="4536"/>
        </w:tabs>
        <w:spacing w:line="240" w:lineRule="auto"/>
        <w:jc w:val="center"/>
        <w:rPr>
          <w:rFonts w:ascii="Times New Roman" w:eastAsia="Times New Roman" w:hAnsi="Times New Roman" w:cs="Times New Roman"/>
          <w:b/>
          <w:color w:val="222222"/>
          <w:sz w:val="52"/>
          <w:szCs w:val="52"/>
          <w:lang w:eastAsia="tr-TR"/>
        </w:rPr>
      </w:pPr>
      <w:bookmarkStart w:id="12" w:name="_Toc417654949"/>
      <w:bookmarkStart w:id="13" w:name="_Toc417894681"/>
      <w:bookmarkStart w:id="14" w:name="_Toc417896779"/>
      <w:bookmarkStart w:id="15" w:name="_Toc447549287"/>
      <w:bookmarkStart w:id="16" w:name="_Toc447804984"/>
      <w:bookmarkStart w:id="17" w:name="_Toc449629898"/>
      <w:bookmarkStart w:id="18" w:name="_Toc449690105"/>
      <w:bookmarkStart w:id="19" w:name="_Toc449694158"/>
      <w:bookmarkStart w:id="20" w:name="_Toc449694808"/>
      <w:bookmarkStart w:id="21" w:name="_Toc450057409"/>
      <w:bookmarkStart w:id="22" w:name="_Toc450122456"/>
      <w:bookmarkStart w:id="23" w:name="_Toc428963342"/>
      <w:bookmarkStart w:id="24" w:name="_Toc428963968"/>
      <w:bookmarkStart w:id="25" w:name="_Toc428966355"/>
      <w:bookmarkStart w:id="26" w:name="_Toc429048067"/>
      <w:bookmarkStart w:id="27" w:name="_Toc463600057"/>
      <w:bookmarkStart w:id="28" w:name="_Toc464482372"/>
      <w:r w:rsidRPr="00422D1D">
        <w:rPr>
          <w:rFonts w:ascii="Times New Roman" w:eastAsia="Times New Roman" w:hAnsi="Times New Roman" w:cs="Times New Roman"/>
          <w:noProof/>
          <w:lang w:bidi="ar-SA"/>
        </w:rPr>
        <w:drawing>
          <wp:anchor distT="0" distB="0" distL="114300" distR="114300" simplePos="0" relativeHeight="251664896" behindDoc="1" locked="0" layoutInCell="1" allowOverlap="1" wp14:anchorId="58D15B5E" wp14:editId="72AB0102">
            <wp:simplePos x="0" y="0"/>
            <wp:positionH relativeFrom="column">
              <wp:posOffset>924560</wp:posOffset>
            </wp:positionH>
            <wp:positionV relativeFrom="paragraph">
              <wp:posOffset>225271</wp:posOffset>
            </wp:positionV>
            <wp:extent cx="3883290" cy="2152650"/>
            <wp:effectExtent l="0" t="0" r="0" b="0"/>
            <wp:wrapNone/>
            <wp:docPr id="28" name="Picture 6" descr="EPDKLOGOENG copy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PDKLOGOENG copy copy.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83290" cy="2152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p>
    <w:p w:rsidR="0099399A" w:rsidRPr="00422D1D" w:rsidRDefault="0099399A" w:rsidP="00D87054">
      <w:pPr>
        <w:spacing w:line="240" w:lineRule="auto"/>
        <w:jc w:val="center"/>
        <w:rPr>
          <w:rFonts w:ascii="Times New Roman" w:eastAsia="Times New Roman" w:hAnsi="Times New Roman" w:cs="Times New Roman"/>
          <w:b/>
          <w:color w:val="222222"/>
          <w:sz w:val="52"/>
          <w:szCs w:val="52"/>
          <w:lang w:eastAsia="tr-TR"/>
        </w:rPr>
      </w:pPr>
      <w:r w:rsidRPr="00422D1D">
        <w:rPr>
          <w:rFonts w:ascii="Times New Roman" w:eastAsia="Times New Roman" w:hAnsi="Times New Roman" w:cs="Times New Roman"/>
          <w:b/>
          <w:color w:val="222222"/>
          <w:sz w:val="52"/>
          <w:szCs w:val="52"/>
          <w:lang w:eastAsia="tr-TR"/>
        </w:rPr>
        <w:t>ELECTRICITY MARKET DEVELOPMENT REPORT 2018</w:t>
      </w:r>
    </w:p>
    <w:p w:rsidR="0099399A" w:rsidRPr="00422D1D" w:rsidRDefault="0099399A" w:rsidP="00D87054">
      <w:pPr>
        <w:jc w:val="center"/>
        <w:rPr>
          <w:rFonts w:ascii="Times New Roman" w:hAnsi="Times New Roman" w:cs="Times New Roman"/>
        </w:rPr>
      </w:pPr>
    </w:p>
    <w:p w:rsidR="0099399A" w:rsidRPr="00422D1D" w:rsidRDefault="0099399A" w:rsidP="00D87054">
      <w:pPr>
        <w:jc w:val="center"/>
        <w:rPr>
          <w:rFonts w:ascii="Times New Roman" w:hAnsi="Times New Roman" w:cs="Times New Roman"/>
        </w:rPr>
      </w:pPr>
    </w:p>
    <w:p w:rsidR="0099399A" w:rsidRPr="00422D1D" w:rsidRDefault="0099399A" w:rsidP="00D87054">
      <w:pPr>
        <w:jc w:val="center"/>
        <w:rPr>
          <w:rFonts w:ascii="Times New Roman" w:hAnsi="Times New Roman" w:cs="Times New Roman"/>
        </w:rPr>
        <w:sectPr w:rsidR="0099399A" w:rsidRPr="00422D1D" w:rsidSect="0099399A">
          <w:headerReference w:type="default" r:id="rId9"/>
          <w:footerReference w:type="default" r:id="rId10"/>
          <w:footerReference w:type="first" r:id="rId11"/>
          <w:pgSz w:w="11906" w:h="16838"/>
          <w:pgMar w:top="1417" w:right="1417" w:bottom="1417" w:left="1417" w:header="708" w:footer="708" w:gutter="0"/>
          <w:pgNumType w:fmt="lowerRoman" w:start="1"/>
          <w:cols w:space="708"/>
          <w:titlePg/>
          <w:docGrid w:linePitch="360"/>
        </w:sectPr>
      </w:pPr>
      <w:r w:rsidRPr="00422D1D">
        <w:rPr>
          <w:rFonts w:ascii="Times New Roman" w:hAnsi="Times New Roman" w:cs="Times New Roman"/>
        </w:rPr>
        <w:br w:type="page"/>
      </w:r>
    </w:p>
    <w:p w:rsidR="0099399A" w:rsidRPr="00422D1D" w:rsidRDefault="0099399A" w:rsidP="00D87054">
      <w:pPr>
        <w:jc w:val="center"/>
        <w:rPr>
          <w:rFonts w:ascii="Times New Roman" w:hAnsi="Times New Roman" w:cs="Times New Roman"/>
        </w:rPr>
      </w:pPr>
    </w:p>
    <w:p w:rsidR="0099399A" w:rsidRPr="00422D1D" w:rsidRDefault="0099399A" w:rsidP="00D87054">
      <w:pPr>
        <w:jc w:val="center"/>
        <w:rPr>
          <w:rFonts w:ascii="Times New Roman" w:hAnsi="Times New Roman" w:cs="Times New Roman"/>
        </w:rPr>
      </w:pPr>
    </w:p>
    <w:p w:rsidR="0099399A" w:rsidRPr="00422D1D" w:rsidRDefault="0099399A" w:rsidP="00D87054">
      <w:pPr>
        <w:spacing w:line="240" w:lineRule="auto"/>
        <w:jc w:val="center"/>
        <w:rPr>
          <w:rFonts w:ascii="Times New Roman" w:eastAsia="Times New Roman" w:hAnsi="Times New Roman" w:cs="Times New Roman"/>
          <w:sz w:val="32"/>
          <w:szCs w:val="32"/>
          <w:lang w:eastAsia="tr-TR"/>
        </w:rPr>
      </w:pPr>
      <w:r w:rsidRPr="00422D1D">
        <w:rPr>
          <w:rFonts w:ascii="Times New Roman" w:hAnsi="Times New Roman" w:cs="Times New Roman"/>
          <w:sz w:val="28"/>
        </w:rPr>
        <w:t>All the information, tables and figures provided in this report are reserved and cannot be used without reference.</w:t>
      </w:r>
    </w:p>
    <w:p w:rsidR="0099399A" w:rsidRPr="00422D1D" w:rsidRDefault="0099399A" w:rsidP="00D87054">
      <w:pPr>
        <w:spacing w:line="240" w:lineRule="auto"/>
        <w:jc w:val="center"/>
        <w:rPr>
          <w:rFonts w:ascii="Times New Roman" w:eastAsia="Times New Roman" w:hAnsi="Times New Roman" w:cs="Times New Roman"/>
          <w:sz w:val="28"/>
          <w:szCs w:val="28"/>
          <w:lang w:eastAsia="tr-TR"/>
        </w:rPr>
      </w:pPr>
    </w:p>
    <w:p w:rsidR="0099399A" w:rsidRPr="00422D1D" w:rsidRDefault="0099399A" w:rsidP="00D87054">
      <w:pPr>
        <w:spacing w:line="240" w:lineRule="auto"/>
        <w:jc w:val="center"/>
        <w:rPr>
          <w:rFonts w:ascii="Times New Roman" w:eastAsia="Times New Roman" w:hAnsi="Times New Roman" w:cs="Times New Roman"/>
          <w:sz w:val="28"/>
          <w:szCs w:val="28"/>
          <w:lang w:eastAsia="tr-TR"/>
        </w:rPr>
      </w:pPr>
    </w:p>
    <w:p w:rsidR="0099399A" w:rsidRPr="00422D1D" w:rsidRDefault="0099399A" w:rsidP="00D87054">
      <w:pPr>
        <w:spacing w:line="240" w:lineRule="auto"/>
        <w:jc w:val="center"/>
        <w:rPr>
          <w:rFonts w:ascii="Times New Roman" w:eastAsia="Times New Roman" w:hAnsi="Times New Roman" w:cs="Times New Roman"/>
          <w:sz w:val="24"/>
          <w:szCs w:val="24"/>
          <w:lang w:eastAsia="tr-TR"/>
        </w:rPr>
      </w:pPr>
    </w:p>
    <w:p w:rsidR="0099399A" w:rsidRPr="00422D1D" w:rsidRDefault="0099399A" w:rsidP="00D87054">
      <w:pPr>
        <w:spacing w:line="240" w:lineRule="auto"/>
        <w:jc w:val="center"/>
        <w:rPr>
          <w:rFonts w:ascii="Times New Roman" w:eastAsia="Times New Roman" w:hAnsi="Times New Roman" w:cs="Times New Roman"/>
          <w:sz w:val="24"/>
          <w:szCs w:val="24"/>
          <w:lang w:eastAsia="tr-TR"/>
        </w:rPr>
      </w:pPr>
    </w:p>
    <w:p w:rsidR="0099399A" w:rsidRPr="00422D1D" w:rsidRDefault="0099399A" w:rsidP="00D87054">
      <w:pPr>
        <w:spacing w:line="240" w:lineRule="auto"/>
        <w:jc w:val="center"/>
        <w:rPr>
          <w:rFonts w:ascii="Times New Roman" w:eastAsia="Times New Roman" w:hAnsi="Times New Roman" w:cs="Times New Roman"/>
          <w:sz w:val="24"/>
          <w:szCs w:val="24"/>
          <w:lang w:eastAsia="tr-TR"/>
        </w:rPr>
      </w:pPr>
    </w:p>
    <w:p w:rsidR="0099399A" w:rsidRPr="00422D1D" w:rsidRDefault="0099399A" w:rsidP="00D87054">
      <w:pPr>
        <w:spacing w:line="240" w:lineRule="auto"/>
        <w:jc w:val="center"/>
        <w:rPr>
          <w:rFonts w:ascii="Times New Roman" w:eastAsia="Times New Roman" w:hAnsi="Times New Roman" w:cs="Times New Roman"/>
          <w:b/>
          <w:sz w:val="32"/>
          <w:szCs w:val="32"/>
          <w:lang w:eastAsia="tr-TR"/>
        </w:rPr>
      </w:pPr>
      <w:r w:rsidRPr="00422D1D">
        <w:rPr>
          <w:rFonts w:ascii="Times New Roman" w:eastAsia="Times New Roman" w:hAnsi="Times New Roman" w:cs="Times New Roman"/>
          <w:b/>
          <w:sz w:val="32"/>
          <w:szCs w:val="32"/>
          <w:lang w:eastAsia="tr-TR"/>
        </w:rPr>
        <w:t>REPUBLIC OF TURKEY</w:t>
      </w:r>
    </w:p>
    <w:p w:rsidR="0099399A" w:rsidRPr="00422D1D" w:rsidRDefault="0099399A" w:rsidP="00D87054">
      <w:pPr>
        <w:spacing w:line="240" w:lineRule="auto"/>
        <w:jc w:val="center"/>
        <w:rPr>
          <w:rFonts w:ascii="Times New Roman" w:eastAsia="Times New Roman" w:hAnsi="Times New Roman" w:cs="Times New Roman"/>
          <w:b/>
          <w:sz w:val="32"/>
          <w:szCs w:val="32"/>
          <w:lang w:eastAsia="tr-TR"/>
        </w:rPr>
      </w:pPr>
      <w:r w:rsidRPr="00422D1D">
        <w:rPr>
          <w:rFonts w:ascii="Times New Roman" w:eastAsia="Times New Roman" w:hAnsi="Times New Roman" w:cs="Times New Roman"/>
          <w:b/>
          <w:sz w:val="32"/>
          <w:szCs w:val="32"/>
          <w:lang w:eastAsia="tr-TR"/>
        </w:rPr>
        <w:t>ENERGY MARKET REGULATORY AUTHORITY</w:t>
      </w:r>
    </w:p>
    <w:p w:rsidR="0099399A" w:rsidRPr="00422D1D" w:rsidRDefault="0099399A" w:rsidP="00D87054">
      <w:pPr>
        <w:spacing w:line="240" w:lineRule="auto"/>
        <w:jc w:val="center"/>
        <w:rPr>
          <w:rFonts w:ascii="Times New Roman" w:eastAsia="Times New Roman" w:hAnsi="Times New Roman" w:cs="Times New Roman"/>
          <w:b/>
          <w:sz w:val="32"/>
          <w:szCs w:val="32"/>
          <w:lang w:eastAsia="tr-TR"/>
        </w:rPr>
      </w:pPr>
    </w:p>
    <w:p w:rsidR="0099399A" w:rsidRPr="00422D1D" w:rsidRDefault="0099399A" w:rsidP="00D87054">
      <w:pPr>
        <w:jc w:val="center"/>
        <w:rPr>
          <w:rFonts w:ascii="Times New Roman" w:hAnsi="Times New Roman" w:cs="Times New Roman"/>
          <w:sz w:val="28"/>
          <w:szCs w:val="48"/>
        </w:rPr>
      </w:pPr>
      <w:r w:rsidRPr="00422D1D">
        <w:rPr>
          <w:rFonts w:ascii="Times New Roman" w:hAnsi="Times New Roman" w:cs="Times New Roman"/>
          <w:sz w:val="28"/>
          <w:szCs w:val="48"/>
        </w:rPr>
        <w:t>Strategy Development Department</w:t>
      </w:r>
    </w:p>
    <w:p w:rsidR="0099399A" w:rsidRPr="00422D1D" w:rsidRDefault="0099399A" w:rsidP="00D87054">
      <w:pPr>
        <w:spacing w:line="240" w:lineRule="auto"/>
        <w:jc w:val="center"/>
        <w:rPr>
          <w:rFonts w:ascii="Times New Roman" w:eastAsia="Times New Roman" w:hAnsi="Times New Roman" w:cs="Times New Roman"/>
          <w:sz w:val="28"/>
          <w:szCs w:val="28"/>
          <w:lang w:eastAsia="tr-TR"/>
        </w:rPr>
      </w:pPr>
    </w:p>
    <w:p w:rsidR="0099399A" w:rsidRPr="00422D1D" w:rsidRDefault="0099399A" w:rsidP="00D87054">
      <w:pPr>
        <w:spacing w:line="240" w:lineRule="auto"/>
        <w:jc w:val="center"/>
        <w:rPr>
          <w:rFonts w:ascii="Times New Roman" w:eastAsia="Times New Roman" w:hAnsi="Times New Roman" w:cs="Times New Roman"/>
          <w:sz w:val="28"/>
          <w:szCs w:val="28"/>
          <w:lang w:eastAsia="tr-TR"/>
        </w:rPr>
      </w:pPr>
    </w:p>
    <w:p w:rsidR="0099399A" w:rsidRPr="00422D1D" w:rsidRDefault="0099399A" w:rsidP="00D87054">
      <w:pPr>
        <w:spacing w:line="240" w:lineRule="auto"/>
        <w:jc w:val="center"/>
        <w:rPr>
          <w:rFonts w:ascii="Times New Roman" w:eastAsia="Times New Roman" w:hAnsi="Times New Roman" w:cs="Times New Roman"/>
          <w:sz w:val="28"/>
          <w:szCs w:val="28"/>
          <w:lang w:eastAsia="tr-TR"/>
        </w:rPr>
      </w:pPr>
    </w:p>
    <w:p w:rsidR="0099399A" w:rsidRPr="00422D1D" w:rsidRDefault="0099399A" w:rsidP="00D87054">
      <w:pPr>
        <w:spacing w:line="240" w:lineRule="auto"/>
        <w:jc w:val="center"/>
        <w:rPr>
          <w:rFonts w:ascii="Times New Roman" w:eastAsia="Times New Roman" w:hAnsi="Times New Roman" w:cs="Times New Roman"/>
          <w:b/>
          <w:sz w:val="28"/>
          <w:szCs w:val="28"/>
          <w:lang w:eastAsia="tr-TR"/>
        </w:rPr>
      </w:pPr>
      <w:r w:rsidRPr="00422D1D">
        <w:rPr>
          <w:rFonts w:ascii="Times New Roman" w:eastAsia="Times New Roman" w:hAnsi="Times New Roman" w:cs="Times New Roman"/>
          <w:b/>
          <w:sz w:val="28"/>
          <w:szCs w:val="28"/>
          <w:lang w:eastAsia="tr-TR"/>
        </w:rPr>
        <w:t>ANKARA, 2019</w:t>
      </w:r>
    </w:p>
    <w:p w:rsidR="0099399A" w:rsidRPr="00422D1D" w:rsidRDefault="0099399A" w:rsidP="00D87054">
      <w:pPr>
        <w:pStyle w:val="AralkYok"/>
        <w:spacing w:after="200"/>
        <w:jc w:val="left"/>
        <w:rPr>
          <w:rFonts w:cs="Times New Roman"/>
          <w:b w:val="0"/>
          <w:bCs/>
          <w:caps/>
          <w:color w:val="FFFFFF" w:themeColor="background1"/>
          <w:sz w:val="28"/>
          <w:szCs w:val="28"/>
        </w:rPr>
      </w:pPr>
    </w:p>
    <w:p w:rsidR="0099399A" w:rsidRPr="00422D1D" w:rsidRDefault="0099399A" w:rsidP="00D87054">
      <w:pPr>
        <w:pStyle w:val="AralkYok"/>
        <w:spacing w:after="200"/>
        <w:jc w:val="left"/>
        <w:rPr>
          <w:rFonts w:cs="Times New Roman"/>
          <w:b w:val="0"/>
          <w:bCs/>
          <w:caps/>
          <w:color w:val="FFFFFF" w:themeColor="background1"/>
          <w:szCs w:val="24"/>
        </w:rPr>
      </w:pPr>
    </w:p>
    <w:p w:rsidR="0099399A" w:rsidRPr="00422D1D" w:rsidRDefault="0099399A" w:rsidP="00D87054">
      <w:pPr>
        <w:pStyle w:val="AralkYok"/>
        <w:spacing w:after="200"/>
        <w:jc w:val="left"/>
        <w:rPr>
          <w:rFonts w:cs="Times New Roman"/>
          <w:b w:val="0"/>
          <w:bCs/>
          <w:caps/>
          <w:color w:val="FFFFFF" w:themeColor="background1"/>
          <w:szCs w:val="24"/>
        </w:rPr>
      </w:pPr>
    </w:p>
    <w:p w:rsidR="0099399A" w:rsidRPr="00422D1D" w:rsidRDefault="0099399A" w:rsidP="00D87054">
      <w:pPr>
        <w:pStyle w:val="AralkYok"/>
        <w:spacing w:after="200"/>
        <w:jc w:val="left"/>
        <w:rPr>
          <w:rFonts w:cs="Times New Roman"/>
          <w:b w:val="0"/>
          <w:bCs/>
          <w:caps/>
          <w:color w:val="FFFFFF" w:themeColor="background1"/>
          <w:szCs w:val="24"/>
        </w:rPr>
      </w:pPr>
    </w:p>
    <w:p w:rsidR="0099399A" w:rsidRPr="00422D1D" w:rsidRDefault="0099399A" w:rsidP="00D87054">
      <w:pPr>
        <w:pStyle w:val="AralkYok"/>
        <w:spacing w:after="200"/>
        <w:jc w:val="left"/>
        <w:rPr>
          <w:rFonts w:cs="Times New Roman"/>
          <w:b w:val="0"/>
          <w:bCs/>
          <w:caps/>
          <w:color w:val="FFFFFF" w:themeColor="background1"/>
          <w:szCs w:val="24"/>
        </w:rPr>
      </w:pPr>
    </w:p>
    <w:p w:rsidR="0099399A" w:rsidRPr="00422D1D" w:rsidRDefault="0099399A" w:rsidP="00D87054">
      <w:pPr>
        <w:pStyle w:val="AralkYok"/>
        <w:spacing w:after="200"/>
        <w:jc w:val="left"/>
        <w:rPr>
          <w:rFonts w:cs="Times New Roman"/>
          <w:b w:val="0"/>
          <w:bCs/>
          <w:caps/>
          <w:color w:val="FFFFFF" w:themeColor="background1"/>
          <w:szCs w:val="24"/>
        </w:rPr>
      </w:pPr>
    </w:p>
    <w:p w:rsidR="0099399A" w:rsidRPr="00422D1D" w:rsidRDefault="0099399A" w:rsidP="00D87054">
      <w:pPr>
        <w:pStyle w:val="AralkYok"/>
        <w:spacing w:after="200"/>
        <w:jc w:val="left"/>
        <w:rPr>
          <w:rFonts w:cs="Times New Roman"/>
          <w:b w:val="0"/>
          <w:bCs/>
          <w:caps/>
          <w:color w:val="FFFFFF" w:themeColor="background1"/>
          <w:szCs w:val="24"/>
        </w:rPr>
      </w:pPr>
    </w:p>
    <w:p w:rsidR="0099399A" w:rsidRPr="00422D1D" w:rsidRDefault="0099399A" w:rsidP="00D87054">
      <w:pPr>
        <w:jc w:val="both"/>
        <w:rPr>
          <w:rFonts w:ascii="Times New Roman" w:eastAsia="Calibri" w:hAnsi="Times New Roman" w:cs="Times New Roman"/>
          <w:b/>
          <w:sz w:val="24"/>
        </w:rPr>
      </w:pPr>
      <w:r w:rsidRPr="00422D1D">
        <w:rPr>
          <w:rFonts w:ascii="Times New Roman" w:eastAsia="Calibri" w:hAnsi="Times New Roman" w:cs="Times New Roman"/>
          <w:b/>
          <w:sz w:val="24"/>
        </w:rPr>
        <w:t>Important Notice:</w:t>
      </w:r>
    </w:p>
    <w:p w:rsidR="0099399A" w:rsidRPr="00422D1D" w:rsidRDefault="0099399A" w:rsidP="00D87054">
      <w:pPr>
        <w:pStyle w:val="ListeParagraf"/>
        <w:numPr>
          <w:ilvl w:val="0"/>
          <w:numId w:val="6"/>
        </w:numPr>
        <w:spacing w:line="240" w:lineRule="auto"/>
        <w:ind w:left="0"/>
        <w:jc w:val="both"/>
        <w:rPr>
          <w:rFonts w:ascii="Times New Roman" w:eastAsia="Calibri" w:hAnsi="Times New Roman" w:cs="Times New Roman"/>
          <w:sz w:val="24"/>
        </w:rPr>
      </w:pPr>
      <w:r w:rsidRPr="00422D1D">
        <w:rPr>
          <w:rFonts w:ascii="Times New Roman" w:eastAsia="Calibri" w:hAnsi="Times New Roman" w:cs="Times New Roman"/>
          <w:sz w:val="24"/>
        </w:rPr>
        <w:t>Licensees may revise their own data submitted before, through correction requests. Therefore, there may be some nonconformity between previous reports and present report published.</w:t>
      </w:r>
    </w:p>
    <w:p w:rsidR="0099399A" w:rsidRPr="00422D1D" w:rsidRDefault="0099399A" w:rsidP="00D87054">
      <w:pPr>
        <w:pStyle w:val="ListeParagraf"/>
        <w:numPr>
          <w:ilvl w:val="0"/>
          <w:numId w:val="6"/>
        </w:numPr>
        <w:spacing w:line="240" w:lineRule="auto"/>
        <w:ind w:left="0"/>
        <w:jc w:val="both"/>
        <w:rPr>
          <w:rFonts w:ascii="Times New Roman" w:eastAsia="Calibri" w:hAnsi="Times New Roman" w:cs="Times New Roman"/>
          <w:sz w:val="24"/>
        </w:rPr>
      </w:pPr>
      <w:r w:rsidRPr="00422D1D">
        <w:rPr>
          <w:rFonts w:ascii="Times New Roman" w:hAnsi="Times New Roman" w:cs="Times New Roman"/>
          <w:sz w:val="24"/>
        </w:rPr>
        <w:t>In this report Turkish punctuation rules are adopted for numbers.</w:t>
      </w:r>
    </w:p>
    <w:p w:rsidR="0099399A" w:rsidRPr="00422D1D" w:rsidRDefault="0099399A" w:rsidP="00D87054">
      <w:pPr>
        <w:rPr>
          <w:rFonts w:ascii="Times New Roman" w:hAnsi="Times New Roman" w:cs="Times New Roman"/>
          <w:b/>
          <w:bCs/>
          <w:caps/>
          <w:sz w:val="24"/>
          <w:szCs w:val="24"/>
        </w:rPr>
      </w:pPr>
    </w:p>
    <w:p w:rsidR="0099399A" w:rsidRPr="00422D1D" w:rsidRDefault="0099399A" w:rsidP="0099399A">
      <w:pPr>
        <w:jc w:val="both"/>
        <w:rPr>
          <w:rFonts w:ascii="Times New Roman" w:hAnsi="Times New Roman" w:cs="Times New Roman"/>
          <w:b/>
          <w:bCs/>
          <w:caps/>
          <w:sz w:val="24"/>
          <w:szCs w:val="24"/>
        </w:rPr>
      </w:pPr>
      <w:r w:rsidRPr="00422D1D">
        <w:rPr>
          <w:rFonts w:ascii="Times New Roman" w:hAnsi="Times New Roman" w:cs="Times New Roman"/>
          <w:b/>
          <w:bCs/>
          <w:caps/>
          <w:sz w:val="24"/>
          <w:szCs w:val="24"/>
        </w:rPr>
        <w:lastRenderedPageBreak/>
        <w:t xml:space="preserve">PRESIDENT’s MeSSAGE </w:t>
      </w:r>
    </w:p>
    <w:p w:rsidR="0099399A" w:rsidRPr="00422D1D" w:rsidRDefault="0099399A" w:rsidP="0099399A">
      <w:pPr>
        <w:jc w:val="both"/>
        <w:rPr>
          <w:rFonts w:ascii="Times New Roman" w:hAnsi="Times New Roman" w:cs="Times New Roman"/>
          <w:b/>
          <w:bCs/>
          <w:caps/>
          <w:sz w:val="24"/>
          <w:szCs w:val="24"/>
        </w:rPr>
      </w:pPr>
    </w:p>
    <w:p w:rsidR="0099399A" w:rsidRPr="00422D1D" w:rsidRDefault="0099399A" w:rsidP="0099399A">
      <w:pPr>
        <w:spacing w:line="360" w:lineRule="auto"/>
        <w:jc w:val="both"/>
        <w:rPr>
          <w:rFonts w:ascii="Times New Roman" w:eastAsia="Microsoft JhengHei" w:hAnsi="Times New Roman" w:cs="Times New Roman"/>
          <w:sz w:val="24"/>
          <w:szCs w:val="24"/>
        </w:rPr>
      </w:pPr>
      <w:r w:rsidRPr="00422D1D">
        <w:rPr>
          <w:rFonts w:ascii="Times New Roman" w:eastAsia="Microsoft JhengHei" w:hAnsi="Times New Roman" w:cs="Times New Roman"/>
          <w:sz w:val="24"/>
          <w:szCs w:val="24"/>
        </w:rPr>
        <w:t xml:space="preserve">After </w:t>
      </w:r>
      <w:r w:rsidR="00B92EC6">
        <w:rPr>
          <w:rFonts w:ascii="Times New Roman" w:eastAsia="Microsoft JhengHei" w:hAnsi="Times New Roman" w:cs="Times New Roman"/>
          <w:sz w:val="24"/>
          <w:szCs w:val="24"/>
        </w:rPr>
        <w:t xml:space="preserve">the period </w:t>
      </w:r>
      <w:r w:rsidRPr="00422D1D">
        <w:rPr>
          <w:rFonts w:ascii="Times New Roman" w:eastAsia="Microsoft JhengHei" w:hAnsi="Times New Roman" w:cs="Times New Roman"/>
          <w:sz w:val="24"/>
          <w:szCs w:val="24"/>
        </w:rPr>
        <w:t>which were striving for a number of regulations and other legislations that were put into effect in the framework of the Electricity Market Law numbered 6446, which entered into force in 2013, a significant process was made in 20</w:t>
      </w:r>
      <w:r w:rsidR="00B92EC6">
        <w:rPr>
          <w:rFonts w:ascii="Times New Roman" w:eastAsia="Microsoft JhengHei" w:hAnsi="Times New Roman" w:cs="Times New Roman"/>
          <w:sz w:val="24"/>
          <w:szCs w:val="24"/>
        </w:rPr>
        <w:t>18</w:t>
      </w:r>
      <w:r w:rsidRPr="00422D1D">
        <w:rPr>
          <w:rFonts w:ascii="Times New Roman" w:eastAsia="Microsoft JhengHei" w:hAnsi="Times New Roman" w:cs="Times New Roman"/>
          <w:sz w:val="24"/>
          <w:szCs w:val="24"/>
        </w:rPr>
        <w:t xml:space="preserve"> on the light of these regulations as moving towards a more liberal, competitive, transparent and foreseeable structure on the market.</w:t>
      </w:r>
    </w:p>
    <w:p w:rsidR="0099399A" w:rsidRPr="00422D1D" w:rsidRDefault="0099399A" w:rsidP="0099399A">
      <w:pPr>
        <w:spacing w:line="360" w:lineRule="auto"/>
        <w:jc w:val="both"/>
        <w:rPr>
          <w:rFonts w:ascii="Times New Roman" w:eastAsia="Microsoft JhengHei" w:hAnsi="Times New Roman" w:cs="Times New Roman"/>
          <w:sz w:val="24"/>
          <w:szCs w:val="24"/>
        </w:rPr>
      </w:pPr>
      <w:r w:rsidRPr="00422D1D">
        <w:rPr>
          <w:rFonts w:ascii="Times New Roman" w:eastAsia="Microsoft JhengHei" w:hAnsi="Times New Roman" w:cs="Times New Roman"/>
          <w:sz w:val="24"/>
          <w:szCs w:val="24"/>
        </w:rPr>
        <w:t xml:space="preserve">In recent years the structural arrangements we have made in order to encourage the use of renewable energy sources instead of imported resources in electricity production have continued to show the results. In this context </w:t>
      </w:r>
      <w:r w:rsidR="00B92EC6">
        <w:rPr>
          <w:rFonts w:ascii="Times New Roman" w:eastAsia="Microsoft JhengHei" w:hAnsi="Times New Roman" w:cs="Times New Roman"/>
          <w:sz w:val="24"/>
          <w:szCs w:val="24"/>
        </w:rPr>
        <w:t>t</w:t>
      </w:r>
      <w:r w:rsidRPr="00422D1D">
        <w:rPr>
          <w:rFonts w:ascii="Times New Roman" w:eastAsia="Microsoft JhengHei" w:hAnsi="Times New Roman" w:cs="Times New Roman"/>
          <w:sz w:val="24"/>
          <w:szCs w:val="24"/>
        </w:rPr>
        <w:t>he share of renewable energy source in total electricity generation</w:t>
      </w:r>
      <w:r w:rsidR="00B92EC6">
        <w:rPr>
          <w:rFonts w:ascii="Times New Roman" w:eastAsia="Microsoft JhengHei" w:hAnsi="Times New Roman" w:cs="Times New Roman"/>
          <w:sz w:val="24"/>
          <w:szCs w:val="24"/>
        </w:rPr>
        <w:t xml:space="preserve"> was</w:t>
      </w:r>
      <w:r w:rsidRPr="00422D1D">
        <w:rPr>
          <w:rFonts w:ascii="Times New Roman" w:eastAsia="Microsoft JhengHei" w:hAnsi="Times New Roman" w:cs="Times New Roman"/>
          <w:sz w:val="24"/>
          <w:szCs w:val="24"/>
        </w:rPr>
        <w:t xml:space="preserve"> </w:t>
      </w:r>
      <w:r w:rsidR="00B92EC6">
        <w:rPr>
          <w:rFonts w:ascii="Times New Roman" w:eastAsia="Microsoft JhengHei" w:hAnsi="Times New Roman" w:cs="Times New Roman"/>
          <w:sz w:val="24"/>
          <w:szCs w:val="24"/>
        </w:rPr>
        <w:t>29,50</w:t>
      </w:r>
      <w:r w:rsidR="00B92EC6" w:rsidRPr="00B92EC6">
        <w:rPr>
          <w:rFonts w:ascii="Times New Roman" w:eastAsia="Microsoft JhengHei" w:hAnsi="Times New Roman" w:cs="Times New Roman"/>
          <w:sz w:val="24"/>
          <w:szCs w:val="24"/>
        </w:rPr>
        <w:t xml:space="preserve">% </w:t>
      </w:r>
      <w:r w:rsidRPr="00422D1D">
        <w:rPr>
          <w:rFonts w:ascii="Times New Roman" w:eastAsia="Microsoft JhengHei" w:hAnsi="Times New Roman" w:cs="Times New Roman"/>
          <w:sz w:val="24"/>
          <w:szCs w:val="24"/>
        </w:rPr>
        <w:t>in 2017</w:t>
      </w:r>
      <w:r w:rsidR="00B92EC6">
        <w:rPr>
          <w:rFonts w:ascii="Times New Roman" w:eastAsia="Microsoft JhengHei" w:hAnsi="Times New Roman" w:cs="Times New Roman"/>
          <w:sz w:val="24"/>
          <w:szCs w:val="24"/>
        </w:rPr>
        <w:t>,</w:t>
      </w:r>
      <w:r w:rsidRPr="00422D1D">
        <w:rPr>
          <w:rFonts w:ascii="Times New Roman" w:eastAsia="Microsoft JhengHei" w:hAnsi="Times New Roman" w:cs="Times New Roman"/>
          <w:sz w:val="24"/>
          <w:szCs w:val="24"/>
        </w:rPr>
        <w:t xml:space="preserve"> </w:t>
      </w:r>
      <w:r w:rsidR="00B92EC6">
        <w:rPr>
          <w:rFonts w:ascii="Times New Roman" w:eastAsia="Microsoft JhengHei" w:hAnsi="Times New Roman" w:cs="Times New Roman"/>
          <w:sz w:val="24"/>
          <w:szCs w:val="24"/>
        </w:rPr>
        <w:t xml:space="preserve">it </w:t>
      </w:r>
      <w:r w:rsidRPr="00422D1D">
        <w:rPr>
          <w:rFonts w:ascii="Times New Roman" w:eastAsia="Microsoft JhengHei" w:hAnsi="Times New Roman" w:cs="Times New Roman"/>
          <w:sz w:val="24"/>
          <w:szCs w:val="24"/>
        </w:rPr>
        <w:t>increased to 32,32% in 2018.</w:t>
      </w:r>
    </w:p>
    <w:p w:rsidR="0099399A" w:rsidRPr="00422D1D" w:rsidRDefault="0099399A" w:rsidP="0099399A">
      <w:pPr>
        <w:spacing w:line="360" w:lineRule="auto"/>
        <w:jc w:val="both"/>
        <w:rPr>
          <w:rFonts w:ascii="Times New Roman" w:eastAsia="Microsoft JhengHei" w:hAnsi="Times New Roman" w:cs="Times New Roman"/>
          <w:sz w:val="24"/>
          <w:szCs w:val="24"/>
        </w:rPr>
      </w:pPr>
      <w:r w:rsidRPr="00422D1D">
        <w:rPr>
          <w:rFonts w:ascii="Times New Roman" w:eastAsia="Microsoft JhengHei" w:hAnsi="Times New Roman" w:cs="Times New Roman"/>
          <w:sz w:val="24"/>
          <w:szCs w:val="24"/>
        </w:rPr>
        <w:t>In addition the capacity mechanism to be operated by TEIAS has been established in order to establish and maintain a sufficient and reliable installed power capacity for supply and system security.</w:t>
      </w:r>
    </w:p>
    <w:p w:rsidR="0099399A" w:rsidRPr="00422D1D" w:rsidRDefault="0099399A" w:rsidP="0099399A">
      <w:pPr>
        <w:spacing w:line="360" w:lineRule="auto"/>
        <w:jc w:val="both"/>
        <w:rPr>
          <w:rFonts w:ascii="Times New Roman" w:eastAsia="Microsoft JhengHei" w:hAnsi="Times New Roman" w:cs="Times New Roman"/>
          <w:sz w:val="24"/>
          <w:szCs w:val="24"/>
        </w:rPr>
      </w:pPr>
      <w:r w:rsidRPr="00422D1D">
        <w:rPr>
          <w:rFonts w:ascii="Times New Roman" w:eastAsia="Microsoft JhengHei" w:hAnsi="Times New Roman" w:cs="Times New Roman"/>
          <w:sz w:val="24"/>
          <w:szCs w:val="24"/>
        </w:rPr>
        <w:t>Market developments repo</w:t>
      </w:r>
      <w:r w:rsidR="00CB5104">
        <w:rPr>
          <w:rFonts w:ascii="Times New Roman" w:eastAsia="Microsoft JhengHei" w:hAnsi="Times New Roman" w:cs="Times New Roman"/>
          <w:sz w:val="24"/>
          <w:szCs w:val="24"/>
        </w:rPr>
        <w:t>r</w:t>
      </w:r>
      <w:r w:rsidRPr="00422D1D">
        <w:rPr>
          <w:rFonts w:ascii="Times New Roman" w:eastAsia="Microsoft JhengHei" w:hAnsi="Times New Roman" w:cs="Times New Roman"/>
          <w:sz w:val="24"/>
          <w:szCs w:val="24"/>
        </w:rPr>
        <w:t>ts, which we submit to our stakeholders by our Institution, are compiled and analyzed from the data submitted to our Agency by using the Energy Market Notification System. It is one of our main objectives to ensure the integrity, consistency and reliability of the data contained in these reports, which are of great importance for accurate and timely sharing with all relevant parties and the public.</w:t>
      </w:r>
    </w:p>
    <w:p w:rsidR="0099399A" w:rsidRPr="00422D1D" w:rsidRDefault="0099399A" w:rsidP="0099399A">
      <w:pPr>
        <w:spacing w:line="360" w:lineRule="auto"/>
        <w:jc w:val="both"/>
        <w:rPr>
          <w:rFonts w:ascii="Times New Roman" w:eastAsia="Microsoft JhengHei" w:hAnsi="Times New Roman" w:cs="Times New Roman"/>
          <w:sz w:val="24"/>
          <w:szCs w:val="24"/>
        </w:rPr>
      </w:pPr>
      <w:r w:rsidRPr="00422D1D">
        <w:rPr>
          <w:rFonts w:ascii="Times New Roman" w:eastAsia="Microsoft JhengHei" w:hAnsi="Times New Roman" w:cs="Times New Roman"/>
          <w:sz w:val="24"/>
          <w:szCs w:val="24"/>
        </w:rPr>
        <w:t>Once again, I would like to indicate that as EMRA we are open to all kind of constructive opinion and suggestion and I wish the Electricity Market Development Report of 2018 will be useful to all related parties, institutions and organizations.</w:t>
      </w:r>
    </w:p>
    <w:p w:rsidR="0099399A" w:rsidRDefault="0099399A" w:rsidP="0099399A">
      <w:pPr>
        <w:jc w:val="both"/>
        <w:rPr>
          <w:rFonts w:ascii="Times New Roman" w:hAnsi="Times New Roman" w:cs="Times New Roman"/>
          <w:b/>
          <w:bCs/>
          <w:caps/>
          <w:sz w:val="24"/>
          <w:szCs w:val="24"/>
        </w:rPr>
      </w:pPr>
    </w:p>
    <w:p w:rsidR="0099399A" w:rsidRDefault="0099399A" w:rsidP="0099399A">
      <w:pPr>
        <w:jc w:val="both"/>
        <w:rPr>
          <w:rFonts w:ascii="Times New Roman" w:hAnsi="Times New Roman" w:cs="Times New Roman"/>
          <w:b/>
          <w:bCs/>
          <w:caps/>
          <w:sz w:val="24"/>
          <w:szCs w:val="24"/>
        </w:rPr>
      </w:pPr>
    </w:p>
    <w:p w:rsidR="0099399A" w:rsidRPr="0099399A" w:rsidRDefault="0099399A" w:rsidP="0099399A">
      <w:pPr>
        <w:jc w:val="both"/>
        <w:rPr>
          <w:rFonts w:ascii="Times New Roman" w:hAnsi="Times New Roman" w:cs="Times New Roman"/>
          <w:b/>
          <w:bCs/>
          <w:caps/>
          <w:sz w:val="24"/>
          <w:szCs w:val="24"/>
        </w:rPr>
      </w:pPr>
    </w:p>
    <w:p w:rsidR="006078D4" w:rsidRDefault="0099399A" w:rsidP="006078D4">
      <w:pPr>
        <w:pStyle w:val="AralkYok"/>
        <w:spacing w:after="200"/>
        <w:jc w:val="right"/>
        <w:rPr>
          <w:rFonts w:cs="Times New Roman"/>
          <w:szCs w:val="24"/>
          <w:lang w:eastAsia="tr-TR"/>
        </w:rPr>
      </w:pPr>
      <w:r w:rsidRPr="0099399A">
        <w:rPr>
          <w:rFonts w:cs="Times New Roman"/>
          <w:szCs w:val="24"/>
          <w:lang w:eastAsia="tr-TR"/>
        </w:rPr>
        <w:t xml:space="preserve">                              </w:t>
      </w:r>
      <w:r w:rsidR="00B92EC6">
        <w:rPr>
          <w:rFonts w:cs="Times New Roman"/>
          <w:szCs w:val="24"/>
          <w:lang w:eastAsia="tr-TR"/>
        </w:rPr>
        <w:t xml:space="preserve">     </w:t>
      </w:r>
      <w:r w:rsidR="006078D4">
        <w:rPr>
          <w:rFonts w:cs="Times New Roman"/>
          <w:szCs w:val="24"/>
          <w:lang w:eastAsia="tr-TR"/>
        </w:rPr>
        <w:t xml:space="preserve">Mustafa YILMAZ      </w:t>
      </w:r>
    </w:p>
    <w:p w:rsidR="0099399A" w:rsidRPr="0099399A" w:rsidRDefault="006078D4" w:rsidP="006078D4">
      <w:pPr>
        <w:pStyle w:val="AralkYok"/>
        <w:spacing w:after="200"/>
        <w:rPr>
          <w:rFonts w:cs="Times New Roman"/>
          <w:szCs w:val="24"/>
          <w:lang w:eastAsia="tr-TR"/>
        </w:rPr>
      </w:pPr>
      <w:r>
        <w:rPr>
          <w:rFonts w:cs="Times New Roman"/>
          <w:szCs w:val="24"/>
          <w:lang w:eastAsia="tr-TR"/>
        </w:rPr>
        <w:t xml:space="preserve">                                                                                                                        </w:t>
      </w:r>
      <w:r w:rsidR="0099399A" w:rsidRPr="0099399A">
        <w:rPr>
          <w:rFonts w:cs="Times New Roman"/>
          <w:szCs w:val="24"/>
          <w:lang w:eastAsia="tr-TR"/>
        </w:rPr>
        <w:t>President</w:t>
      </w:r>
    </w:p>
    <w:p w:rsidR="0099399A" w:rsidRPr="00422D1D" w:rsidRDefault="0099399A" w:rsidP="0099399A">
      <w:pPr>
        <w:pStyle w:val="AralkYok"/>
        <w:spacing w:after="200"/>
        <w:jc w:val="both"/>
        <w:rPr>
          <w:rFonts w:cs="Times New Roman"/>
          <w:b w:val="0"/>
          <w:szCs w:val="24"/>
          <w:lang w:eastAsia="tr-TR"/>
        </w:rPr>
        <w:sectPr w:rsidR="0099399A" w:rsidRPr="00422D1D" w:rsidSect="0099399A">
          <w:type w:val="continuous"/>
          <w:pgSz w:w="11906" w:h="16838"/>
          <w:pgMar w:top="1417" w:right="1417" w:bottom="1417" w:left="1417" w:header="708" w:footer="708" w:gutter="0"/>
          <w:pgNumType w:fmt="lowerRoman" w:start="1"/>
          <w:cols w:space="708"/>
          <w:docGrid w:linePitch="360"/>
        </w:sectPr>
      </w:pPr>
    </w:p>
    <w:p w:rsidR="0099399A" w:rsidRPr="00422D1D" w:rsidRDefault="0099399A" w:rsidP="0099399A">
      <w:pPr>
        <w:jc w:val="both"/>
        <w:rPr>
          <w:rFonts w:ascii="Times New Roman" w:hAnsi="Times New Roman" w:cs="Times New Roman"/>
          <w:b/>
          <w:bCs/>
          <w:caps/>
          <w:sz w:val="24"/>
          <w:szCs w:val="24"/>
        </w:rPr>
      </w:pPr>
      <w:r w:rsidRPr="00422D1D">
        <w:rPr>
          <w:rFonts w:ascii="Times New Roman" w:hAnsi="Times New Roman" w:cs="Times New Roman"/>
          <w:b/>
          <w:bCs/>
          <w:caps/>
          <w:sz w:val="24"/>
          <w:szCs w:val="24"/>
        </w:rPr>
        <w:lastRenderedPageBreak/>
        <w:t>EXECUTIVE SUMMARY</w:t>
      </w:r>
    </w:p>
    <w:p w:rsidR="0099399A" w:rsidRPr="00422D1D" w:rsidRDefault="0099399A" w:rsidP="0099399A">
      <w:pPr>
        <w:jc w:val="both"/>
        <w:rPr>
          <w:rFonts w:ascii="Times New Roman" w:hAnsi="Times New Roman" w:cs="Times New Roman"/>
          <w:b/>
          <w:bCs/>
          <w:caps/>
          <w:sz w:val="24"/>
          <w:szCs w:val="24"/>
        </w:rPr>
      </w:pPr>
    </w:p>
    <w:p w:rsidR="0099399A" w:rsidRPr="00422D1D" w:rsidRDefault="00B92EC6" w:rsidP="0099399A">
      <w:pPr>
        <w:pStyle w:val="ListeParagraf"/>
        <w:numPr>
          <w:ilvl w:val="0"/>
          <w:numId w:val="7"/>
        </w:numPr>
        <w:spacing w:line="240" w:lineRule="auto"/>
        <w:ind w:left="0"/>
        <w:jc w:val="both"/>
        <w:rPr>
          <w:rFonts w:ascii="Times New Roman" w:hAnsi="Times New Roman" w:cs="Times New Roman"/>
          <w:bCs/>
          <w:sz w:val="24"/>
          <w:szCs w:val="24"/>
        </w:rPr>
      </w:pPr>
      <w:r>
        <w:rPr>
          <w:rFonts w:ascii="Times New Roman" w:hAnsi="Times New Roman" w:cs="Times New Roman"/>
          <w:b/>
          <w:bCs/>
          <w:sz w:val="24"/>
          <w:szCs w:val="24"/>
        </w:rPr>
        <w:t xml:space="preserve">Licensed </w:t>
      </w:r>
      <w:r w:rsidR="0099399A" w:rsidRPr="00422D1D">
        <w:rPr>
          <w:rFonts w:ascii="Times New Roman" w:hAnsi="Times New Roman" w:cs="Times New Roman"/>
          <w:b/>
          <w:bCs/>
          <w:sz w:val="24"/>
          <w:szCs w:val="24"/>
        </w:rPr>
        <w:t>Installed Capacity and Peak Demand</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B92EC6" w:rsidP="0099399A">
      <w:pPr>
        <w:pStyle w:val="ListeParagraf"/>
        <w:numPr>
          <w:ilvl w:val="1"/>
          <w:numId w:val="7"/>
        </w:numPr>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Licensed i</w:t>
      </w:r>
      <w:r w:rsidR="0099399A" w:rsidRPr="00422D1D">
        <w:rPr>
          <w:rFonts w:ascii="Times New Roman" w:hAnsi="Times New Roman" w:cs="Times New Roman"/>
          <w:bCs/>
          <w:sz w:val="24"/>
          <w:szCs w:val="24"/>
        </w:rPr>
        <w:t>nstalled capacity in 2018 was 83.187,05 MW increasing by 2,06% compared to previous year.</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In 2017-2018, licensed installed capacity according to resource type is given below:</w:t>
      </w:r>
    </w:p>
    <w:tbl>
      <w:tblPr>
        <w:tblW w:w="9087" w:type="dxa"/>
        <w:tblInd w:w="55" w:type="dxa"/>
        <w:tblCellMar>
          <w:left w:w="70" w:type="dxa"/>
          <w:right w:w="70" w:type="dxa"/>
        </w:tblCellMar>
        <w:tblLook w:val="04A0" w:firstRow="1" w:lastRow="0" w:firstColumn="1" w:lastColumn="0" w:noHBand="0" w:noVBand="1"/>
      </w:tblPr>
      <w:tblGrid>
        <w:gridCol w:w="2425"/>
        <w:gridCol w:w="1559"/>
        <w:gridCol w:w="993"/>
        <w:gridCol w:w="1417"/>
        <w:gridCol w:w="992"/>
        <w:gridCol w:w="1701"/>
      </w:tblGrid>
      <w:tr w:rsidR="0099399A" w:rsidRPr="00422D1D" w:rsidTr="0099399A">
        <w:trPr>
          <w:trHeight w:val="649"/>
        </w:trPr>
        <w:tc>
          <w:tcPr>
            <w:tcW w:w="242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Resource Type</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2017</w:t>
            </w:r>
            <w:r w:rsidRPr="00422D1D">
              <w:rPr>
                <w:rFonts w:ascii="Times New Roman" w:eastAsia="Times New Roman" w:hAnsi="Times New Roman" w:cs="Times New Roman"/>
                <w:b/>
                <w:bCs/>
                <w:color w:val="000000"/>
                <w:lang w:eastAsia="tr-TR"/>
              </w:rPr>
              <w:br/>
              <w:t>(MW)</w:t>
            </w:r>
          </w:p>
        </w:tc>
        <w:tc>
          <w:tcPr>
            <w:tcW w:w="993" w:type="dxa"/>
            <w:tcBorders>
              <w:top w:val="single" w:sz="8" w:space="0" w:color="auto"/>
              <w:left w:val="nil"/>
              <w:bottom w:val="single" w:sz="4" w:space="0" w:color="auto"/>
              <w:right w:val="single" w:sz="4"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Share</w:t>
            </w:r>
            <w:r w:rsidRPr="00422D1D">
              <w:rPr>
                <w:rFonts w:ascii="Times New Roman" w:eastAsia="Times New Roman" w:hAnsi="Times New Roman" w:cs="Times New Roman"/>
                <w:b/>
                <w:bCs/>
                <w:color w:val="000000"/>
                <w:lang w:eastAsia="tr-TR"/>
              </w:rPr>
              <w:br/>
              <w:t xml:space="preserve"> (%)</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2018</w:t>
            </w:r>
            <w:r w:rsidRPr="00422D1D">
              <w:rPr>
                <w:rFonts w:ascii="Times New Roman" w:eastAsia="Times New Roman" w:hAnsi="Times New Roman" w:cs="Times New Roman"/>
                <w:b/>
                <w:bCs/>
                <w:color w:val="000000"/>
                <w:lang w:eastAsia="tr-TR"/>
              </w:rPr>
              <w:br/>
              <w:t>(MW)</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Share</w:t>
            </w:r>
            <w:r w:rsidRPr="00422D1D">
              <w:rPr>
                <w:rFonts w:ascii="Times New Roman" w:eastAsia="Times New Roman" w:hAnsi="Times New Roman" w:cs="Times New Roman"/>
                <w:b/>
                <w:bCs/>
                <w:color w:val="000000"/>
                <w:lang w:eastAsia="tr-TR"/>
              </w:rPr>
              <w:br/>
              <w:t xml:space="preserve"> (%)</w:t>
            </w:r>
          </w:p>
        </w:tc>
        <w:tc>
          <w:tcPr>
            <w:tcW w:w="1701" w:type="dxa"/>
            <w:tcBorders>
              <w:top w:val="single" w:sz="8" w:space="0" w:color="auto"/>
              <w:left w:val="nil"/>
              <w:bottom w:val="single" w:sz="4"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Change</w:t>
            </w:r>
          </w:p>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 xml:space="preserve">2017-2018 </w:t>
            </w:r>
            <w:r w:rsidRPr="00422D1D">
              <w:rPr>
                <w:rFonts w:ascii="Times New Roman" w:eastAsia="Times New Roman" w:hAnsi="Times New Roman" w:cs="Times New Roman"/>
                <w:b/>
                <w:bCs/>
                <w:color w:val="000000"/>
                <w:lang w:eastAsia="tr-TR"/>
              </w:rPr>
              <w:br/>
              <w:t>(%)</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NATURAL GAS</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26.311,80</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32,28</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25.731,93</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30,93</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-2,20</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HYDRO DAM</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19.746,05</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24,23</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20.534,80</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24,69</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3,99</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LIGNITE</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9.267,12</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11,37</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9.597,12</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11,54</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3,56</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IMPORT COAL</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8.936,35</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10,96</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8.938,85</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10,75</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RUN OF RIVER</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7.509,98</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9,21</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7.748,90</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9,32</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3,18</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WIND</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6.482,12</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7,95</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6.942,27</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8,35</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7,10</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GEOTHERMAL</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1.063,73</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1,31</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1.282,52</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1,54</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20,57</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FUEL OIL</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702,77</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0,86</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709,21</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0,85</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0,92</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HARD COAL</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616,15</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0,76</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616,15</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0,74</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BIOMASS</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439,72</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0,54</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590,92</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0,71</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34,39</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ASPHALTITE COAL</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405,00</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0,50</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405,00</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0,49</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SOLAR</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17,90</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81,66</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0,10</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356,19</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NAPHTA</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4,74</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4,74</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LNG</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1,95</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1,95</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DIESEL</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1,04</w:t>
            </w:r>
          </w:p>
        </w:tc>
        <w:tc>
          <w:tcPr>
            <w:tcW w:w="993"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41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1,04</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701"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99399A">
        <w:trPr>
          <w:trHeight w:val="315"/>
        </w:trPr>
        <w:tc>
          <w:tcPr>
            <w:tcW w:w="2425" w:type="dxa"/>
            <w:tcBorders>
              <w:top w:val="nil"/>
              <w:left w:val="single" w:sz="8" w:space="0" w:color="auto"/>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Total</w:t>
            </w:r>
          </w:p>
        </w:tc>
        <w:tc>
          <w:tcPr>
            <w:tcW w:w="1559" w:type="dxa"/>
            <w:tcBorders>
              <w:top w:val="nil"/>
              <w:left w:val="nil"/>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81.506,42</w:t>
            </w:r>
          </w:p>
        </w:tc>
        <w:tc>
          <w:tcPr>
            <w:tcW w:w="993" w:type="dxa"/>
            <w:tcBorders>
              <w:top w:val="nil"/>
              <w:left w:val="nil"/>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100,00</w:t>
            </w:r>
          </w:p>
        </w:tc>
        <w:tc>
          <w:tcPr>
            <w:tcW w:w="1417" w:type="dxa"/>
            <w:tcBorders>
              <w:top w:val="nil"/>
              <w:left w:val="nil"/>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83.187,05</w:t>
            </w:r>
          </w:p>
        </w:tc>
        <w:tc>
          <w:tcPr>
            <w:tcW w:w="992" w:type="dxa"/>
            <w:tcBorders>
              <w:top w:val="nil"/>
              <w:left w:val="nil"/>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100,00</w:t>
            </w:r>
          </w:p>
        </w:tc>
        <w:tc>
          <w:tcPr>
            <w:tcW w:w="1701" w:type="dxa"/>
            <w:tcBorders>
              <w:top w:val="nil"/>
              <w:left w:val="nil"/>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2,06</w:t>
            </w:r>
          </w:p>
        </w:tc>
      </w:tr>
    </w:tbl>
    <w:p w:rsidR="0099399A" w:rsidRPr="00422D1D" w:rsidRDefault="0099399A" w:rsidP="0099399A">
      <w:pPr>
        <w:spacing w:line="360" w:lineRule="auto"/>
        <w:jc w:val="both"/>
        <w:rPr>
          <w:rFonts w:ascii="Times New Roman" w:eastAsia="Microsoft JhengHei" w:hAnsi="Times New Roman" w:cs="Times New Roman"/>
          <w:sz w:val="24"/>
          <w:szCs w:val="24"/>
        </w:rPr>
      </w:pPr>
    </w:p>
    <w:p w:rsidR="0099399A" w:rsidRPr="00422D1D" w:rsidRDefault="0099399A" w:rsidP="0099399A">
      <w:pPr>
        <w:pStyle w:val="ListeParagraf"/>
        <w:numPr>
          <w:ilvl w:val="0"/>
          <w:numId w:val="8"/>
        </w:numPr>
        <w:spacing w:line="360" w:lineRule="auto"/>
        <w:ind w:left="0"/>
        <w:jc w:val="both"/>
        <w:rPr>
          <w:rFonts w:ascii="Times New Roman" w:eastAsia="Microsoft JhengHei" w:hAnsi="Times New Roman" w:cs="Times New Roman"/>
          <w:sz w:val="24"/>
          <w:szCs w:val="24"/>
        </w:rPr>
      </w:pPr>
      <w:r w:rsidRPr="00422D1D">
        <w:rPr>
          <w:rFonts w:ascii="Times New Roman" w:eastAsia="Microsoft JhengHei" w:hAnsi="Times New Roman" w:cs="Times New Roman"/>
          <w:sz w:val="24"/>
          <w:szCs w:val="24"/>
        </w:rPr>
        <w:lastRenderedPageBreak/>
        <w:t>While the share of renewable energy sources (including hydraulics) in total installed power in 2017 was 43,26%, it increased to 44,70% in 2018. While the ratio of total installed thermal power was 56.74% in 2017, it decreased to 55.30% in 2018.</w:t>
      </w:r>
    </w:p>
    <w:p w:rsidR="0099399A" w:rsidRPr="00422D1D" w:rsidRDefault="0099399A" w:rsidP="0099399A">
      <w:pPr>
        <w:pStyle w:val="ListeParagraf"/>
        <w:spacing w:line="360" w:lineRule="auto"/>
        <w:ind w:left="0"/>
        <w:jc w:val="both"/>
        <w:rPr>
          <w:rFonts w:ascii="Times New Roman" w:eastAsia="Microsoft JhengHei" w:hAnsi="Times New Roman" w:cs="Times New Roman"/>
          <w:sz w:val="24"/>
          <w:szCs w:val="24"/>
        </w:rPr>
      </w:pPr>
    </w:p>
    <w:p w:rsidR="0099399A" w:rsidRPr="00B92EC6" w:rsidRDefault="0099399A" w:rsidP="0099399A">
      <w:pPr>
        <w:pStyle w:val="ListeParagraf"/>
        <w:numPr>
          <w:ilvl w:val="0"/>
          <w:numId w:val="8"/>
        </w:numPr>
        <w:spacing w:line="360" w:lineRule="auto"/>
        <w:ind w:left="0"/>
        <w:jc w:val="both"/>
        <w:rPr>
          <w:rFonts w:ascii="Times New Roman" w:eastAsia="Microsoft JhengHei" w:hAnsi="Times New Roman" w:cs="Times New Roman"/>
          <w:sz w:val="24"/>
          <w:szCs w:val="24"/>
        </w:rPr>
      </w:pPr>
      <w:r w:rsidRPr="00422D1D">
        <w:rPr>
          <w:rFonts w:ascii="Times New Roman" w:hAnsi="Times New Roman" w:cs="Times New Roman"/>
          <w:bCs/>
          <w:sz w:val="24"/>
          <w:szCs w:val="24"/>
        </w:rPr>
        <w:t>Peak demand reached to 46,159,55 MW decreasing by 3,15%.</w:t>
      </w:r>
    </w:p>
    <w:p w:rsidR="00B92EC6" w:rsidRPr="00B92EC6" w:rsidRDefault="00B92EC6" w:rsidP="00B92EC6">
      <w:pPr>
        <w:pStyle w:val="ListeParagraf"/>
        <w:rPr>
          <w:rFonts w:ascii="Times New Roman" w:eastAsia="Microsoft JhengHei" w:hAnsi="Times New Roman" w:cs="Times New Roman"/>
          <w:sz w:val="24"/>
          <w:szCs w:val="24"/>
        </w:rPr>
      </w:pPr>
    </w:p>
    <w:p w:rsidR="00B92EC6" w:rsidRPr="0099399A" w:rsidRDefault="00B92EC6" w:rsidP="00B92EC6">
      <w:pPr>
        <w:pStyle w:val="ListeParagraf"/>
        <w:spacing w:line="360" w:lineRule="auto"/>
        <w:ind w:left="0"/>
        <w:jc w:val="both"/>
        <w:rPr>
          <w:rFonts w:ascii="Times New Roman" w:eastAsia="Microsoft JhengHei" w:hAnsi="Times New Roman" w:cs="Times New Roman"/>
          <w:sz w:val="24"/>
          <w:szCs w:val="24"/>
        </w:rPr>
      </w:pPr>
    </w:p>
    <w:p w:rsidR="0099399A" w:rsidRPr="00422D1D" w:rsidRDefault="0099399A" w:rsidP="0099399A">
      <w:pPr>
        <w:pStyle w:val="ListeParagraf"/>
        <w:numPr>
          <w:ilvl w:val="0"/>
          <w:numId w:val="7"/>
        </w:numPr>
        <w:spacing w:line="240" w:lineRule="auto"/>
        <w:ind w:left="0"/>
        <w:jc w:val="both"/>
        <w:rPr>
          <w:rFonts w:ascii="Times New Roman" w:hAnsi="Times New Roman" w:cs="Times New Roman"/>
          <w:b/>
          <w:bCs/>
          <w:sz w:val="24"/>
          <w:szCs w:val="24"/>
        </w:rPr>
      </w:pPr>
      <w:r w:rsidRPr="00422D1D">
        <w:rPr>
          <w:rFonts w:ascii="Times New Roman" w:hAnsi="Times New Roman" w:cs="Times New Roman"/>
          <w:b/>
          <w:bCs/>
          <w:sz w:val="24"/>
          <w:szCs w:val="24"/>
        </w:rPr>
        <w:t xml:space="preserve">Licensed </w:t>
      </w:r>
      <w:r w:rsidR="00B92EC6">
        <w:rPr>
          <w:rFonts w:ascii="Times New Roman" w:hAnsi="Times New Roman" w:cs="Times New Roman"/>
          <w:b/>
          <w:bCs/>
          <w:sz w:val="24"/>
          <w:szCs w:val="24"/>
        </w:rPr>
        <w:t xml:space="preserve">Electricity </w:t>
      </w:r>
      <w:r w:rsidRPr="00422D1D">
        <w:rPr>
          <w:rFonts w:ascii="Times New Roman" w:hAnsi="Times New Roman" w:cs="Times New Roman"/>
          <w:b/>
          <w:bCs/>
          <w:sz w:val="24"/>
          <w:szCs w:val="24"/>
        </w:rPr>
        <w:t>Generation and Consumption</w:t>
      </w:r>
    </w:p>
    <w:p w:rsidR="0099399A" w:rsidRPr="00422D1D" w:rsidRDefault="0099399A" w:rsidP="0099399A">
      <w:pPr>
        <w:pStyle w:val="ListeParagraf"/>
        <w:spacing w:line="240" w:lineRule="auto"/>
        <w:ind w:left="0"/>
        <w:jc w:val="both"/>
        <w:rPr>
          <w:rFonts w:ascii="Times New Roman" w:hAnsi="Times New Roman" w:cs="Times New Roman"/>
          <w:b/>
          <w:bCs/>
          <w:sz w:val="24"/>
          <w:szCs w:val="24"/>
        </w:rPr>
      </w:pPr>
    </w:p>
    <w:p w:rsidR="0099399A" w:rsidRPr="00422D1D" w:rsidRDefault="00B92EC6" w:rsidP="0099399A">
      <w:pPr>
        <w:pStyle w:val="ListeParagraf"/>
        <w:numPr>
          <w:ilvl w:val="1"/>
          <w:numId w:val="7"/>
        </w:numPr>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Licensed e</w:t>
      </w:r>
      <w:r w:rsidR="0099399A" w:rsidRPr="00422D1D">
        <w:rPr>
          <w:rFonts w:ascii="Times New Roman" w:hAnsi="Times New Roman" w:cs="Times New Roman"/>
          <w:bCs/>
          <w:sz w:val="24"/>
          <w:szCs w:val="24"/>
        </w:rPr>
        <w:t>lectricity generation reached to 295.442,15 GWh in 2018, increasing by 0,97% compared to 2017.</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 xml:space="preserve">In 2017-2018, licensed </w:t>
      </w:r>
      <w:r w:rsidR="00B92EC6">
        <w:rPr>
          <w:rFonts w:ascii="Times New Roman" w:hAnsi="Times New Roman" w:cs="Times New Roman"/>
          <w:bCs/>
          <w:sz w:val="24"/>
          <w:szCs w:val="24"/>
        </w:rPr>
        <w:t>electricity generation</w:t>
      </w:r>
      <w:r w:rsidRPr="00422D1D">
        <w:rPr>
          <w:rFonts w:ascii="Times New Roman" w:hAnsi="Times New Roman" w:cs="Times New Roman"/>
          <w:bCs/>
          <w:sz w:val="24"/>
          <w:szCs w:val="24"/>
        </w:rPr>
        <w:t xml:space="preserve"> according to resource type is given below:</w:t>
      </w:r>
    </w:p>
    <w:p w:rsidR="0099399A" w:rsidRPr="00422D1D" w:rsidRDefault="0099399A" w:rsidP="0099399A">
      <w:pPr>
        <w:pStyle w:val="ListeParagraf"/>
        <w:ind w:left="0"/>
        <w:jc w:val="both"/>
        <w:rPr>
          <w:rFonts w:ascii="Times New Roman" w:hAnsi="Times New Roman" w:cs="Times New Roman"/>
          <w:bCs/>
          <w:sz w:val="24"/>
          <w:szCs w:val="24"/>
        </w:rPr>
      </w:pP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tbl>
      <w:tblPr>
        <w:tblW w:w="8946" w:type="dxa"/>
        <w:tblInd w:w="55" w:type="dxa"/>
        <w:tblCellMar>
          <w:left w:w="70" w:type="dxa"/>
          <w:right w:w="70" w:type="dxa"/>
        </w:tblCellMar>
        <w:tblLook w:val="04A0" w:firstRow="1" w:lastRow="0" w:firstColumn="1" w:lastColumn="0" w:noHBand="0" w:noVBand="1"/>
      </w:tblPr>
      <w:tblGrid>
        <w:gridCol w:w="2425"/>
        <w:gridCol w:w="1701"/>
        <w:gridCol w:w="851"/>
        <w:gridCol w:w="1559"/>
        <w:gridCol w:w="992"/>
        <w:gridCol w:w="1418"/>
      </w:tblGrid>
      <w:tr w:rsidR="0099399A" w:rsidRPr="00422D1D" w:rsidTr="0099399A">
        <w:trPr>
          <w:trHeight w:val="600"/>
        </w:trPr>
        <w:tc>
          <w:tcPr>
            <w:tcW w:w="242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bookmarkStart w:id="29" w:name="OLE_LINK2" w:colFirst="1" w:colLast="5"/>
            <w:r w:rsidRPr="00422D1D">
              <w:rPr>
                <w:rFonts w:ascii="Times New Roman" w:eastAsia="Times New Roman" w:hAnsi="Times New Roman" w:cs="Times New Roman"/>
                <w:b/>
                <w:bCs/>
                <w:color w:val="000000"/>
                <w:lang w:eastAsia="tr-TR"/>
              </w:rPr>
              <w:t>Resource Type</w:t>
            </w:r>
          </w:p>
        </w:tc>
        <w:tc>
          <w:tcPr>
            <w:tcW w:w="1701" w:type="dxa"/>
            <w:tcBorders>
              <w:top w:val="single" w:sz="8" w:space="0" w:color="auto"/>
              <w:left w:val="nil"/>
              <w:bottom w:val="single" w:sz="4" w:space="0" w:color="auto"/>
              <w:right w:val="single" w:sz="4"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2017</w:t>
            </w:r>
            <w:r w:rsidRPr="00422D1D">
              <w:rPr>
                <w:rFonts w:ascii="Times New Roman" w:eastAsia="Times New Roman" w:hAnsi="Times New Roman" w:cs="Times New Roman"/>
                <w:b/>
                <w:bCs/>
                <w:color w:val="000000"/>
                <w:lang w:eastAsia="tr-TR"/>
              </w:rPr>
              <w:br/>
              <w:t>(GWh)</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Share (%)</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2018</w:t>
            </w:r>
            <w:r w:rsidRPr="00422D1D">
              <w:rPr>
                <w:rFonts w:ascii="Times New Roman" w:eastAsia="Times New Roman" w:hAnsi="Times New Roman" w:cs="Times New Roman"/>
                <w:b/>
                <w:bCs/>
                <w:color w:val="000000"/>
                <w:lang w:eastAsia="tr-TR"/>
              </w:rPr>
              <w:br/>
              <w:t>(GWh)</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Share (%)</w:t>
            </w:r>
          </w:p>
        </w:tc>
        <w:tc>
          <w:tcPr>
            <w:tcW w:w="1418" w:type="dxa"/>
            <w:tcBorders>
              <w:top w:val="single" w:sz="8" w:space="0" w:color="auto"/>
              <w:left w:val="nil"/>
              <w:bottom w:val="single" w:sz="4"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2017-2018</w:t>
            </w:r>
            <w:r w:rsidRPr="00422D1D">
              <w:rPr>
                <w:rFonts w:ascii="Times New Roman" w:eastAsia="Times New Roman" w:hAnsi="Times New Roman" w:cs="Times New Roman"/>
                <w:b/>
                <w:bCs/>
                <w:color w:val="000000"/>
                <w:lang w:eastAsia="tr-TR"/>
              </w:rPr>
              <w:br/>
              <w:t>(%)</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NATURAL GAS</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108.837,19</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37,20</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91.227,14</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30,88</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-16,18</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IMPORT COAL</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51.172,22</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17,49</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62.949,64</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21,31</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23,02</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HYDRO GAM</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41.269,59</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14,10</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40.961,45</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13,86</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-0,75</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LIGNITE</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40.581,02</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13,87</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45.055,29</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15,25</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11,03</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WIND</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17.859,86</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6,10</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19.891,37</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6,73</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11,37</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RUN OF RIVER</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17.124,40</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5,85</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18.975,98</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6,42</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10,81</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GEOTHERMAL</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5.969,48</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2,04</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7.611,58</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2,58</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27,51</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HARD COAL</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3.453,87</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1,18</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3.005,55</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1,02</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-12,98</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ASPHALITE COAL</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2.394,64</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0,82</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2.328,50</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0,79</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-2,76</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BIOMASS</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1.939,72</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0,66</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2.410,00</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0,82</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24,24</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DIESEL</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1.008,83</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0,34</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0,98</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-99,90</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FUEL OİL</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957,86</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0,33</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957,98</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0,32</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SOLAR</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24,56</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65,56</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166,97</w:t>
            </w:r>
          </w:p>
        </w:tc>
      </w:tr>
      <w:tr w:rsidR="0099399A" w:rsidRPr="00422D1D" w:rsidTr="0099399A">
        <w:trPr>
          <w:trHeight w:val="300"/>
        </w:trPr>
        <w:tc>
          <w:tcPr>
            <w:tcW w:w="242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LNG</w:t>
            </w:r>
          </w:p>
        </w:tc>
        <w:tc>
          <w:tcPr>
            <w:tcW w:w="170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2,20</w:t>
            </w:r>
          </w:p>
        </w:tc>
        <w:tc>
          <w:tcPr>
            <w:tcW w:w="851"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559"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1,12</w:t>
            </w:r>
          </w:p>
        </w:tc>
        <w:tc>
          <w:tcPr>
            <w:tcW w:w="992"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418"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-48,83</w:t>
            </w:r>
          </w:p>
        </w:tc>
      </w:tr>
      <w:tr w:rsidR="0099399A" w:rsidRPr="00422D1D" w:rsidTr="0099399A">
        <w:trPr>
          <w:trHeight w:val="315"/>
        </w:trPr>
        <w:tc>
          <w:tcPr>
            <w:tcW w:w="2425" w:type="dxa"/>
            <w:tcBorders>
              <w:top w:val="nil"/>
              <w:left w:val="single" w:sz="8" w:space="0" w:color="auto"/>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Total</w:t>
            </w:r>
          </w:p>
        </w:tc>
        <w:tc>
          <w:tcPr>
            <w:tcW w:w="1701" w:type="dxa"/>
            <w:tcBorders>
              <w:top w:val="nil"/>
              <w:left w:val="nil"/>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292.595,42</w:t>
            </w:r>
          </w:p>
        </w:tc>
        <w:tc>
          <w:tcPr>
            <w:tcW w:w="851" w:type="dxa"/>
            <w:tcBorders>
              <w:top w:val="nil"/>
              <w:left w:val="nil"/>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100,00</w:t>
            </w:r>
          </w:p>
        </w:tc>
        <w:tc>
          <w:tcPr>
            <w:tcW w:w="1559" w:type="dxa"/>
            <w:tcBorders>
              <w:top w:val="nil"/>
              <w:left w:val="nil"/>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295.442,15</w:t>
            </w:r>
          </w:p>
        </w:tc>
        <w:tc>
          <w:tcPr>
            <w:tcW w:w="992" w:type="dxa"/>
            <w:tcBorders>
              <w:top w:val="nil"/>
              <w:left w:val="nil"/>
              <w:bottom w:val="single" w:sz="8"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100,00</w:t>
            </w:r>
          </w:p>
        </w:tc>
        <w:tc>
          <w:tcPr>
            <w:tcW w:w="141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0,97</w:t>
            </w:r>
          </w:p>
        </w:tc>
      </w:tr>
      <w:bookmarkEnd w:id="29"/>
    </w:tbl>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ind w:left="0"/>
        <w:jc w:val="both"/>
        <w:rPr>
          <w:rFonts w:ascii="Times New Roman" w:hAnsi="Times New Roman" w:cs="Times New Roman"/>
          <w:bCs/>
          <w:sz w:val="24"/>
          <w:szCs w:val="24"/>
        </w:rPr>
      </w:pPr>
      <w:r w:rsidRPr="00422D1D">
        <w:rPr>
          <w:rFonts w:ascii="Times New Roman" w:hAnsi="Times New Roman" w:cs="Times New Roman"/>
          <w:bCs/>
          <w:sz w:val="24"/>
          <w:szCs w:val="24"/>
        </w:rPr>
        <w:t xml:space="preserve">The share of renewable energy sources (including hydraulic) within the </w:t>
      </w:r>
      <w:r w:rsidR="00B92EC6">
        <w:rPr>
          <w:rFonts w:ascii="Times New Roman" w:hAnsi="Times New Roman" w:cs="Times New Roman"/>
          <w:bCs/>
          <w:sz w:val="24"/>
          <w:szCs w:val="24"/>
        </w:rPr>
        <w:t>licensed electricity generation</w:t>
      </w:r>
      <w:r w:rsidRPr="00422D1D">
        <w:rPr>
          <w:rFonts w:ascii="Times New Roman" w:hAnsi="Times New Roman" w:cs="Times New Roman"/>
          <w:bCs/>
          <w:sz w:val="24"/>
          <w:szCs w:val="24"/>
        </w:rPr>
        <w:t xml:space="preserve"> was 30,43% in 2018, while it was 28,77% in 2017. The ratio of total thermal installed capacity was 69,57% in 2018, while it was 71,23% in 2017.</w:t>
      </w:r>
    </w:p>
    <w:p w:rsidR="0099399A" w:rsidRPr="00422D1D" w:rsidRDefault="0099399A" w:rsidP="0099399A">
      <w:pPr>
        <w:spacing w:line="240" w:lineRule="auto"/>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The amount of consumption reached to 302.772,30 GWh in 2018 which increased by 3,69% compared to 2017.</w:t>
      </w:r>
    </w:p>
    <w:p w:rsidR="0099399A" w:rsidRPr="00422D1D" w:rsidRDefault="0099399A" w:rsidP="0099399A">
      <w:pPr>
        <w:jc w:val="both"/>
        <w:rPr>
          <w:rFonts w:ascii="Times New Roman" w:hAnsi="Times New Roman" w:cs="Times New Roman"/>
          <w:bCs/>
          <w:sz w:val="24"/>
          <w:szCs w:val="24"/>
        </w:rPr>
      </w:pPr>
    </w:p>
    <w:p w:rsidR="0099399A" w:rsidRPr="00422D1D" w:rsidRDefault="0099399A" w:rsidP="0099399A">
      <w:pPr>
        <w:pStyle w:val="ListeParagraf"/>
        <w:numPr>
          <w:ilvl w:val="0"/>
          <w:numId w:val="7"/>
        </w:numPr>
        <w:spacing w:line="240" w:lineRule="auto"/>
        <w:ind w:left="0"/>
        <w:jc w:val="both"/>
        <w:rPr>
          <w:rFonts w:ascii="Times New Roman" w:hAnsi="Times New Roman" w:cs="Times New Roman"/>
          <w:b/>
          <w:bCs/>
          <w:sz w:val="24"/>
          <w:szCs w:val="24"/>
        </w:rPr>
      </w:pPr>
      <w:r w:rsidRPr="00422D1D">
        <w:rPr>
          <w:rFonts w:ascii="Times New Roman" w:hAnsi="Times New Roman" w:cs="Times New Roman"/>
          <w:b/>
          <w:bCs/>
          <w:sz w:val="24"/>
          <w:szCs w:val="24"/>
        </w:rPr>
        <w:t>Unlicensed Generation</w:t>
      </w:r>
    </w:p>
    <w:p w:rsidR="0099399A" w:rsidRPr="00422D1D" w:rsidRDefault="0099399A" w:rsidP="0099399A">
      <w:pPr>
        <w:pStyle w:val="ListeParagraf"/>
        <w:spacing w:line="240" w:lineRule="auto"/>
        <w:ind w:left="0"/>
        <w:jc w:val="both"/>
        <w:rPr>
          <w:rFonts w:ascii="Times New Roman" w:hAnsi="Times New Roman" w:cs="Times New Roman"/>
          <w:b/>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In 2018, unlicensed installed capacity reached to 5.310,57 MW increasing by 67,35 % compared to previous year. 94,47% of this amount was obtained from solar (photovoltaic) energy.</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spacing w:line="240" w:lineRule="auto"/>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In 2017-2018, unlicensed installed capacity according to resource type is given below:</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tbl>
      <w:tblPr>
        <w:tblW w:w="7726" w:type="dxa"/>
        <w:jc w:val="center"/>
        <w:tblCellMar>
          <w:left w:w="70" w:type="dxa"/>
          <w:right w:w="70" w:type="dxa"/>
        </w:tblCellMar>
        <w:tblLook w:val="04A0" w:firstRow="1" w:lastRow="0" w:firstColumn="1" w:lastColumn="0" w:noHBand="0" w:noVBand="1"/>
      </w:tblPr>
      <w:tblGrid>
        <w:gridCol w:w="2551"/>
        <w:gridCol w:w="1701"/>
        <w:gridCol w:w="851"/>
        <w:gridCol w:w="1701"/>
        <w:gridCol w:w="922"/>
      </w:tblGrid>
      <w:tr w:rsidR="0099399A" w:rsidRPr="00422D1D" w:rsidTr="0099399A">
        <w:trPr>
          <w:trHeight w:val="330"/>
          <w:jc w:val="center"/>
        </w:trPr>
        <w:tc>
          <w:tcPr>
            <w:tcW w:w="2551"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Resource Type</w:t>
            </w:r>
          </w:p>
        </w:tc>
        <w:tc>
          <w:tcPr>
            <w:tcW w:w="2552" w:type="dxa"/>
            <w:gridSpan w:val="2"/>
            <w:tcBorders>
              <w:top w:val="single" w:sz="8" w:space="0" w:color="auto"/>
              <w:left w:val="nil"/>
              <w:bottom w:val="single" w:sz="8" w:space="0" w:color="auto"/>
              <w:right w:val="single" w:sz="8"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2017</w:t>
            </w:r>
          </w:p>
        </w:tc>
        <w:tc>
          <w:tcPr>
            <w:tcW w:w="2623" w:type="dxa"/>
            <w:gridSpan w:val="2"/>
            <w:tcBorders>
              <w:top w:val="single" w:sz="8" w:space="0" w:color="auto"/>
              <w:left w:val="nil"/>
              <w:bottom w:val="single" w:sz="8" w:space="0" w:color="auto"/>
              <w:right w:val="single" w:sz="8"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2018</w:t>
            </w:r>
          </w:p>
        </w:tc>
      </w:tr>
      <w:tr w:rsidR="0099399A" w:rsidRPr="00422D1D" w:rsidTr="0099399A">
        <w:trPr>
          <w:trHeight w:val="615"/>
          <w:jc w:val="center"/>
        </w:trPr>
        <w:tc>
          <w:tcPr>
            <w:tcW w:w="2551" w:type="dxa"/>
            <w:vMerge/>
            <w:tcBorders>
              <w:top w:val="single" w:sz="8" w:space="0" w:color="auto"/>
              <w:left w:val="single" w:sz="8" w:space="0" w:color="auto"/>
              <w:bottom w:val="single" w:sz="8" w:space="0" w:color="auto"/>
              <w:right w:val="single" w:sz="8" w:space="0" w:color="auto"/>
            </w:tcBorders>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Installed Capacity</w:t>
            </w:r>
            <w:r w:rsidRPr="00422D1D">
              <w:rPr>
                <w:rFonts w:ascii="Times New Roman" w:eastAsia="Times New Roman" w:hAnsi="Times New Roman" w:cs="Times New Roman"/>
                <w:b/>
                <w:bCs/>
                <w:color w:val="000000"/>
                <w:sz w:val="24"/>
                <w:szCs w:val="24"/>
                <w:lang w:eastAsia="tr-TR"/>
              </w:rPr>
              <w:br/>
              <w:t xml:space="preserve"> (MWe)</w:t>
            </w:r>
          </w:p>
        </w:tc>
        <w:tc>
          <w:tcPr>
            <w:tcW w:w="851" w:type="dxa"/>
            <w:tcBorders>
              <w:top w:val="single" w:sz="8" w:space="0" w:color="auto"/>
              <w:left w:val="nil"/>
              <w:bottom w:val="single" w:sz="8" w:space="0" w:color="auto"/>
              <w:right w:val="single" w:sz="8"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Share</w:t>
            </w:r>
            <w:r w:rsidRPr="00422D1D">
              <w:rPr>
                <w:rFonts w:ascii="Times New Roman" w:eastAsia="Times New Roman" w:hAnsi="Times New Roman" w:cs="Times New Roman"/>
                <w:b/>
                <w:bCs/>
                <w:color w:val="000000"/>
                <w:sz w:val="24"/>
                <w:szCs w:val="24"/>
                <w:lang w:eastAsia="tr-TR"/>
              </w:rPr>
              <w:br/>
              <w:t xml:space="preserve"> (%)</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Installed Capacity</w:t>
            </w:r>
            <w:r w:rsidRPr="00422D1D">
              <w:rPr>
                <w:rFonts w:ascii="Times New Roman" w:eastAsia="Times New Roman" w:hAnsi="Times New Roman" w:cs="Times New Roman"/>
                <w:b/>
                <w:bCs/>
                <w:color w:val="000000"/>
                <w:sz w:val="24"/>
                <w:szCs w:val="24"/>
                <w:lang w:eastAsia="tr-TR"/>
              </w:rPr>
              <w:br/>
              <w:t xml:space="preserve"> (MWe)</w:t>
            </w:r>
          </w:p>
        </w:tc>
        <w:tc>
          <w:tcPr>
            <w:tcW w:w="922" w:type="dxa"/>
            <w:tcBorders>
              <w:top w:val="single" w:sz="8" w:space="0" w:color="auto"/>
              <w:left w:val="nil"/>
              <w:bottom w:val="single" w:sz="8" w:space="0" w:color="auto"/>
              <w:right w:val="single" w:sz="8"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Share</w:t>
            </w:r>
            <w:r w:rsidRPr="00422D1D">
              <w:rPr>
                <w:rFonts w:ascii="Times New Roman" w:eastAsia="Times New Roman" w:hAnsi="Times New Roman" w:cs="Times New Roman"/>
                <w:b/>
                <w:bCs/>
                <w:color w:val="000000"/>
                <w:sz w:val="24"/>
                <w:szCs w:val="24"/>
                <w:lang w:eastAsia="tr-TR"/>
              </w:rPr>
              <w:br/>
              <w:t xml:space="preserve"> (%)</w:t>
            </w:r>
          </w:p>
        </w:tc>
      </w:tr>
      <w:tr w:rsidR="0099399A" w:rsidRPr="00422D1D" w:rsidTr="0099399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Solar (Photovoltaic)</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2.978,84</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93,87</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5.016,99</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94,47</w:t>
            </w:r>
          </w:p>
        </w:tc>
      </w:tr>
      <w:tr w:rsidR="0099399A" w:rsidRPr="00422D1D" w:rsidTr="0099399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Natural Gas</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85,88</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2,71</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153,04</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2,88</w:t>
            </w:r>
          </w:p>
        </w:tc>
      </w:tr>
      <w:tr w:rsidR="0099399A" w:rsidRPr="00422D1D" w:rsidTr="0099399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Biomass</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66,72</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2,10</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79,18</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1,49</w:t>
            </w:r>
          </w:p>
        </w:tc>
      </w:tr>
      <w:tr w:rsidR="0099399A" w:rsidRPr="00422D1D" w:rsidTr="0099399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Wind</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32,20</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1,01</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51,95</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0,98</w:t>
            </w:r>
          </w:p>
        </w:tc>
      </w:tr>
      <w:tr w:rsidR="0099399A" w:rsidRPr="00422D1D" w:rsidTr="0099399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Hydraulic</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8,69</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0,27</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8,91</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0,17</w:t>
            </w:r>
          </w:p>
        </w:tc>
      </w:tr>
      <w:tr w:rsidR="0099399A" w:rsidRPr="00422D1D" w:rsidTr="0099399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Solar (Concentrated)</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1,00</w:t>
            </w:r>
          </w:p>
        </w:tc>
        <w:tc>
          <w:tcPr>
            <w:tcW w:w="85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0,03</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0,50</w:t>
            </w:r>
          </w:p>
        </w:tc>
        <w:tc>
          <w:tcPr>
            <w:tcW w:w="922" w:type="dxa"/>
            <w:tcBorders>
              <w:top w:val="single" w:sz="8" w:space="0" w:color="auto"/>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0,01</w:t>
            </w:r>
          </w:p>
        </w:tc>
      </w:tr>
      <w:tr w:rsidR="0099399A" w:rsidRPr="00422D1D" w:rsidTr="0099399A">
        <w:trPr>
          <w:trHeight w:val="315"/>
          <w:jc w:val="center"/>
        </w:trPr>
        <w:tc>
          <w:tcPr>
            <w:tcW w:w="25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Total</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3.173,32</w:t>
            </w: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100,00</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5.310,57</w:t>
            </w:r>
          </w:p>
        </w:tc>
        <w:tc>
          <w:tcPr>
            <w:tcW w:w="9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100,00</w:t>
            </w:r>
          </w:p>
        </w:tc>
      </w:tr>
    </w:tbl>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 xml:space="preserve">In 2018, amount of unlicensed generation reached to 8.212,41 GWh increasing by 170,92 </w:t>
      </w:r>
      <w:r w:rsidR="00E053FD">
        <w:rPr>
          <w:rFonts w:ascii="Times New Roman" w:hAnsi="Times New Roman" w:cs="Times New Roman"/>
          <w:bCs/>
          <w:sz w:val="24"/>
          <w:szCs w:val="24"/>
        </w:rPr>
        <w:t>% compared to previous year. 95</w:t>
      </w:r>
      <w:r w:rsidRPr="00422D1D">
        <w:rPr>
          <w:rFonts w:ascii="Times New Roman" w:hAnsi="Times New Roman" w:cs="Times New Roman"/>
          <w:bCs/>
          <w:sz w:val="24"/>
          <w:szCs w:val="24"/>
        </w:rPr>
        <w:t>,71% of this amount was obtained from solar (photovoltaic) energy.</w:t>
      </w:r>
    </w:p>
    <w:p w:rsidR="0099399A" w:rsidRPr="00422D1D" w:rsidRDefault="0099399A" w:rsidP="0099399A">
      <w:pPr>
        <w:pStyle w:val="ListeParagraf"/>
        <w:ind w:left="0"/>
        <w:jc w:val="both"/>
        <w:rPr>
          <w:rFonts w:ascii="Times New Roman" w:hAnsi="Times New Roman" w:cs="Times New Roman"/>
          <w:bCs/>
          <w:sz w:val="24"/>
          <w:szCs w:val="24"/>
        </w:rPr>
      </w:pPr>
    </w:p>
    <w:p w:rsidR="0099399A"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In 2017-2018, unlicensed generation according to resource type is given below:</w:t>
      </w:r>
    </w:p>
    <w:p w:rsidR="00092072" w:rsidRPr="00092072" w:rsidRDefault="00092072" w:rsidP="00092072">
      <w:pPr>
        <w:pStyle w:val="ListeParagraf"/>
        <w:rPr>
          <w:rFonts w:ascii="Times New Roman" w:hAnsi="Times New Roman" w:cs="Times New Roman"/>
          <w:bCs/>
          <w:sz w:val="24"/>
          <w:szCs w:val="24"/>
        </w:rPr>
      </w:pPr>
    </w:p>
    <w:p w:rsidR="00092072" w:rsidRDefault="00092072" w:rsidP="00092072">
      <w:pPr>
        <w:pStyle w:val="ListeParagraf"/>
        <w:spacing w:line="240" w:lineRule="auto"/>
        <w:ind w:left="0"/>
        <w:jc w:val="both"/>
        <w:rPr>
          <w:rFonts w:ascii="Times New Roman" w:hAnsi="Times New Roman" w:cs="Times New Roman"/>
          <w:bCs/>
          <w:sz w:val="24"/>
          <w:szCs w:val="24"/>
        </w:rPr>
      </w:pPr>
    </w:p>
    <w:p w:rsidR="00092072" w:rsidRPr="00422D1D" w:rsidRDefault="00092072" w:rsidP="00092072">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spacing w:line="240" w:lineRule="auto"/>
        <w:jc w:val="both"/>
        <w:rPr>
          <w:rFonts w:ascii="Times New Roman" w:hAnsi="Times New Roman" w:cs="Times New Roman"/>
          <w:bCs/>
          <w:sz w:val="24"/>
          <w:szCs w:val="24"/>
        </w:rPr>
      </w:pPr>
    </w:p>
    <w:tbl>
      <w:tblPr>
        <w:tblW w:w="8112" w:type="dxa"/>
        <w:jc w:val="center"/>
        <w:tblCellMar>
          <w:left w:w="70" w:type="dxa"/>
          <w:right w:w="70" w:type="dxa"/>
        </w:tblCellMar>
        <w:tblLook w:val="04A0" w:firstRow="1" w:lastRow="0" w:firstColumn="1" w:lastColumn="0" w:noHBand="0" w:noVBand="1"/>
      </w:tblPr>
      <w:tblGrid>
        <w:gridCol w:w="1985"/>
        <w:gridCol w:w="2244"/>
        <w:gridCol w:w="800"/>
        <w:gridCol w:w="2127"/>
        <w:gridCol w:w="956"/>
      </w:tblGrid>
      <w:tr w:rsidR="0099399A" w:rsidRPr="00422D1D" w:rsidTr="0099399A">
        <w:trPr>
          <w:trHeight w:val="89"/>
          <w:jc w:val="center"/>
        </w:trPr>
        <w:tc>
          <w:tcPr>
            <w:tcW w:w="1985"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 xml:space="preserve">Resource Type </w:t>
            </w:r>
          </w:p>
        </w:tc>
        <w:tc>
          <w:tcPr>
            <w:tcW w:w="3044" w:type="dxa"/>
            <w:gridSpan w:val="2"/>
            <w:tcBorders>
              <w:top w:val="single" w:sz="8" w:space="0" w:color="auto"/>
              <w:left w:val="nil"/>
              <w:bottom w:val="single" w:sz="4" w:space="0" w:color="auto"/>
              <w:right w:val="single" w:sz="4"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2017</w:t>
            </w:r>
          </w:p>
        </w:tc>
        <w:tc>
          <w:tcPr>
            <w:tcW w:w="3083" w:type="dxa"/>
            <w:gridSpan w:val="2"/>
            <w:tcBorders>
              <w:top w:val="single" w:sz="8" w:space="0" w:color="auto"/>
              <w:left w:val="nil"/>
              <w:bottom w:val="single" w:sz="4" w:space="0" w:color="auto"/>
              <w:right w:val="single" w:sz="8" w:space="0" w:color="000000"/>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2018</w:t>
            </w:r>
          </w:p>
        </w:tc>
      </w:tr>
      <w:tr w:rsidR="0099399A" w:rsidRPr="00422D1D" w:rsidTr="0099399A">
        <w:trPr>
          <w:trHeight w:val="1110"/>
          <w:jc w:val="center"/>
        </w:trPr>
        <w:tc>
          <w:tcPr>
            <w:tcW w:w="1985" w:type="dxa"/>
            <w:vMerge/>
            <w:tcBorders>
              <w:top w:val="single" w:sz="8" w:space="0" w:color="auto"/>
              <w:left w:val="single" w:sz="8" w:space="0" w:color="auto"/>
              <w:bottom w:val="single" w:sz="4" w:space="0" w:color="auto"/>
              <w:right w:val="single" w:sz="4" w:space="0" w:color="auto"/>
            </w:tcBorders>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p>
        </w:tc>
        <w:tc>
          <w:tcPr>
            <w:tcW w:w="2244" w:type="dxa"/>
            <w:tcBorders>
              <w:top w:val="nil"/>
              <w:left w:val="nil"/>
              <w:bottom w:val="single" w:sz="4" w:space="0" w:color="auto"/>
              <w:right w:val="single" w:sz="4"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The amount of energy given to the system as surplus (MWh)</w:t>
            </w:r>
          </w:p>
        </w:tc>
        <w:tc>
          <w:tcPr>
            <w:tcW w:w="800" w:type="dxa"/>
            <w:tcBorders>
              <w:top w:val="nil"/>
              <w:left w:val="nil"/>
              <w:bottom w:val="single" w:sz="4" w:space="0" w:color="auto"/>
              <w:right w:val="single" w:sz="4"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Share</w:t>
            </w:r>
            <w:r w:rsidRPr="00422D1D">
              <w:rPr>
                <w:rFonts w:ascii="Times New Roman" w:eastAsia="Times New Roman" w:hAnsi="Times New Roman" w:cs="Times New Roman"/>
                <w:b/>
                <w:bCs/>
                <w:color w:val="000000"/>
                <w:sz w:val="24"/>
                <w:szCs w:val="24"/>
                <w:lang w:eastAsia="tr-TR"/>
              </w:rPr>
              <w:br/>
              <w:t xml:space="preserve"> (%)</w:t>
            </w:r>
          </w:p>
        </w:tc>
        <w:tc>
          <w:tcPr>
            <w:tcW w:w="2127" w:type="dxa"/>
            <w:tcBorders>
              <w:top w:val="nil"/>
              <w:left w:val="nil"/>
              <w:bottom w:val="single" w:sz="4" w:space="0" w:color="auto"/>
              <w:right w:val="single" w:sz="4"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The amount of energy given to the system as surplus (MWh)</w:t>
            </w:r>
          </w:p>
        </w:tc>
        <w:tc>
          <w:tcPr>
            <w:tcW w:w="956" w:type="dxa"/>
            <w:tcBorders>
              <w:top w:val="nil"/>
              <w:left w:val="nil"/>
              <w:bottom w:val="single" w:sz="4" w:space="0" w:color="auto"/>
              <w:right w:val="single" w:sz="8" w:space="0" w:color="auto"/>
            </w:tcBorders>
            <w:shd w:val="clear" w:color="auto" w:fill="auto"/>
            <w:vAlign w:val="center"/>
            <w:hideMark/>
          </w:tcPr>
          <w:p w:rsidR="0099399A" w:rsidRPr="00422D1D" w:rsidRDefault="0099399A" w:rsidP="00693070">
            <w:pPr>
              <w:spacing w:line="240" w:lineRule="auto"/>
              <w:jc w:val="center"/>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Share</w:t>
            </w:r>
            <w:r w:rsidRPr="00422D1D">
              <w:rPr>
                <w:rFonts w:ascii="Times New Roman" w:eastAsia="Times New Roman" w:hAnsi="Times New Roman" w:cs="Times New Roman"/>
                <w:b/>
                <w:bCs/>
                <w:color w:val="000000"/>
                <w:sz w:val="24"/>
                <w:szCs w:val="24"/>
                <w:lang w:eastAsia="tr-TR"/>
              </w:rPr>
              <w:br/>
              <w:t xml:space="preserve"> (%)</w:t>
            </w:r>
          </w:p>
        </w:tc>
      </w:tr>
      <w:tr w:rsidR="0099399A" w:rsidRPr="00422D1D" w:rsidTr="0099399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Solar</w:t>
            </w:r>
          </w:p>
        </w:tc>
        <w:tc>
          <w:tcPr>
            <w:tcW w:w="2244"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2.836.173,49</w:t>
            </w:r>
          </w:p>
        </w:tc>
        <w:tc>
          <w:tcPr>
            <w:tcW w:w="800"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93,56</w:t>
            </w:r>
          </w:p>
        </w:tc>
        <w:tc>
          <w:tcPr>
            <w:tcW w:w="212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7.859.766,42</w:t>
            </w:r>
          </w:p>
        </w:tc>
        <w:tc>
          <w:tcPr>
            <w:tcW w:w="956"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95,71</w:t>
            </w:r>
          </w:p>
        </w:tc>
      </w:tr>
      <w:tr w:rsidR="0099399A" w:rsidRPr="00422D1D" w:rsidTr="0099399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Biomass</w:t>
            </w:r>
          </w:p>
        </w:tc>
        <w:tc>
          <w:tcPr>
            <w:tcW w:w="2244"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138.657,08</w:t>
            </w:r>
          </w:p>
        </w:tc>
        <w:tc>
          <w:tcPr>
            <w:tcW w:w="800"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4,57</w:t>
            </w:r>
          </w:p>
        </w:tc>
        <w:tc>
          <w:tcPr>
            <w:tcW w:w="212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205.901,95</w:t>
            </w:r>
          </w:p>
        </w:tc>
        <w:tc>
          <w:tcPr>
            <w:tcW w:w="956"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2,51</w:t>
            </w:r>
          </w:p>
        </w:tc>
      </w:tr>
      <w:tr w:rsidR="0099399A" w:rsidRPr="00422D1D" w:rsidTr="0099399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Wind</w:t>
            </w:r>
          </w:p>
        </w:tc>
        <w:tc>
          <w:tcPr>
            <w:tcW w:w="2244"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36.954,64</w:t>
            </w:r>
          </w:p>
        </w:tc>
        <w:tc>
          <w:tcPr>
            <w:tcW w:w="800"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1,22</w:t>
            </w:r>
          </w:p>
        </w:tc>
        <w:tc>
          <w:tcPr>
            <w:tcW w:w="212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111.990,43</w:t>
            </w:r>
          </w:p>
        </w:tc>
        <w:tc>
          <w:tcPr>
            <w:tcW w:w="956"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1,36</w:t>
            </w:r>
          </w:p>
        </w:tc>
      </w:tr>
      <w:tr w:rsidR="0099399A" w:rsidRPr="00422D1D" w:rsidTr="0099399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Hydraulic</w:t>
            </w:r>
          </w:p>
        </w:tc>
        <w:tc>
          <w:tcPr>
            <w:tcW w:w="2244"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19.546,21</w:t>
            </w:r>
          </w:p>
        </w:tc>
        <w:tc>
          <w:tcPr>
            <w:tcW w:w="800"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0,64</w:t>
            </w:r>
          </w:p>
        </w:tc>
        <w:tc>
          <w:tcPr>
            <w:tcW w:w="212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34.750,58</w:t>
            </w:r>
          </w:p>
        </w:tc>
        <w:tc>
          <w:tcPr>
            <w:tcW w:w="956"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0,42</w:t>
            </w:r>
          </w:p>
        </w:tc>
      </w:tr>
      <w:tr w:rsidR="0099399A" w:rsidRPr="00422D1D" w:rsidTr="0099399A">
        <w:trPr>
          <w:trHeight w:val="300"/>
          <w:jc w:val="center"/>
        </w:trPr>
        <w:tc>
          <w:tcPr>
            <w:tcW w:w="1985" w:type="dxa"/>
            <w:tcBorders>
              <w:top w:val="nil"/>
              <w:left w:val="single" w:sz="8" w:space="0" w:color="auto"/>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Total</w:t>
            </w:r>
          </w:p>
        </w:tc>
        <w:tc>
          <w:tcPr>
            <w:tcW w:w="2244"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3.031.331,42</w:t>
            </w:r>
          </w:p>
        </w:tc>
        <w:tc>
          <w:tcPr>
            <w:tcW w:w="800"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100,00</w:t>
            </w:r>
          </w:p>
        </w:tc>
        <w:tc>
          <w:tcPr>
            <w:tcW w:w="2127" w:type="dxa"/>
            <w:tcBorders>
              <w:top w:val="nil"/>
              <w:left w:val="nil"/>
              <w:bottom w:val="single" w:sz="4" w:space="0" w:color="auto"/>
              <w:right w:val="single" w:sz="4"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8.212.409,37</w:t>
            </w:r>
          </w:p>
        </w:tc>
        <w:tc>
          <w:tcPr>
            <w:tcW w:w="956" w:type="dxa"/>
            <w:tcBorders>
              <w:top w:val="nil"/>
              <w:left w:val="nil"/>
              <w:bottom w:val="single" w:sz="4"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4"/>
                <w:szCs w:val="24"/>
                <w:lang w:eastAsia="tr-TR"/>
              </w:rPr>
            </w:pPr>
            <w:r w:rsidRPr="00422D1D">
              <w:rPr>
                <w:rFonts w:ascii="Times New Roman" w:eastAsia="Times New Roman" w:hAnsi="Times New Roman" w:cs="Times New Roman"/>
                <w:b/>
                <w:bCs/>
                <w:color w:val="000000"/>
                <w:sz w:val="24"/>
                <w:szCs w:val="24"/>
                <w:lang w:eastAsia="tr-TR"/>
              </w:rPr>
              <w:t>100,00</w:t>
            </w:r>
          </w:p>
        </w:tc>
      </w:tr>
    </w:tbl>
    <w:p w:rsidR="0099399A" w:rsidRPr="00422D1D" w:rsidRDefault="0099399A" w:rsidP="0099399A">
      <w:pPr>
        <w:spacing w:line="240" w:lineRule="auto"/>
        <w:jc w:val="both"/>
        <w:rPr>
          <w:rFonts w:ascii="Times New Roman" w:hAnsi="Times New Roman" w:cs="Times New Roman"/>
          <w:bCs/>
          <w:sz w:val="24"/>
          <w:szCs w:val="24"/>
        </w:rPr>
      </w:pPr>
    </w:p>
    <w:p w:rsidR="0099399A" w:rsidRPr="00422D1D" w:rsidRDefault="0099399A" w:rsidP="0099399A">
      <w:pPr>
        <w:pStyle w:val="ListeParagraf"/>
        <w:numPr>
          <w:ilvl w:val="0"/>
          <w:numId w:val="9"/>
        </w:numPr>
        <w:spacing w:line="240" w:lineRule="auto"/>
        <w:ind w:left="0"/>
        <w:jc w:val="both"/>
        <w:rPr>
          <w:rFonts w:ascii="Times New Roman" w:hAnsi="Times New Roman" w:cs="Times New Roman"/>
          <w:bCs/>
          <w:sz w:val="24"/>
          <w:szCs w:val="24"/>
        </w:rPr>
      </w:pPr>
      <w:r w:rsidRPr="00422D1D">
        <w:rPr>
          <w:rFonts w:ascii="Times New Roman" w:hAnsi="Times New Roman" w:cs="Times New Roman"/>
          <w:b/>
          <w:bCs/>
          <w:sz w:val="24"/>
          <w:szCs w:val="24"/>
        </w:rPr>
        <w:t>Invoiced Consumption</w:t>
      </w:r>
    </w:p>
    <w:p w:rsidR="0099399A" w:rsidRPr="00422D1D" w:rsidRDefault="0099399A" w:rsidP="0099399A">
      <w:pPr>
        <w:spacing w:line="240" w:lineRule="auto"/>
        <w:jc w:val="both"/>
        <w:rPr>
          <w:rFonts w:ascii="Times New Roman" w:hAnsi="Times New Roman" w:cs="Times New Roman"/>
          <w:bCs/>
          <w:sz w:val="24"/>
          <w:szCs w:val="24"/>
        </w:rPr>
      </w:pPr>
    </w:p>
    <w:tbl>
      <w:tblPr>
        <w:tblW w:w="10221" w:type="dxa"/>
        <w:tblInd w:w="55" w:type="dxa"/>
        <w:tblCellMar>
          <w:left w:w="70" w:type="dxa"/>
          <w:right w:w="70" w:type="dxa"/>
        </w:tblCellMar>
        <w:tblLook w:val="04A0" w:firstRow="1" w:lastRow="0" w:firstColumn="1" w:lastColumn="0" w:noHBand="0" w:noVBand="1"/>
      </w:tblPr>
      <w:tblGrid>
        <w:gridCol w:w="1600"/>
        <w:gridCol w:w="1455"/>
        <w:gridCol w:w="1414"/>
        <w:gridCol w:w="1358"/>
        <w:gridCol w:w="1418"/>
        <w:gridCol w:w="1417"/>
        <w:gridCol w:w="1559"/>
      </w:tblGrid>
      <w:tr w:rsidR="0099399A" w:rsidRPr="00422D1D" w:rsidTr="0099399A">
        <w:trPr>
          <w:trHeight w:val="940"/>
        </w:trPr>
        <w:tc>
          <w:tcPr>
            <w:tcW w:w="16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Consumer Type</w:t>
            </w:r>
          </w:p>
        </w:tc>
        <w:tc>
          <w:tcPr>
            <w:tcW w:w="2869" w:type="dxa"/>
            <w:gridSpan w:val="2"/>
            <w:tcBorders>
              <w:top w:val="single" w:sz="8" w:space="0" w:color="auto"/>
              <w:left w:val="nil"/>
              <w:bottom w:val="single" w:sz="8" w:space="0" w:color="auto"/>
              <w:right w:val="single" w:sz="8" w:space="0" w:color="000000"/>
            </w:tcBorders>
            <w:shd w:val="clear" w:color="auto" w:fill="auto"/>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Consumption Amount of Consumers Connected to the Distribution Voltage Level (MWh)</w:t>
            </w:r>
          </w:p>
        </w:tc>
        <w:tc>
          <w:tcPr>
            <w:tcW w:w="2776" w:type="dxa"/>
            <w:gridSpan w:val="2"/>
            <w:tcBorders>
              <w:top w:val="single" w:sz="8" w:space="0" w:color="auto"/>
              <w:left w:val="nil"/>
              <w:bottom w:val="single" w:sz="8" w:space="0" w:color="auto"/>
              <w:right w:val="single" w:sz="8" w:space="0" w:color="000000"/>
            </w:tcBorders>
            <w:shd w:val="clear" w:color="auto" w:fill="auto"/>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Consumption Amount of Consumers Connected to Transmission Voltage Level (MWh)</w:t>
            </w:r>
          </w:p>
        </w:tc>
        <w:tc>
          <w:tcPr>
            <w:tcW w:w="2976" w:type="dxa"/>
            <w:gridSpan w:val="2"/>
            <w:tcBorders>
              <w:top w:val="single" w:sz="8" w:space="0" w:color="auto"/>
              <w:left w:val="nil"/>
              <w:bottom w:val="single" w:sz="8" w:space="0" w:color="auto"/>
              <w:right w:val="single" w:sz="8" w:space="0" w:color="000000"/>
            </w:tcBorders>
            <w:shd w:val="clear" w:color="auto" w:fill="auto"/>
            <w:noWrap/>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Total (MWh)</w:t>
            </w:r>
          </w:p>
        </w:tc>
      </w:tr>
      <w:tr w:rsidR="0099399A" w:rsidRPr="00422D1D" w:rsidTr="0099399A">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 </w:t>
            </w:r>
          </w:p>
        </w:tc>
        <w:tc>
          <w:tcPr>
            <w:tcW w:w="145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2017</w:t>
            </w:r>
          </w:p>
        </w:tc>
        <w:tc>
          <w:tcPr>
            <w:tcW w:w="141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2018</w:t>
            </w:r>
          </w:p>
        </w:tc>
        <w:tc>
          <w:tcPr>
            <w:tcW w:w="135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2017</w:t>
            </w:r>
          </w:p>
        </w:tc>
        <w:tc>
          <w:tcPr>
            <w:tcW w:w="1418"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2018</w:t>
            </w:r>
          </w:p>
        </w:tc>
        <w:tc>
          <w:tcPr>
            <w:tcW w:w="1417"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2017</w:t>
            </w:r>
          </w:p>
        </w:tc>
        <w:tc>
          <w:tcPr>
            <w:tcW w:w="1559"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E053FD">
            <w:pPr>
              <w:spacing w:line="240" w:lineRule="auto"/>
              <w:jc w:val="center"/>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2018</w:t>
            </w:r>
          </w:p>
        </w:tc>
      </w:tr>
      <w:tr w:rsidR="0099399A" w:rsidRPr="00422D1D" w:rsidTr="0099399A">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Non-eligible Consumer</w:t>
            </w:r>
          </w:p>
        </w:tc>
        <w:tc>
          <w:tcPr>
            <w:tcW w:w="145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80.768.336,36</w:t>
            </w:r>
          </w:p>
        </w:tc>
        <w:tc>
          <w:tcPr>
            <w:tcW w:w="141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147.685.452,79</w:t>
            </w:r>
          </w:p>
        </w:tc>
        <w:tc>
          <w:tcPr>
            <w:tcW w:w="135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19.685.372,29</w:t>
            </w:r>
          </w:p>
        </w:tc>
        <w:tc>
          <w:tcPr>
            <w:tcW w:w="141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16.747.847,16</w:t>
            </w:r>
          </w:p>
        </w:tc>
        <w:tc>
          <w:tcPr>
            <w:tcW w:w="1417" w:type="dxa"/>
            <w:tcBorders>
              <w:top w:val="nil"/>
              <w:left w:val="nil"/>
              <w:bottom w:val="single" w:sz="8" w:space="0" w:color="auto"/>
              <w:right w:val="nil"/>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100.453.708,65</w:t>
            </w:r>
          </w:p>
        </w:tc>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164.433.299,95</w:t>
            </w:r>
          </w:p>
        </w:tc>
      </w:tr>
      <w:tr w:rsidR="0099399A" w:rsidRPr="00422D1D" w:rsidTr="0099399A">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Eligible Consumer</w:t>
            </w:r>
          </w:p>
        </w:tc>
        <w:tc>
          <w:tcPr>
            <w:tcW w:w="145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90.762.663,09</w:t>
            </w:r>
          </w:p>
        </w:tc>
        <w:tc>
          <w:tcPr>
            <w:tcW w:w="141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30.225.373,40</w:t>
            </w:r>
          </w:p>
        </w:tc>
        <w:tc>
          <w:tcPr>
            <w:tcW w:w="135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34.497.156,39</w:t>
            </w:r>
          </w:p>
        </w:tc>
        <w:tc>
          <w:tcPr>
            <w:tcW w:w="141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38.951.356,19</w:t>
            </w:r>
          </w:p>
        </w:tc>
        <w:tc>
          <w:tcPr>
            <w:tcW w:w="1417" w:type="dxa"/>
            <w:tcBorders>
              <w:top w:val="nil"/>
              <w:left w:val="nil"/>
              <w:bottom w:val="single" w:sz="8" w:space="0" w:color="auto"/>
              <w:right w:val="nil"/>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125.259.819,48</w:t>
            </w:r>
          </w:p>
        </w:tc>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0"/>
                <w:szCs w:val="20"/>
                <w:lang w:eastAsia="tr-TR"/>
              </w:rPr>
            </w:pPr>
            <w:r w:rsidRPr="00422D1D">
              <w:rPr>
                <w:rFonts w:ascii="Times New Roman" w:eastAsia="Times New Roman" w:hAnsi="Times New Roman" w:cs="Times New Roman"/>
                <w:color w:val="000000"/>
                <w:sz w:val="20"/>
                <w:szCs w:val="20"/>
                <w:lang w:eastAsia="tr-TR"/>
              </w:rPr>
              <w:t>69.176.729,59</w:t>
            </w:r>
          </w:p>
        </w:tc>
      </w:tr>
      <w:tr w:rsidR="0099399A" w:rsidRPr="00422D1D" w:rsidTr="0099399A">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Grand Total</w:t>
            </w:r>
          </w:p>
        </w:tc>
        <w:tc>
          <w:tcPr>
            <w:tcW w:w="145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171.530.999,45</w:t>
            </w:r>
          </w:p>
        </w:tc>
        <w:tc>
          <w:tcPr>
            <w:tcW w:w="141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177.910.826,19</w:t>
            </w:r>
          </w:p>
        </w:tc>
        <w:tc>
          <w:tcPr>
            <w:tcW w:w="135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54.182.528,68</w:t>
            </w:r>
          </w:p>
        </w:tc>
        <w:tc>
          <w:tcPr>
            <w:tcW w:w="141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55.699.203,35</w:t>
            </w:r>
          </w:p>
        </w:tc>
        <w:tc>
          <w:tcPr>
            <w:tcW w:w="1417" w:type="dxa"/>
            <w:tcBorders>
              <w:top w:val="nil"/>
              <w:left w:val="nil"/>
              <w:bottom w:val="single" w:sz="8" w:space="0" w:color="auto"/>
              <w:right w:val="nil"/>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225.713.528,13</w:t>
            </w:r>
          </w:p>
        </w:tc>
        <w:tc>
          <w:tcPr>
            <w:tcW w:w="1559" w:type="dxa"/>
            <w:tcBorders>
              <w:top w:val="nil"/>
              <w:left w:val="single" w:sz="8" w:space="0" w:color="auto"/>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sz w:val="20"/>
                <w:szCs w:val="20"/>
                <w:lang w:eastAsia="tr-TR"/>
              </w:rPr>
            </w:pPr>
            <w:r w:rsidRPr="00422D1D">
              <w:rPr>
                <w:rFonts w:ascii="Times New Roman" w:eastAsia="Times New Roman" w:hAnsi="Times New Roman" w:cs="Times New Roman"/>
                <w:b/>
                <w:bCs/>
                <w:color w:val="000000"/>
                <w:sz w:val="20"/>
                <w:szCs w:val="20"/>
                <w:lang w:eastAsia="tr-TR"/>
              </w:rPr>
              <w:t>233.610.029,54</w:t>
            </w:r>
          </w:p>
        </w:tc>
      </w:tr>
    </w:tbl>
    <w:p w:rsidR="0099399A" w:rsidRPr="00422D1D" w:rsidRDefault="0099399A" w:rsidP="0099399A">
      <w:pPr>
        <w:spacing w:line="240" w:lineRule="auto"/>
        <w:jc w:val="both"/>
        <w:rPr>
          <w:rFonts w:ascii="Times New Roman" w:hAnsi="Times New Roman" w:cs="Times New Roman"/>
          <w:bCs/>
          <w:sz w:val="24"/>
          <w:szCs w:val="24"/>
        </w:rPr>
      </w:pP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 xml:space="preserve">In 2018, invoiced electricity consumption reached to 233,61 TWh increasing by 3,49 % </w:t>
      </w:r>
      <w:r w:rsidR="00E053FD">
        <w:rPr>
          <w:rFonts w:ascii="Times New Roman" w:hAnsi="Times New Roman" w:cs="Times New Roman"/>
          <w:bCs/>
          <w:sz w:val="24"/>
          <w:szCs w:val="24"/>
        </w:rPr>
        <w:t>compared to previous year. 55,7</w:t>
      </w:r>
      <w:r w:rsidRPr="00422D1D">
        <w:rPr>
          <w:rFonts w:ascii="Times New Roman" w:hAnsi="Times New Roman" w:cs="Times New Roman"/>
          <w:bCs/>
          <w:sz w:val="24"/>
          <w:szCs w:val="24"/>
        </w:rPr>
        <w:t xml:space="preserve"> TWh of this amount was sold to consumers connected to the transmission voltage level and the remaining 177,91 TWh was sold to consumers connected to the distribution voltage level.</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 xml:space="preserve">In addition, </w:t>
      </w:r>
      <w:r w:rsidR="00693070">
        <w:rPr>
          <w:rFonts w:ascii="Times New Roman" w:hAnsi="Times New Roman" w:cs="Times New Roman"/>
          <w:bCs/>
          <w:sz w:val="24"/>
          <w:szCs w:val="24"/>
        </w:rPr>
        <w:t xml:space="preserve">69,18 TWh of </w:t>
      </w:r>
      <w:r w:rsidRPr="00422D1D">
        <w:rPr>
          <w:rFonts w:ascii="Times New Roman" w:hAnsi="Times New Roman" w:cs="Times New Roman"/>
          <w:bCs/>
          <w:sz w:val="24"/>
          <w:szCs w:val="24"/>
        </w:rPr>
        <w:t>233,61 TWh was consumed by eligible consumers, while the rest 164,43 TWh was consumed by non-eligible consumers.</w:t>
      </w:r>
    </w:p>
    <w:p w:rsidR="0099399A" w:rsidRPr="00422D1D" w:rsidRDefault="0099399A" w:rsidP="0099399A">
      <w:pPr>
        <w:pStyle w:val="ListeParagraf"/>
        <w:ind w:left="0"/>
        <w:jc w:val="both"/>
        <w:rPr>
          <w:rFonts w:ascii="Times New Roman" w:hAnsi="Times New Roman" w:cs="Times New Roman"/>
          <w:bCs/>
          <w:sz w:val="24"/>
          <w:szCs w:val="24"/>
        </w:rPr>
      </w:pPr>
    </w:p>
    <w:p w:rsidR="0099399A" w:rsidRPr="00422D1D" w:rsidRDefault="0099399A" w:rsidP="0099399A">
      <w:pPr>
        <w:pStyle w:val="ListeParagraf"/>
        <w:ind w:left="0"/>
        <w:jc w:val="both"/>
        <w:rPr>
          <w:rFonts w:ascii="Times New Roman" w:hAnsi="Times New Roman" w:cs="Times New Roman"/>
          <w:b/>
          <w:bCs/>
          <w:color w:val="FF0000"/>
          <w:sz w:val="24"/>
          <w:szCs w:val="24"/>
          <w:highlight w:val="yellow"/>
        </w:rPr>
      </w:pPr>
    </w:p>
    <w:p w:rsidR="0099399A" w:rsidRPr="00422D1D" w:rsidRDefault="0099399A" w:rsidP="0099399A">
      <w:pPr>
        <w:pStyle w:val="ListeParagraf"/>
        <w:numPr>
          <w:ilvl w:val="0"/>
          <w:numId w:val="7"/>
        </w:numPr>
        <w:spacing w:line="240" w:lineRule="auto"/>
        <w:ind w:left="0"/>
        <w:jc w:val="both"/>
        <w:rPr>
          <w:rFonts w:ascii="Times New Roman" w:hAnsi="Times New Roman" w:cs="Times New Roman"/>
          <w:b/>
          <w:bCs/>
          <w:sz w:val="24"/>
          <w:szCs w:val="24"/>
        </w:rPr>
      </w:pPr>
      <w:r w:rsidRPr="00422D1D">
        <w:rPr>
          <w:rFonts w:ascii="Times New Roman" w:hAnsi="Times New Roman" w:cs="Times New Roman"/>
          <w:b/>
          <w:bCs/>
          <w:sz w:val="24"/>
          <w:szCs w:val="24"/>
        </w:rPr>
        <w:t>Imports and Exports</w:t>
      </w:r>
    </w:p>
    <w:p w:rsidR="0099399A" w:rsidRPr="00422D1D" w:rsidRDefault="0099399A" w:rsidP="0099399A">
      <w:pPr>
        <w:pStyle w:val="ListeParagraf"/>
        <w:ind w:left="0"/>
        <w:jc w:val="both"/>
        <w:rPr>
          <w:rFonts w:ascii="Times New Roman" w:hAnsi="Times New Roman" w:cs="Times New Roman"/>
          <w:b/>
          <w:bCs/>
          <w:sz w:val="24"/>
          <w:szCs w:val="24"/>
        </w:rPr>
      </w:pPr>
    </w:p>
    <w:p w:rsidR="00693070" w:rsidRDefault="0099399A" w:rsidP="00693070">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In 2018, electricity imports decreased by 9,64% to 2,47 TWh compared to previous year.</w:t>
      </w:r>
    </w:p>
    <w:p w:rsidR="00693070" w:rsidRDefault="00693070" w:rsidP="00693070">
      <w:pPr>
        <w:pStyle w:val="ListeParagraf"/>
        <w:spacing w:line="240" w:lineRule="auto"/>
        <w:ind w:left="0"/>
        <w:jc w:val="both"/>
        <w:rPr>
          <w:rFonts w:ascii="Times New Roman" w:hAnsi="Times New Roman" w:cs="Times New Roman"/>
          <w:bCs/>
          <w:sz w:val="24"/>
          <w:szCs w:val="24"/>
        </w:rPr>
      </w:pPr>
    </w:p>
    <w:p w:rsidR="0099399A" w:rsidRPr="00693070" w:rsidRDefault="0099399A" w:rsidP="00693070">
      <w:pPr>
        <w:pStyle w:val="ListeParagraf"/>
        <w:numPr>
          <w:ilvl w:val="1"/>
          <w:numId w:val="7"/>
        </w:numPr>
        <w:spacing w:line="240" w:lineRule="auto"/>
        <w:ind w:left="0"/>
        <w:jc w:val="both"/>
        <w:rPr>
          <w:rFonts w:ascii="Times New Roman" w:hAnsi="Times New Roman" w:cs="Times New Roman"/>
          <w:bCs/>
          <w:sz w:val="24"/>
          <w:szCs w:val="24"/>
        </w:rPr>
      </w:pPr>
      <w:r w:rsidRPr="00693070">
        <w:rPr>
          <w:rFonts w:ascii="Times New Roman" w:hAnsi="Times New Roman" w:cs="Times New Roman"/>
          <w:bCs/>
          <w:sz w:val="24"/>
          <w:szCs w:val="24"/>
        </w:rPr>
        <w:t xml:space="preserve">Electricity exports </w:t>
      </w:r>
      <w:r w:rsidR="00E053FD" w:rsidRPr="00693070">
        <w:rPr>
          <w:rFonts w:ascii="Times New Roman" w:hAnsi="Times New Roman" w:cs="Times New Roman"/>
          <w:bCs/>
          <w:sz w:val="24"/>
          <w:szCs w:val="24"/>
        </w:rPr>
        <w:t>de</w:t>
      </w:r>
      <w:r w:rsidRPr="00693070">
        <w:rPr>
          <w:rFonts w:ascii="Times New Roman" w:hAnsi="Times New Roman" w:cs="Times New Roman"/>
          <w:bCs/>
          <w:sz w:val="24"/>
          <w:szCs w:val="24"/>
        </w:rPr>
        <w:t>creased by 6,86% to 3,07 TWh</w:t>
      </w:r>
      <w:r w:rsidR="00693070" w:rsidRPr="00693070">
        <w:rPr>
          <w:rFonts w:ascii="Times New Roman" w:hAnsi="Times New Roman" w:cs="Times New Roman"/>
          <w:bCs/>
          <w:sz w:val="24"/>
          <w:szCs w:val="24"/>
        </w:rPr>
        <w:t xml:space="preserve"> compared to previous year</w:t>
      </w:r>
      <w:r w:rsidRPr="00693070">
        <w:rPr>
          <w:rFonts w:ascii="Times New Roman" w:hAnsi="Times New Roman" w:cs="Times New Roman"/>
          <w:bCs/>
          <w:sz w:val="24"/>
          <w:szCs w:val="24"/>
        </w:rPr>
        <w:t>.</w:t>
      </w:r>
    </w:p>
    <w:p w:rsidR="0099399A" w:rsidRPr="00422D1D" w:rsidRDefault="0099399A" w:rsidP="0099399A">
      <w:pPr>
        <w:spacing w:line="240" w:lineRule="auto"/>
        <w:jc w:val="both"/>
        <w:rPr>
          <w:rFonts w:ascii="Times New Roman" w:hAnsi="Times New Roman" w:cs="Times New Roman"/>
          <w:bCs/>
          <w:sz w:val="24"/>
          <w:szCs w:val="24"/>
        </w:rPr>
      </w:pPr>
    </w:p>
    <w:p w:rsidR="0099399A" w:rsidRPr="00422D1D" w:rsidRDefault="0099399A" w:rsidP="0099399A">
      <w:pPr>
        <w:pStyle w:val="ListeParagraf"/>
        <w:numPr>
          <w:ilvl w:val="0"/>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
          <w:bCs/>
          <w:sz w:val="24"/>
          <w:szCs w:val="24"/>
        </w:rPr>
        <w:t>Day-Ahead Market and Balancing Market</w:t>
      </w:r>
    </w:p>
    <w:p w:rsidR="0099399A" w:rsidRPr="00422D1D" w:rsidRDefault="0099399A" w:rsidP="0099399A">
      <w:pPr>
        <w:pStyle w:val="ListeParagraf"/>
        <w:tabs>
          <w:tab w:val="left" w:pos="2310"/>
        </w:tabs>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ab/>
      </w: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In 2018, the Weighted Average Market Clearing Price (MCP) increased by 38,65% to 233,101 TL/MWh compared to previous year.</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eastAsiaTheme="minorEastAsia" w:hAnsi="Times New Roman" w:cs="Times New Roman"/>
          <w:sz w:val="24"/>
          <w:szCs w:val="24"/>
        </w:rPr>
        <w:t>The highest MCP value was 375,79 TL/MWh (16:00 on 4 September 2018), while the lowest MCP value was 0 TL/MWh with the date of 17 March 2018.</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693070" w:rsidRDefault="0099399A" w:rsidP="00693070">
      <w:pPr>
        <w:pStyle w:val="ListeParagraf"/>
        <w:numPr>
          <w:ilvl w:val="1"/>
          <w:numId w:val="7"/>
        </w:numPr>
        <w:spacing w:line="240" w:lineRule="auto"/>
        <w:ind w:left="0"/>
        <w:jc w:val="both"/>
        <w:rPr>
          <w:rFonts w:ascii="Times New Roman" w:eastAsiaTheme="minorEastAsia" w:hAnsi="Times New Roman" w:cs="Times New Roman"/>
          <w:sz w:val="24"/>
          <w:szCs w:val="24"/>
        </w:rPr>
      </w:pPr>
      <w:r w:rsidRPr="00422D1D">
        <w:rPr>
          <w:rFonts w:ascii="Times New Roman" w:hAnsi="Times New Roman" w:cs="Times New Roman"/>
          <w:bCs/>
          <w:sz w:val="24"/>
          <w:szCs w:val="24"/>
        </w:rPr>
        <w:t>In 2018, the Average System Marginal Price (SMP) increased by 42,27% to 234,436 TL/MWh compared to 2017.</w:t>
      </w:r>
    </w:p>
    <w:p w:rsidR="00693070" w:rsidRPr="00693070" w:rsidRDefault="00693070" w:rsidP="00693070">
      <w:pPr>
        <w:pStyle w:val="ListeParagraf"/>
        <w:rPr>
          <w:rFonts w:ascii="Times New Roman" w:eastAsiaTheme="minorEastAsia" w:hAnsi="Times New Roman" w:cs="Times New Roman"/>
          <w:sz w:val="24"/>
          <w:szCs w:val="24"/>
        </w:rPr>
      </w:pPr>
    </w:p>
    <w:p w:rsidR="00693070" w:rsidRDefault="0099399A" w:rsidP="00693070">
      <w:pPr>
        <w:pStyle w:val="ListeParagraf"/>
        <w:numPr>
          <w:ilvl w:val="1"/>
          <w:numId w:val="7"/>
        </w:numPr>
        <w:spacing w:line="240" w:lineRule="auto"/>
        <w:ind w:left="0"/>
        <w:jc w:val="both"/>
        <w:rPr>
          <w:rFonts w:ascii="Times New Roman" w:eastAsiaTheme="minorEastAsia" w:hAnsi="Times New Roman" w:cs="Times New Roman"/>
          <w:sz w:val="24"/>
          <w:szCs w:val="24"/>
        </w:rPr>
      </w:pPr>
      <w:r w:rsidRPr="00693070">
        <w:rPr>
          <w:rFonts w:ascii="Times New Roman" w:eastAsiaTheme="minorEastAsia" w:hAnsi="Times New Roman" w:cs="Times New Roman"/>
          <w:sz w:val="24"/>
          <w:szCs w:val="24"/>
        </w:rPr>
        <w:t>The highest SMP was 402,2 TL/MWh (17:00 on 3 September 2018) while the lowest SMP value 0 TL/MWh for seven hours.</w:t>
      </w:r>
    </w:p>
    <w:p w:rsidR="00693070" w:rsidRPr="00693070" w:rsidRDefault="00693070" w:rsidP="00693070">
      <w:pPr>
        <w:pStyle w:val="ListeParagraf"/>
        <w:rPr>
          <w:rFonts w:ascii="Times New Roman" w:hAnsi="Times New Roman" w:cs="Times New Roman"/>
          <w:bCs/>
          <w:sz w:val="24"/>
          <w:szCs w:val="24"/>
        </w:rPr>
      </w:pPr>
    </w:p>
    <w:p w:rsidR="0099399A" w:rsidRPr="00693070" w:rsidRDefault="0099399A" w:rsidP="00693070">
      <w:pPr>
        <w:pStyle w:val="ListeParagraf"/>
        <w:numPr>
          <w:ilvl w:val="1"/>
          <w:numId w:val="7"/>
        </w:numPr>
        <w:spacing w:line="240" w:lineRule="auto"/>
        <w:ind w:left="0"/>
        <w:jc w:val="both"/>
        <w:rPr>
          <w:rFonts w:ascii="Times New Roman" w:eastAsiaTheme="minorEastAsia" w:hAnsi="Times New Roman" w:cs="Times New Roman"/>
          <w:sz w:val="24"/>
          <w:szCs w:val="24"/>
        </w:rPr>
      </w:pPr>
      <w:r w:rsidRPr="00693070">
        <w:rPr>
          <w:rFonts w:ascii="Times New Roman" w:hAnsi="Times New Roman" w:cs="Times New Roman"/>
          <w:bCs/>
          <w:sz w:val="24"/>
          <w:szCs w:val="24"/>
        </w:rPr>
        <w:t xml:space="preserve">In 2018, the additional cost incurred by the </w:t>
      </w:r>
      <w:r w:rsidRPr="00693070">
        <w:rPr>
          <w:rFonts w:ascii="Times New Roman" w:eastAsiaTheme="minorEastAsia" w:hAnsi="Times New Roman" w:cs="Times New Roman"/>
          <w:sz w:val="24"/>
          <w:szCs w:val="24"/>
        </w:rPr>
        <w:t>Balancing Power Market</w:t>
      </w:r>
      <w:r w:rsidR="00E053FD" w:rsidRPr="00693070">
        <w:rPr>
          <w:rFonts w:ascii="Times New Roman" w:hAnsi="Times New Roman" w:cs="Times New Roman"/>
          <w:bCs/>
          <w:sz w:val="24"/>
          <w:szCs w:val="24"/>
        </w:rPr>
        <w:t xml:space="preserve"> decreased by 86,</w:t>
      </w:r>
      <w:r w:rsidRPr="00693070">
        <w:rPr>
          <w:rFonts w:ascii="Times New Roman" w:hAnsi="Times New Roman" w:cs="Times New Roman"/>
          <w:bCs/>
          <w:sz w:val="24"/>
          <w:szCs w:val="24"/>
        </w:rPr>
        <w:t>5% compared</w:t>
      </w:r>
      <w:r w:rsidR="00E053FD" w:rsidRPr="00693070">
        <w:rPr>
          <w:rFonts w:ascii="Times New Roman" w:hAnsi="Times New Roman" w:cs="Times New Roman"/>
          <w:bCs/>
          <w:sz w:val="24"/>
          <w:szCs w:val="24"/>
        </w:rPr>
        <w:t xml:space="preserve"> to 2017 and amounted to TL 119,</w:t>
      </w:r>
      <w:r w:rsidRPr="00693070">
        <w:rPr>
          <w:rFonts w:ascii="Times New Roman" w:hAnsi="Times New Roman" w:cs="Times New Roman"/>
          <w:bCs/>
          <w:sz w:val="24"/>
          <w:szCs w:val="24"/>
        </w:rPr>
        <w:t>67 million.</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ind w:left="0"/>
        <w:jc w:val="both"/>
        <w:rPr>
          <w:rFonts w:ascii="Times New Roman" w:hAnsi="Times New Roman" w:cs="Times New Roman"/>
          <w:bCs/>
          <w:sz w:val="24"/>
          <w:szCs w:val="24"/>
        </w:rPr>
      </w:pPr>
    </w:p>
    <w:p w:rsidR="0099399A" w:rsidRPr="00422D1D" w:rsidRDefault="0099399A" w:rsidP="0099399A">
      <w:pPr>
        <w:pStyle w:val="ListeParagraf"/>
        <w:ind w:left="0"/>
        <w:jc w:val="both"/>
        <w:rPr>
          <w:rFonts w:ascii="Times New Roman" w:hAnsi="Times New Roman" w:cs="Times New Roman"/>
          <w:bCs/>
          <w:sz w:val="24"/>
          <w:szCs w:val="24"/>
        </w:rPr>
      </w:pPr>
    </w:p>
    <w:p w:rsidR="0099399A" w:rsidRPr="00422D1D" w:rsidRDefault="00944835" w:rsidP="0099399A">
      <w:pPr>
        <w:pStyle w:val="ListeParagraf"/>
        <w:numPr>
          <w:ilvl w:val="0"/>
          <w:numId w:val="7"/>
        </w:numPr>
        <w:spacing w:line="240" w:lineRule="auto"/>
        <w:ind w:left="0"/>
        <w:jc w:val="both"/>
        <w:rPr>
          <w:rFonts w:ascii="Times New Roman" w:hAnsi="Times New Roman" w:cs="Times New Roman"/>
          <w:b/>
          <w:bCs/>
          <w:sz w:val="24"/>
          <w:szCs w:val="24"/>
        </w:rPr>
      </w:pPr>
      <w:r>
        <w:rPr>
          <w:rFonts w:ascii="Times New Roman" w:hAnsi="Times New Roman" w:cs="Times New Roman"/>
          <w:b/>
          <w:bCs/>
          <w:sz w:val="24"/>
          <w:szCs w:val="24"/>
        </w:rPr>
        <w:t>RESSUM</w:t>
      </w:r>
    </w:p>
    <w:p w:rsidR="0099399A" w:rsidRPr="00422D1D" w:rsidRDefault="0099399A" w:rsidP="0099399A">
      <w:pPr>
        <w:pStyle w:val="ListeParagraf"/>
        <w:spacing w:line="240" w:lineRule="auto"/>
        <w:ind w:left="0"/>
        <w:jc w:val="both"/>
        <w:rPr>
          <w:rFonts w:ascii="Times New Roman" w:hAnsi="Times New Roman" w:cs="Times New Roman"/>
          <w:b/>
          <w:bCs/>
          <w:sz w:val="24"/>
          <w:szCs w:val="24"/>
        </w:rPr>
      </w:pPr>
    </w:p>
    <w:p w:rsidR="00693070" w:rsidRPr="00693070" w:rsidRDefault="0099399A" w:rsidP="00693070">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eastAsiaTheme="minorEastAsia" w:hAnsi="Times New Roman" w:cs="Times New Roman"/>
          <w:sz w:val="24"/>
          <w:szCs w:val="24"/>
        </w:rPr>
        <w:t>In 2018, the number of licensed participants benefiting from the Renewable Energy Resources Support Mechanism reached to 708. The installed capacity of these participants was 19.266 MW.</w:t>
      </w:r>
    </w:p>
    <w:p w:rsidR="00693070" w:rsidRPr="00693070" w:rsidRDefault="00693070" w:rsidP="00693070">
      <w:pPr>
        <w:pStyle w:val="ListeParagraf"/>
        <w:spacing w:line="240" w:lineRule="auto"/>
        <w:ind w:left="0"/>
        <w:jc w:val="both"/>
        <w:rPr>
          <w:rFonts w:ascii="Times New Roman" w:hAnsi="Times New Roman" w:cs="Times New Roman"/>
          <w:bCs/>
          <w:sz w:val="24"/>
          <w:szCs w:val="24"/>
        </w:rPr>
      </w:pPr>
    </w:p>
    <w:p w:rsidR="00F70D24" w:rsidRDefault="00F70D24" w:rsidP="00F70D24">
      <w:pPr>
        <w:pStyle w:val="ListeParagraf"/>
        <w:numPr>
          <w:ilvl w:val="1"/>
          <w:numId w:val="7"/>
        </w:numPr>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In 2018, t</w:t>
      </w:r>
      <w:r w:rsidR="0099399A" w:rsidRPr="00693070">
        <w:rPr>
          <w:rFonts w:ascii="Times New Roman" w:hAnsi="Times New Roman" w:cs="Times New Roman"/>
          <w:bCs/>
          <w:sz w:val="24"/>
          <w:szCs w:val="24"/>
        </w:rPr>
        <w:t xml:space="preserve">he electricity generation of </w:t>
      </w:r>
      <w:r w:rsidR="00944835">
        <w:rPr>
          <w:rFonts w:ascii="Times New Roman" w:hAnsi="Times New Roman" w:cs="Times New Roman"/>
          <w:bCs/>
          <w:sz w:val="24"/>
          <w:szCs w:val="24"/>
        </w:rPr>
        <w:t>RESSUM</w:t>
      </w:r>
      <w:r w:rsidR="00693070" w:rsidRPr="00693070">
        <w:rPr>
          <w:rFonts w:ascii="Times New Roman" w:hAnsi="Times New Roman" w:cs="Times New Roman"/>
          <w:bCs/>
          <w:sz w:val="24"/>
          <w:szCs w:val="24"/>
        </w:rPr>
        <w:t xml:space="preserve"> participants </w:t>
      </w:r>
      <w:r w:rsidR="0099399A" w:rsidRPr="00693070">
        <w:rPr>
          <w:rFonts w:ascii="Times New Roman" w:hAnsi="Times New Roman" w:cs="Times New Roman"/>
          <w:bCs/>
          <w:sz w:val="24"/>
          <w:szCs w:val="24"/>
        </w:rPr>
        <w:t>increasing by 23,09 % to 62,61 TWh compared to 2017. 43,67% of this amount was obtained from hydraulic, 30,35% from wind.</w:t>
      </w:r>
    </w:p>
    <w:p w:rsidR="00F70D24" w:rsidRPr="00F70D24" w:rsidRDefault="00F70D24" w:rsidP="00F70D24">
      <w:pPr>
        <w:pStyle w:val="ListeParagraf"/>
        <w:rPr>
          <w:rFonts w:ascii="Times New Roman" w:hAnsi="Times New Roman" w:cs="Times New Roman"/>
          <w:bCs/>
          <w:sz w:val="24"/>
          <w:szCs w:val="24"/>
        </w:rPr>
      </w:pPr>
    </w:p>
    <w:p w:rsidR="0099399A" w:rsidRPr="00F70D24" w:rsidRDefault="0099399A" w:rsidP="00F70D24">
      <w:pPr>
        <w:pStyle w:val="ListeParagraf"/>
        <w:numPr>
          <w:ilvl w:val="1"/>
          <w:numId w:val="7"/>
        </w:numPr>
        <w:spacing w:line="240" w:lineRule="auto"/>
        <w:ind w:left="0"/>
        <w:jc w:val="both"/>
        <w:rPr>
          <w:rFonts w:ascii="Times New Roman" w:hAnsi="Times New Roman" w:cs="Times New Roman"/>
          <w:bCs/>
          <w:sz w:val="24"/>
          <w:szCs w:val="24"/>
        </w:rPr>
      </w:pPr>
      <w:r w:rsidRPr="00F70D24">
        <w:rPr>
          <w:rFonts w:ascii="Times New Roman" w:hAnsi="Times New Roman" w:cs="Times New Roman"/>
          <w:bCs/>
          <w:sz w:val="24"/>
          <w:szCs w:val="24"/>
        </w:rPr>
        <w:t xml:space="preserve">In 2018, the average price of </w:t>
      </w:r>
      <w:r w:rsidR="00944835">
        <w:rPr>
          <w:rFonts w:ascii="Times New Roman" w:hAnsi="Times New Roman" w:cs="Times New Roman"/>
          <w:bCs/>
          <w:sz w:val="24"/>
          <w:szCs w:val="24"/>
        </w:rPr>
        <w:t>RESSUM</w:t>
      </w:r>
      <w:r w:rsidRPr="00F70D24">
        <w:rPr>
          <w:rFonts w:ascii="Times New Roman" w:hAnsi="Times New Roman" w:cs="Times New Roman"/>
          <w:bCs/>
          <w:sz w:val="24"/>
          <w:szCs w:val="24"/>
        </w:rPr>
        <w:t xml:space="preserve"> reached to 351,1 TL/MWh increased by 27,83% compared to previous year.</w:t>
      </w:r>
    </w:p>
    <w:p w:rsidR="0099399A" w:rsidRPr="00422D1D" w:rsidRDefault="0099399A" w:rsidP="0099399A">
      <w:pPr>
        <w:pStyle w:val="ListeParagraf"/>
        <w:ind w:left="0"/>
        <w:jc w:val="both"/>
        <w:rPr>
          <w:rFonts w:ascii="Times New Roman" w:hAnsi="Times New Roman" w:cs="Times New Roman"/>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sz w:val="24"/>
          <w:szCs w:val="24"/>
        </w:rPr>
        <w:t xml:space="preserve">In 2018, an additional cost of </w:t>
      </w:r>
      <w:r w:rsidR="00944835">
        <w:rPr>
          <w:rFonts w:ascii="Times New Roman" w:hAnsi="Times New Roman" w:cs="Times New Roman"/>
          <w:sz w:val="24"/>
          <w:szCs w:val="24"/>
        </w:rPr>
        <w:t>RESSUM</w:t>
      </w:r>
      <w:r w:rsidRPr="00422D1D">
        <w:rPr>
          <w:rFonts w:ascii="Times New Roman" w:hAnsi="Times New Roman" w:cs="Times New Roman"/>
          <w:sz w:val="24"/>
          <w:szCs w:val="24"/>
        </w:rPr>
        <w:t xml:space="preserve"> which means additional cost to the weighted average MCP for </w:t>
      </w:r>
      <w:r w:rsidR="00944835">
        <w:rPr>
          <w:rFonts w:ascii="Times New Roman" w:hAnsi="Times New Roman" w:cs="Times New Roman"/>
          <w:sz w:val="24"/>
          <w:szCs w:val="24"/>
        </w:rPr>
        <w:t>RESSUM</w:t>
      </w:r>
      <w:r w:rsidRPr="00422D1D">
        <w:rPr>
          <w:rFonts w:ascii="Times New Roman" w:hAnsi="Times New Roman" w:cs="Times New Roman"/>
          <w:sz w:val="24"/>
          <w:szCs w:val="24"/>
        </w:rPr>
        <w:t xml:space="preserve"> per invoiced unit energy amount, increased by 33,18% to 31,75 TL/ MWh compared to previous year.</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ind w:left="0"/>
        <w:jc w:val="both"/>
        <w:rPr>
          <w:rFonts w:ascii="Times New Roman" w:hAnsi="Times New Roman" w:cs="Times New Roman"/>
          <w:bCs/>
          <w:sz w:val="24"/>
          <w:szCs w:val="24"/>
        </w:rPr>
      </w:pPr>
    </w:p>
    <w:p w:rsidR="0099399A" w:rsidRPr="00422D1D" w:rsidRDefault="0099399A" w:rsidP="0099399A">
      <w:pPr>
        <w:pStyle w:val="ListeParagraf"/>
        <w:ind w:left="0"/>
        <w:jc w:val="both"/>
        <w:rPr>
          <w:rFonts w:ascii="Times New Roman" w:hAnsi="Times New Roman" w:cs="Times New Roman"/>
          <w:bCs/>
          <w:sz w:val="24"/>
          <w:szCs w:val="24"/>
        </w:rPr>
      </w:pPr>
    </w:p>
    <w:p w:rsidR="0099399A" w:rsidRPr="00422D1D" w:rsidRDefault="0099399A" w:rsidP="0099399A">
      <w:pPr>
        <w:pStyle w:val="ListeParagraf"/>
        <w:numPr>
          <w:ilvl w:val="0"/>
          <w:numId w:val="7"/>
        </w:numPr>
        <w:spacing w:line="240" w:lineRule="auto"/>
        <w:ind w:left="0"/>
        <w:jc w:val="both"/>
        <w:rPr>
          <w:rFonts w:ascii="Times New Roman" w:hAnsi="Times New Roman" w:cs="Times New Roman"/>
          <w:b/>
          <w:bCs/>
          <w:sz w:val="24"/>
          <w:szCs w:val="24"/>
        </w:rPr>
      </w:pPr>
      <w:r w:rsidRPr="00422D1D">
        <w:rPr>
          <w:rFonts w:ascii="Times New Roman" w:hAnsi="Times New Roman" w:cs="Times New Roman"/>
          <w:b/>
          <w:bCs/>
          <w:sz w:val="24"/>
          <w:szCs w:val="24"/>
        </w:rPr>
        <w:t>Market Openness</w:t>
      </w:r>
    </w:p>
    <w:p w:rsidR="0099399A" w:rsidRPr="00422D1D" w:rsidRDefault="0099399A" w:rsidP="0099399A">
      <w:pPr>
        <w:pStyle w:val="ListeParagraf"/>
        <w:spacing w:line="240" w:lineRule="auto"/>
        <w:ind w:left="0"/>
        <w:jc w:val="both"/>
        <w:rPr>
          <w:rFonts w:ascii="Times New Roman" w:hAnsi="Times New Roman" w:cs="Times New Roman"/>
          <w:b/>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In 2018, the eligible consumer limit was set at 2.000 kWh and the theoretical market openness rate for demand side was calculated as 92,6%.</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 xml:space="preserve">Eligible consumers’ consumption in 2018 was 69,18 TWh. In 2017, actual market openness was 55,5% while this proportion decreased to 29,6% in 2018. </w:t>
      </w:r>
    </w:p>
    <w:p w:rsidR="0099399A" w:rsidRPr="00422D1D" w:rsidRDefault="0099399A" w:rsidP="0099399A">
      <w:pPr>
        <w:pStyle w:val="ListeParagraf"/>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ind w:left="0"/>
        <w:jc w:val="both"/>
        <w:rPr>
          <w:rFonts w:ascii="Times New Roman" w:hAnsi="Times New Roman" w:cs="Times New Roman"/>
          <w:bCs/>
          <w:sz w:val="24"/>
          <w:szCs w:val="24"/>
        </w:rPr>
      </w:pPr>
      <w:r w:rsidRPr="00422D1D">
        <w:rPr>
          <w:rFonts w:ascii="Times New Roman" w:hAnsi="Times New Roman" w:cs="Times New Roman"/>
          <w:bCs/>
          <w:sz w:val="24"/>
          <w:szCs w:val="24"/>
        </w:rPr>
        <w:t xml:space="preserve">At the end of 2018, the number of eligible consumers decreased by 96.8% to 146 thousand compared to the end of 2017. This number corresponds to 0.34% of the total number of consumers. </w:t>
      </w:r>
    </w:p>
    <w:p w:rsidR="0099399A" w:rsidRPr="00422D1D" w:rsidRDefault="0099399A" w:rsidP="0099399A">
      <w:pPr>
        <w:pStyle w:val="ListeParagraf"/>
        <w:ind w:left="0"/>
        <w:jc w:val="both"/>
        <w:rPr>
          <w:rFonts w:ascii="Times New Roman" w:hAnsi="Times New Roman" w:cs="Times New Roman"/>
          <w:bCs/>
          <w:sz w:val="24"/>
          <w:szCs w:val="24"/>
        </w:rPr>
      </w:pPr>
    </w:p>
    <w:p w:rsidR="0099399A" w:rsidRPr="00422D1D" w:rsidRDefault="0099399A" w:rsidP="0099399A">
      <w:pPr>
        <w:pStyle w:val="ListeParagraf"/>
        <w:ind w:left="0"/>
        <w:jc w:val="both"/>
        <w:rPr>
          <w:rFonts w:ascii="Times New Roman" w:hAnsi="Times New Roman" w:cs="Times New Roman"/>
          <w:bCs/>
          <w:sz w:val="24"/>
          <w:szCs w:val="24"/>
        </w:rPr>
      </w:pPr>
    </w:p>
    <w:p w:rsidR="0099399A" w:rsidRPr="00422D1D" w:rsidRDefault="0099399A" w:rsidP="0099399A">
      <w:pPr>
        <w:pStyle w:val="ListeParagraf"/>
        <w:numPr>
          <w:ilvl w:val="0"/>
          <w:numId w:val="7"/>
        </w:numPr>
        <w:spacing w:line="240" w:lineRule="auto"/>
        <w:ind w:left="0"/>
        <w:jc w:val="both"/>
        <w:rPr>
          <w:rFonts w:ascii="Times New Roman" w:hAnsi="Times New Roman" w:cs="Times New Roman"/>
          <w:b/>
          <w:sz w:val="24"/>
          <w:szCs w:val="24"/>
        </w:rPr>
      </w:pPr>
      <w:r w:rsidRPr="00422D1D">
        <w:rPr>
          <w:rFonts w:ascii="Times New Roman" w:hAnsi="Times New Roman" w:cs="Times New Roman"/>
          <w:b/>
          <w:sz w:val="24"/>
          <w:szCs w:val="24"/>
        </w:rPr>
        <w:t>Transmission</w:t>
      </w:r>
    </w:p>
    <w:p w:rsidR="0099399A" w:rsidRPr="00422D1D" w:rsidRDefault="0099399A" w:rsidP="0099399A">
      <w:pPr>
        <w:pStyle w:val="ListeParagraf"/>
        <w:spacing w:line="240" w:lineRule="auto"/>
        <w:ind w:left="0"/>
        <w:jc w:val="both"/>
        <w:rPr>
          <w:rFonts w:ascii="Times New Roman" w:hAnsi="Times New Roman" w:cs="Times New Roman"/>
          <w:b/>
          <w:sz w:val="24"/>
          <w:szCs w:val="24"/>
        </w:rPr>
      </w:pPr>
    </w:p>
    <w:p w:rsidR="0099399A" w:rsidRPr="00422D1D" w:rsidRDefault="0099399A" w:rsidP="0099399A">
      <w:pPr>
        <w:pStyle w:val="ListeParagraf"/>
        <w:numPr>
          <w:ilvl w:val="0"/>
          <w:numId w:val="10"/>
        </w:numPr>
        <w:spacing w:line="240" w:lineRule="auto"/>
        <w:ind w:left="0"/>
        <w:jc w:val="both"/>
        <w:rPr>
          <w:rFonts w:ascii="Times New Roman" w:hAnsi="Times New Roman" w:cs="Times New Roman"/>
          <w:sz w:val="24"/>
          <w:szCs w:val="24"/>
        </w:rPr>
      </w:pPr>
      <w:r w:rsidRPr="00422D1D">
        <w:rPr>
          <w:rFonts w:ascii="Times New Roman" w:hAnsi="Times New Roman" w:cs="Times New Roman"/>
          <w:sz w:val="24"/>
          <w:szCs w:val="24"/>
        </w:rPr>
        <w:t>By the end of 2018, there were 1.161 transformer centers in the transmission system and 2.265 transformers with 205.953 MVA capacity.</w:t>
      </w:r>
    </w:p>
    <w:p w:rsidR="0099399A" w:rsidRPr="00422D1D" w:rsidRDefault="0099399A" w:rsidP="0099399A">
      <w:pPr>
        <w:pStyle w:val="ListeParagraf"/>
        <w:spacing w:line="240" w:lineRule="auto"/>
        <w:ind w:left="0"/>
        <w:jc w:val="both"/>
        <w:rPr>
          <w:rFonts w:ascii="Times New Roman" w:hAnsi="Times New Roman" w:cs="Times New Roman"/>
          <w:sz w:val="24"/>
          <w:szCs w:val="24"/>
        </w:rPr>
      </w:pPr>
    </w:p>
    <w:p w:rsidR="0099399A" w:rsidRPr="00422D1D" w:rsidRDefault="0099399A" w:rsidP="0099399A">
      <w:pPr>
        <w:pStyle w:val="ListeParagraf"/>
        <w:numPr>
          <w:ilvl w:val="0"/>
          <w:numId w:val="10"/>
        </w:numPr>
        <w:spacing w:line="240" w:lineRule="auto"/>
        <w:ind w:left="0"/>
        <w:jc w:val="both"/>
        <w:rPr>
          <w:rFonts w:ascii="Times New Roman" w:hAnsi="Times New Roman" w:cs="Times New Roman"/>
          <w:sz w:val="24"/>
          <w:szCs w:val="24"/>
        </w:rPr>
      </w:pPr>
      <w:r w:rsidRPr="00422D1D">
        <w:rPr>
          <w:rFonts w:ascii="Times New Roman" w:hAnsi="Times New Roman" w:cs="Times New Roman"/>
          <w:sz w:val="24"/>
          <w:szCs w:val="24"/>
        </w:rPr>
        <w:t xml:space="preserve">By the end of 2018, the length of transmission lines was 68.204 km.  </w:t>
      </w:r>
    </w:p>
    <w:p w:rsidR="0099399A" w:rsidRPr="00422D1D" w:rsidRDefault="0099399A" w:rsidP="0099399A">
      <w:pPr>
        <w:pStyle w:val="ListeParagraf"/>
        <w:ind w:left="0"/>
        <w:jc w:val="both"/>
        <w:rPr>
          <w:rFonts w:ascii="Times New Roman" w:hAnsi="Times New Roman" w:cs="Times New Roman"/>
          <w:sz w:val="24"/>
          <w:szCs w:val="24"/>
        </w:rPr>
      </w:pPr>
    </w:p>
    <w:p w:rsidR="00F70D24" w:rsidRDefault="0099399A" w:rsidP="00F70D24">
      <w:pPr>
        <w:pStyle w:val="ListeParagraf"/>
        <w:numPr>
          <w:ilvl w:val="0"/>
          <w:numId w:val="10"/>
        </w:numPr>
        <w:spacing w:line="240" w:lineRule="auto"/>
        <w:ind w:left="0"/>
        <w:jc w:val="both"/>
        <w:rPr>
          <w:rFonts w:ascii="Times New Roman" w:hAnsi="Times New Roman" w:cs="Times New Roman"/>
          <w:sz w:val="24"/>
          <w:szCs w:val="24"/>
        </w:rPr>
      </w:pPr>
      <w:r w:rsidRPr="00422D1D">
        <w:rPr>
          <w:rFonts w:ascii="Times New Roman" w:hAnsi="Times New Roman" w:cs="Times New Roman"/>
          <w:bCs/>
          <w:sz w:val="24"/>
          <w:szCs w:val="24"/>
        </w:rPr>
        <w:t>In 2018, total investment of the transmission company was 2,92 billion TL.</w:t>
      </w:r>
    </w:p>
    <w:p w:rsidR="00F70D24" w:rsidRPr="00F70D24" w:rsidRDefault="00F70D24" w:rsidP="00F70D24">
      <w:pPr>
        <w:pStyle w:val="ListeParagraf"/>
        <w:rPr>
          <w:rFonts w:ascii="Times New Roman" w:hAnsi="Times New Roman" w:cs="Times New Roman"/>
          <w:sz w:val="24"/>
          <w:szCs w:val="24"/>
        </w:rPr>
      </w:pPr>
    </w:p>
    <w:p w:rsidR="0099399A" w:rsidRPr="00F70D24" w:rsidRDefault="0099399A" w:rsidP="00F70D24">
      <w:pPr>
        <w:pStyle w:val="ListeParagraf"/>
        <w:numPr>
          <w:ilvl w:val="0"/>
          <w:numId w:val="10"/>
        </w:numPr>
        <w:spacing w:line="240" w:lineRule="auto"/>
        <w:ind w:left="0"/>
        <w:jc w:val="both"/>
        <w:rPr>
          <w:rFonts w:ascii="Times New Roman" w:hAnsi="Times New Roman" w:cs="Times New Roman"/>
          <w:sz w:val="24"/>
          <w:szCs w:val="24"/>
        </w:rPr>
      </w:pPr>
      <w:r w:rsidRPr="00F70D24">
        <w:rPr>
          <w:rFonts w:ascii="Times New Roman" w:hAnsi="Times New Roman" w:cs="Times New Roman"/>
          <w:sz w:val="24"/>
          <w:szCs w:val="24"/>
        </w:rPr>
        <w:t xml:space="preserve">In 2018, the transmission loss rate was 1,92 %.  </w:t>
      </w:r>
    </w:p>
    <w:p w:rsidR="0099399A" w:rsidRPr="00422D1D" w:rsidRDefault="0099399A" w:rsidP="0099399A">
      <w:pPr>
        <w:pStyle w:val="ListeParagraf"/>
        <w:spacing w:line="240" w:lineRule="auto"/>
        <w:ind w:left="0"/>
        <w:jc w:val="both"/>
        <w:rPr>
          <w:rFonts w:ascii="Times New Roman" w:hAnsi="Times New Roman" w:cs="Times New Roman"/>
          <w:sz w:val="24"/>
          <w:szCs w:val="24"/>
        </w:rPr>
      </w:pPr>
    </w:p>
    <w:p w:rsidR="0099399A" w:rsidRPr="00422D1D" w:rsidRDefault="0099399A" w:rsidP="0099399A">
      <w:pPr>
        <w:pStyle w:val="ListeParagraf"/>
        <w:spacing w:line="240" w:lineRule="auto"/>
        <w:ind w:left="0"/>
        <w:jc w:val="both"/>
        <w:rPr>
          <w:rFonts w:ascii="Times New Roman" w:hAnsi="Times New Roman" w:cs="Times New Roman"/>
          <w:sz w:val="24"/>
          <w:szCs w:val="24"/>
        </w:rPr>
      </w:pPr>
    </w:p>
    <w:p w:rsidR="0099399A" w:rsidRPr="00422D1D" w:rsidRDefault="0099399A" w:rsidP="0099399A">
      <w:pPr>
        <w:pStyle w:val="ListeParagraf"/>
        <w:numPr>
          <w:ilvl w:val="0"/>
          <w:numId w:val="7"/>
        </w:numPr>
        <w:spacing w:line="240" w:lineRule="auto"/>
        <w:ind w:left="0"/>
        <w:jc w:val="both"/>
        <w:rPr>
          <w:rFonts w:ascii="Times New Roman" w:hAnsi="Times New Roman" w:cs="Times New Roman"/>
          <w:b/>
          <w:sz w:val="24"/>
          <w:szCs w:val="24"/>
        </w:rPr>
      </w:pPr>
      <w:r w:rsidRPr="00422D1D">
        <w:rPr>
          <w:rFonts w:ascii="Times New Roman" w:hAnsi="Times New Roman" w:cs="Times New Roman"/>
          <w:b/>
          <w:sz w:val="24"/>
          <w:szCs w:val="24"/>
        </w:rPr>
        <w:t>Distribution</w:t>
      </w:r>
    </w:p>
    <w:p w:rsidR="0099399A" w:rsidRPr="00422D1D" w:rsidRDefault="0099399A" w:rsidP="0099399A">
      <w:pPr>
        <w:pStyle w:val="ListeParagraf"/>
        <w:spacing w:line="240" w:lineRule="auto"/>
        <w:ind w:left="0"/>
        <w:jc w:val="both"/>
        <w:rPr>
          <w:rFonts w:ascii="Times New Roman" w:hAnsi="Times New Roman" w:cs="Times New Roman"/>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By the end of 2018, the number of consumers using the distribution system was 43,65 million. The regions with the highest number of consumers were the Boğaziçi with 5.03 million and the Başkent with 4.2 million.</w:t>
      </w:r>
    </w:p>
    <w:p w:rsidR="0099399A" w:rsidRPr="00422D1D" w:rsidRDefault="0099399A" w:rsidP="0099399A">
      <w:pPr>
        <w:pStyle w:val="ListeParagraf"/>
        <w:spacing w:line="240" w:lineRule="auto"/>
        <w:ind w:left="0"/>
        <w:jc w:val="both"/>
        <w:rPr>
          <w:rFonts w:ascii="Times New Roman" w:hAnsi="Times New Roman" w:cs="Times New Roman"/>
          <w:bCs/>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bCs/>
          <w:sz w:val="24"/>
          <w:szCs w:val="24"/>
        </w:rPr>
      </w:pPr>
      <w:r w:rsidRPr="00422D1D">
        <w:rPr>
          <w:rFonts w:ascii="Times New Roman" w:hAnsi="Times New Roman" w:cs="Times New Roman"/>
          <w:bCs/>
          <w:sz w:val="24"/>
          <w:szCs w:val="24"/>
        </w:rPr>
        <w:t>By the end of 2018, the total invoiced consumption in the distribution regions was realized as 177,91 TWh. The regions with the highest consumption amounts were the Boğaziçi with 25,96 TWh and the Toroslar with 15,33 TWh.</w:t>
      </w:r>
    </w:p>
    <w:p w:rsidR="0099399A" w:rsidRPr="00422D1D" w:rsidRDefault="0099399A" w:rsidP="0099399A">
      <w:pPr>
        <w:pStyle w:val="ListeParagraf"/>
        <w:ind w:left="0"/>
        <w:jc w:val="both"/>
        <w:rPr>
          <w:rFonts w:ascii="Times New Roman" w:hAnsi="Times New Roman" w:cs="Times New Roman"/>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sz w:val="24"/>
          <w:szCs w:val="24"/>
        </w:rPr>
      </w:pPr>
      <w:r w:rsidRPr="00422D1D">
        <w:rPr>
          <w:rFonts w:ascii="Times New Roman" w:hAnsi="Times New Roman" w:cs="Times New Roman"/>
          <w:sz w:val="24"/>
          <w:szCs w:val="24"/>
        </w:rPr>
        <w:t>The highest loss rates were seen in Dicle with 54,94 %, Vangölü with 49,16 % and Aras with 23,55 %.</w:t>
      </w:r>
    </w:p>
    <w:p w:rsidR="0099399A" w:rsidRPr="00422D1D" w:rsidRDefault="0099399A" w:rsidP="0099399A">
      <w:pPr>
        <w:pStyle w:val="ListeParagraf"/>
        <w:spacing w:line="240" w:lineRule="auto"/>
        <w:ind w:left="0"/>
        <w:jc w:val="both"/>
        <w:rPr>
          <w:rFonts w:ascii="Times New Roman" w:hAnsi="Times New Roman" w:cs="Times New Roman"/>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sz w:val="24"/>
          <w:szCs w:val="24"/>
        </w:rPr>
      </w:pPr>
      <w:r w:rsidRPr="00422D1D">
        <w:rPr>
          <w:rFonts w:ascii="Times New Roman" w:hAnsi="Times New Roman" w:cs="Times New Roman"/>
          <w:sz w:val="24"/>
          <w:szCs w:val="24"/>
        </w:rPr>
        <w:t xml:space="preserve">The lowest loss rates were seen in the distribution regions of </w:t>
      </w:r>
      <w:r w:rsidR="00F70D24">
        <w:rPr>
          <w:rFonts w:ascii="Times New Roman" w:hAnsi="Times New Roman" w:cs="Times New Roman"/>
          <w:sz w:val="24"/>
          <w:szCs w:val="24"/>
        </w:rPr>
        <w:t xml:space="preserve">Uludağ with 4,2 %, </w:t>
      </w:r>
      <w:r w:rsidRPr="00422D1D">
        <w:rPr>
          <w:rFonts w:ascii="Times New Roman" w:hAnsi="Times New Roman" w:cs="Times New Roman"/>
          <w:sz w:val="24"/>
          <w:szCs w:val="24"/>
        </w:rPr>
        <w:t>Trakya with 4,37%</w:t>
      </w:r>
      <w:r w:rsidR="00F70D24">
        <w:rPr>
          <w:rFonts w:ascii="Times New Roman" w:hAnsi="Times New Roman" w:cs="Times New Roman"/>
          <w:sz w:val="24"/>
          <w:szCs w:val="24"/>
        </w:rPr>
        <w:t xml:space="preserve"> and ADM with 5,53%.</w:t>
      </w:r>
      <w:r w:rsidRPr="00422D1D">
        <w:rPr>
          <w:rFonts w:ascii="Times New Roman" w:hAnsi="Times New Roman" w:cs="Times New Roman"/>
          <w:sz w:val="24"/>
          <w:szCs w:val="24"/>
        </w:rPr>
        <w:t xml:space="preserve"> </w:t>
      </w:r>
    </w:p>
    <w:p w:rsidR="0099399A" w:rsidRPr="00422D1D" w:rsidRDefault="0099399A" w:rsidP="0099399A">
      <w:pPr>
        <w:pStyle w:val="ListeParagraf"/>
        <w:ind w:left="0"/>
        <w:jc w:val="both"/>
        <w:rPr>
          <w:rFonts w:ascii="Times New Roman" w:hAnsi="Times New Roman" w:cs="Times New Roman"/>
          <w:sz w:val="24"/>
          <w:szCs w:val="24"/>
        </w:rPr>
      </w:pPr>
    </w:p>
    <w:p w:rsidR="0099399A" w:rsidRPr="00422D1D" w:rsidRDefault="0099399A" w:rsidP="0099399A">
      <w:pPr>
        <w:pStyle w:val="ListeParagraf"/>
        <w:numPr>
          <w:ilvl w:val="1"/>
          <w:numId w:val="7"/>
        </w:numPr>
        <w:spacing w:line="240" w:lineRule="auto"/>
        <w:ind w:left="0"/>
        <w:jc w:val="both"/>
        <w:rPr>
          <w:rFonts w:ascii="Times New Roman" w:hAnsi="Times New Roman" w:cs="Times New Roman"/>
          <w:sz w:val="24"/>
          <w:szCs w:val="24"/>
        </w:rPr>
      </w:pPr>
      <w:r w:rsidRPr="00422D1D">
        <w:rPr>
          <w:rFonts w:ascii="Times New Roman" w:hAnsi="Times New Roman" w:cs="Times New Roman"/>
          <w:sz w:val="24"/>
          <w:szCs w:val="24"/>
        </w:rPr>
        <w:lastRenderedPageBreak/>
        <w:t>By the end of 2018, 54.756 people were employed in the electricity distribution sector. Of those, 22.387 were employed as permanent staff in distribution companies and 32.369 were employed as subcontractor company personnel.</w:t>
      </w:r>
      <w:r w:rsidRPr="00422D1D">
        <w:rPr>
          <w:rFonts w:ascii="Times New Roman" w:hAnsi="Times New Roman" w:cs="Times New Roman"/>
        </w:rPr>
        <w:t xml:space="preserve"> </w:t>
      </w:r>
      <w:r w:rsidRPr="00422D1D">
        <w:rPr>
          <w:rFonts w:ascii="Times New Roman" w:hAnsi="Times New Roman" w:cs="Times New Roman"/>
          <w:sz w:val="24"/>
          <w:szCs w:val="24"/>
        </w:rPr>
        <w:t xml:space="preserve"> </w:t>
      </w:r>
    </w:p>
    <w:p w:rsidR="0099399A" w:rsidRPr="00422D1D" w:rsidRDefault="0099399A" w:rsidP="0099399A">
      <w:pPr>
        <w:pStyle w:val="ListeParagraf"/>
        <w:ind w:left="0"/>
        <w:jc w:val="both"/>
        <w:rPr>
          <w:rFonts w:ascii="Times New Roman" w:hAnsi="Times New Roman" w:cs="Times New Roman"/>
          <w:sz w:val="24"/>
          <w:szCs w:val="24"/>
        </w:rPr>
      </w:pPr>
    </w:p>
    <w:p w:rsidR="0099399A" w:rsidRPr="00422D1D" w:rsidRDefault="0099399A" w:rsidP="0099399A">
      <w:pPr>
        <w:pStyle w:val="ListeParagraf"/>
        <w:numPr>
          <w:ilvl w:val="0"/>
          <w:numId w:val="10"/>
        </w:numPr>
        <w:spacing w:line="240" w:lineRule="auto"/>
        <w:ind w:left="0"/>
        <w:jc w:val="both"/>
        <w:rPr>
          <w:rFonts w:ascii="Times New Roman" w:hAnsi="Times New Roman" w:cs="Times New Roman"/>
          <w:sz w:val="24"/>
          <w:szCs w:val="24"/>
        </w:rPr>
      </w:pPr>
      <w:r w:rsidRPr="00422D1D">
        <w:rPr>
          <w:rFonts w:ascii="Times New Roman" w:hAnsi="Times New Roman" w:cs="Times New Roman"/>
          <w:sz w:val="24"/>
          <w:szCs w:val="24"/>
        </w:rPr>
        <w:t xml:space="preserve">By the end of 2018, there were 468.755 transformers in the distribution system with 162.367 MVA power. </w:t>
      </w:r>
    </w:p>
    <w:p w:rsidR="0099399A" w:rsidRPr="00422D1D" w:rsidRDefault="0099399A" w:rsidP="0099399A">
      <w:pPr>
        <w:pStyle w:val="ListeParagraf"/>
        <w:spacing w:line="240" w:lineRule="auto"/>
        <w:ind w:left="0"/>
        <w:jc w:val="both"/>
        <w:rPr>
          <w:rFonts w:ascii="Times New Roman" w:hAnsi="Times New Roman" w:cs="Times New Roman"/>
          <w:sz w:val="24"/>
          <w:szCs w:val="24"/>
        </w:rPr>
      </w:pPr>
    </w:p>
    <w:p w:rsidR="0099399A" w:rsidRPr="00422D1D" w:rsidRDefault="00F70D24" w:rsidP="0099399A">
      <w:pPr>
        <w:pStyle w:val="ListeParagraf"/>
        <w:numPr>
          <w:ilvl w:val="0"/>
          <w:numId w:val="10"/>
        </w:numPr>
        <w:spacing w:line="240" w:lineRule="auto"/>
        <w:ind w:left="0"/>
        <w:jc w:val="both"/>
        <w:rPr>
          <w:rFonts w:ascii="Times New Roman" w:hAnsi="Times New Roman" w:cs="Times New Roman"/>
          <w:sz w:val="24"/>
          <w:szCs w:val="24"/>
        </w:rPr>
      </w:pPr>
      <w:r>
        <w:rPr>
          <w:rFonts w:ascii="Times New Roman" w:hAnsi="Times New Roman" w:cs="Times New Roman"/>
          <w:sz w:val="24"/>
          <w:szCs w:val="24"/>
        </w:rPr>
        <w:t>By</w:t>
      </w:r>
      <w:r w:rsidR="0099399A" w:rsidRPr="00422D1D">
        <w:rPr>
          <w:rFonts w:ascii="Times New Roman" w:hAnsi="Times New Roman" w:cs="Times New Roman"/>
          <w:sz w:val="24"/>
          <w:szCs w:val="24"/>
        </w:rPr>
        <w:t xml:space="preserve"> the end of 2018, the length of distribution lines was 1.164.170 km long. 954.411 km of this figure is overhead lines and 209.759 km is underground lines.</w:t>
      </w:r>
    </w:p>
    <w:p w:rsidR="0099399A" w:rsidRPr="00422D1D" w:rsidRDefault="0099399A" w:rsidP="0099399A">
      <w:pPr>
        <w:pStyle w:val="ListeParagraf"/>
        <w:spacing w:line="240" w:lineRule="auto"/>
        <w:ind w:left="0"/>
        <w:jc w:val="both"/>
        <w:rPr>
          <w:rFonts w:ascii="Times New Roman" w:hAnsi="Times New Roman" w:cs="Times New Roman"/>
          <w:sz w:val="24"/>
          <w:szCs w:val="24"/>
        </w:rPr>
      </w:pPr>
    </w:p>
    <w:p w:rsidR="0099399A" w:rsidRPr="00422D1D" w:rsidRDefault="0099399A" w:rsidP="0099399A">
      <w:pPr>
        <w:pStyle w:val="ListeParagraf"/>
        <w:numPr>
          <w:ilvl w:val="0"/>
          <w:numId w:val="10"/>
        </w:numPr>
        <w:spacing w:line="240" w:lineRule="auto"/>
        <w:ind w:left="0"/>
        <w:jc w:val="both"/>
        <w:rPr>
          <w:rFonts w:ascii="Times New Roman" w:hAnsi="Times New Roman" w:cs="Times New Roman"/>
          <w:sz w:val="24"/>
          <w:szCs w:val="24"/>
        </w:rPr>
      </w:pPr>
      <w:r w:rsidRPr="00422D1D">
        <w:rPr>
          <w:rFonts w:ascii="Times New Roman" w:hAnsi="Times New Roman" w:cs="Times New Roman"/>
          <w:sz w:val="24"/>
          <w:szCs w:val="24"/>
        </w:rPr>
        <w:t>In 2018, the distribution companies invested 4,91 billion TL in current prices. The highest investment expenditure was realized in the regions of Toroslar with 737,8 million TL and the Başkent with 621,1 million TL.</w:t>
      </w:r>
    </w:p>
    <w:p w:rsidR="0099399A" w:rsidRPr="00422D1D" w:rsidRDefault="0099399A" w:rsidP="0099399A">
      <w:pPr>
        <w:pStyle w:val="ListeParagraf"/>
        <w:ind w:left="0"/>
        <w:jc w:val="both"/>
        <w:rPr>
          <w:rFonts w:ascii="Times New Roman" w:hAnsi="Times New Roman" w:cs="Times New Roman"/>
          <w:sz w:val="24"/>
          <w:szCs w:val="24"/>
        </w:rPr>
      </w:pPr>
    </w:p>
    <w:p w:rsidR="0099399A" w:rsidRDefault="0099399A"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Default="00F70D24" w:rsidP="0099399A">
      <w:pPr>
        <w:pStyle w:val="ListeParagraf"/>
        <w:ind w:left="0"/>
        <w:jc w:val="both"/>
        <w:rPr>
          <w:rFonts w:ascii="Times New Roman" w:hAnsi="Times New Roman" w:cs="Times New Roman"/>
          <w:sz w:val="24"/>
          <w:szCs w:val="24"/>
        </w:rPr>
      </w:pPr>
    </w:p>
    <w:p w:rsidR="00F70D24" w:rsidRPr="00422D1D" w:rsidRDefault="00F70D24" w:rsidP="0099399A">
      <w:pPr>
        <w:pStyle w:val="ListeParagraf"/>
        <w:ind w:left="0"/>
        <w:jc w:val="both"/>
        <w:rPr>
          <w:rFonts w:ascii="Times New Roman" w:hAnsi="Times New Roman" w:cs="Times New Roman"/>
          <w:sz w:val="24"/>
          <w:szCs w:val="24"/>
        </w:rPr>
      </w:pPr>
    </w:p>
    <w:p w:rsidR="00944835" w:rsidRDefault="00944835" w:rsidP="00092072">
      <w:pPr>
        <w:jc w:val="center"/>
        <w:rPr>
          <w:rFonts w:ascii="Times New Roman" w:hAnsi="Times New Roman" w:cs="Times New Roman"/>
          <w:b/>
          <w:bCs/>
          <w:color w:val="000000" w:themeColor="text1"/>
          <w:sz w:val="24"/>
          <w:szCs w:val="24"/>
        </w:rPr>
      </w:pPr>
    </w:p>
    <w:p w:rsidR="0099399A" w:rsidRPr="00092072" w:rsidRDefault="0099399A" w:rsidP="00092072">
      <w:pPr>
        <w:jc w:val="center"/>
        <w:rPr>
          <w:rFonts w:ascii="Times New Roman" w:hAnsi="Times New Roman" w:cs="Times New Roman"/>
          <w:b/>
          <w:bCs/>
          <w:color w:val="000000" w:themeColor="text1"/>
          <w:sz w:val="24"/>
          <w:szCs w:val="24"/>
        </w:rPr>
      </w:pPr>
      <w:r w:rsidRPr="00422D1D">
        <w:rPr>
          <w:rFonts w:ascii="Times New Roman" w:hAnsi="Times New Roman" w:cs="Times New Roman"/>
          <w:b/>
          <w:bCs/>
          <w:color w:val="000000" w:themeColor="text1"/>
          <w:sz w:val="24"/>
          <w:szCs w:val="24"/>
        </w:rPr>
        <w:lastRenderedPageBreak/>
        <w:t>ELECTRICITY MARKET OVERVIEW IN 2018</w:t>
      </w:r>
    </w:p>
    <w:tbl>
      <w:tblPr>
        <w:tblW w:w="9464" w:type="dxa"/>
        <w:tblLayout w:type="fixed"/>
        <w:tblLook w:val="04A0" w:firstRow="1" w:lastRow="0" w:firstColumn="1" w:lastColumn="0" w:noHBand="0" w:noVBand="1"/>
      </w:tblPr>
      <w:tblGrid>
        <w:gridCol w:w="2943"/>
        <w:gridCol w:w="1134"/>
        <w:gridCol w:w="1985"/>
        <w:gridCol w:w="2126"/>
        <w:gridCol w:w="1276"/>
      </w:tblGrid>
      <w:tr w:rsidR="0099399A" w:rsidRPr="00422D1D" w:rsidTr="00F678BD">
        <w:trPr>
          <w:trHeight w:val="489"/>
        </w:trPr>
        <w:tc>
          <w:tcPr>
            <w:tcW w:w="2943" w:type="dxa"/>
            <w:tcBorders>
              <w:top w:val="single" w:sz="4" w:space="0" w:color="auto"/>
              <w:left w:val="single" w:sz="4" w:space="0" w:color="auto"/>
              <w:bottom w:val="single" w:sz="4" w:space="0" w:color="auto"/>
              <w:right w:val="single" w:sz="4" w:space="0" w:color="auto"/>
            </w:tcBorders>
            <w:shd w:val="clear" w:color="auto" w:fill="FF0000"/>
            <w:vAlign w:val="center"/>
          </w:tcPr>
          <w:p w:rsidR="0099399A" w:rsidRPr="00422D1D" w:rsidRDefault="0099399A" w:rsidP="00C30646">
            <w:pPr>
              <w:spacing w:line="259" w:lineRule="auto"/>
              <w:jc w:val="center"/>
              <w:rPr>
                <w:rFonts w:ascii="Times New Roman" w:hAnsi="Times New Roman"/>
                <w:b/>
                <w:color w:val="FFFFFF" w:themeColor="background1"/>
              </w:rPr>
            </w:pPr>
            <w:r w:rsidRPr="00422D1D">
              <w:rPr>
                <w:rFonts w:ascii="Times New Roman" w:hAnsi="Times New Roman"/>
                <w:b/>
                <w:color w:val="FFFFFF" w:themeColor="background1"/>
              </w:rPr>
              <w:t>Parameters</w:t>
            </w:r>
          </w:p>
        </w:tc>
        <w:tc>
          <w:tcPr>
            <w:tcW w:w="1134" w:type="dxa"/>
            <w:tcBorders>
              <w:top w:val="single" w:sz="4" w:space="0" w:color="auto"/>
              <w:left w:val="single" w:sz="4" w:space="0" w:color="auto"/>
              <w:bottom w:val="single" w:sz="4" w:space="0" w:color="auto"/>
              <w:right w:val="single" w:sz="4" w:space="0" w:color="auto"/>
            </w:tcBorders>
            <w:shd w:val="clear" w:color="auto" w:fill="FF0000"/>
            <w:vAlign w:val="center"/>
          </w:tcPr>
          <w:p w:rsidR="0099399A" w:rsidRPr="00422D1D" w:rsidRDefault="0099399A" w:rsidP="00C30646">
            <w:pPr>
              <w:spacing w:line="259" w:lineRule="auto"/>
              <w:jc w:val="center"/>
              <w:rPr>
                <w:rFonts w:ascii="Times New Roman" w:hAnsi="Times New Roman"/>
                <w:b/>
                <w:color w:val="FFFFFF" w:themeColor="background1"/>
              </w:rPr>
            </w:pPr>
            <w:r w:rsidRPr="00422D1D">
              <w:rPr>
                <w:rFonts w:ascii="Times New Roman" w:hAnsi="Times New Roman"/>
                <w:b/>
                <w:color w:val="FFFFFF" w:themeColor="background1"/>
              </w:rPr>
              <w:t>Unit</w:t>
            </w:r>
          </w:p>
        </w:tc>
        <w:tc>
          <w:tcPr>
            <w:tcW w:w="1985" w:type="dxa"/>
            <w:tcBorders>
              <w:top w:val="single" w:sz="4" w:space="0" w:color="auto"/>
              <w:left w:val="single" w:sz="4" w:space="0" w:color="auto"/>
              <w:bottom w:val="single" w:sz="4" w:space="0" w:color="auto"/>
              <w:right w:val="single" w:sz="4" w:space="0" w:color="auto"/>
            </w:tcBorders>
            <w:shd w:val="clear" w:color="auto" w:fill="FF0000"/>
            <w:vAlign w:val="center"/>
          </w:tcPr>
          <w:p w:rsidR="0099399A" w:rsidRPr="00422D1D" w:rsidRDefault="0099399A" w:rsidP="00557504">
            <w:pPr>
              <w:spacing w:line="259" w:lineRule="auto"/>
              <w:jc w:val="center"/>
              <w:rPr>
                <w:rFonts w:ascii="Times New Roman" w:hAnsi="Times New Roman"/>
                <w:b/>
                <w:color w:val="FFFFFF" w:themeColor="background1"/>
              </w:rPr>
            </w:pPr>
            <w:r w:rsidRPr="00422D1D">
              <w:rPr>
                <w:rFonts w:ascii="Times New Roman" w:hAnsi="Times New Roman"/>
                <w:b/>
                <w:color w:val="FFFFFF" w:themeColor="background1"/>
              </w:rPr>
              <w:t xml:space="preserve">2017 </w:t>
            </w:r>
          </w:p>
        </w:tc>
        <w:tc>
          <w:tcPr>
            <w:tcW w:w="2126" w:type="dxa"/>
            <w:tcBorders>
              <w:top w:val="single" w:sz="4" w:space="0" w:color="auto"/>
              <w:left w:val="single" w:sz="4" w:space="0" w:color="auto"/>
              <w:bottom w:val="single" w:sz="4" w:space="0" w:color="auto"/>
              <w:right w:val="single" w:sz="4" w:space="0" w:color="auto"/>
            </w:tcBorders>
            <w:shd w:val="clear" w:color="auto" w:fill="FF0000"/>
            <w:vAlign w:val="center"/>
          </w:tcPr>
          <w:p w:rsidR="0099399A" w:rsidRPr="00422D1D" w:rsidRDefault="0099399A" w:rsidP="00557504">
            <w:pPr>
              <w:spacing w:line="259" w:lineRule="auto"/>
              <w:jc w:val="center"/>
              <w:rPr>
                <w:rFonts w:ascii="Times New Roman" w:hAnsi="Times New Roman"/>
                <w:b/>
                <w:color w:val="FFFFFF" w:themeColor="background1"/>
              </w:rPr>
            </w:pPr>
            <w:r w:rsidRPr="00422D1D">
              <w:rPr>
                <w:rFonts w:ascii="Times New Roman" w:hAnsi="Times New Roman"/>
                <w:b/>
                <w:color w:val="FFFFFF" w:themeColor="background1"/>
              </w:rPr>
              <w:t xml:space="preserve">2018 </w:t>
            </w:r>
          </w:p>
        </w:tc>
        <w:tc>
          <w:tcPr>
            <w:tcW w:w="1276" w:type="dxa"/>
            <w:tcBorders>
              <w:top w:val="single" w:sz="4" w:space="0" w:color="auto"/>
              <w:left w:val="single" w:sz="4" w:space="0" w:color="auto"/>
              <w:bottom w:val="single" w:sz="4" w:space="0" w:color="auto"/>
              <w:right w:val="single" w:sz="4" w:space="0" w:color="auto"/>
            </w:tcBorders>
            <w:shd w:val="clear" w:color="auto" w:fill="FF0000"/>
            <w:vAlign w:val="center"/>
          </w:tcPr>
          <w:p w:rsidR="0099399A" w:rsidRPr="00422D1D" w:rsidRDefault="0099399A" w:rsidP="00C30646">
            <w:pPr>
              <w:spacing w:line="259" w:lineRule="auto"/>
              <w:jc w:val="center"/>
              <w:rPr>
                <w:rFonts w:ascii="Times New Roman" w:hAnsi="Times New Roman"/>
                <w:b/>
                <w:color w:val="FFFFFF" w:themeColor="background1"/>
              </w:rPr>
            </w:pPr>
            <w:r w:rsidRPr="00422D1D">
              <w:rPr>
                <w:rFonts w:ascii="Times New Roman" w:hAnsi="Times New Roman"/>
                <w:b/>
                <w:color w:val="FFFFFF" w:themeColor="background1"/>
              </w:rPr>
              <w:t>Change (%)</w:t>
            </w:r>
          </w:p>
        </w:tc>
      </w:tr>
      <w:tr w:rsidR="0099399A" w:rsidRPr="00422D1D" w:rsidTr="00C30646">
        <w:trPr>
          <w:trHeight w:val="395"/>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Licensed Installed Capacity</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MWe</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81.506,42</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83.187,05</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2,06</w:t>
            </w:r>
          </w:p>
        </w:tc>
      </w:tr>
      <w:tr w:rsidR="0099399A" w:rsidRPr="00422D1D" w:rsidTr="00C30646">
        <w:trPr>
          <w:trHeight w:val="395"/>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Licensed Generation*</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GWh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292.595,42</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295.442,15</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0,97</w:t>
            </w:r>
          </w:p>
        </w:tc>
      </w:tr>
      <w:tr w:rsidR="0099399A" w:rsidRPr="00422D1D" w:rsidTr="00C30646">
        <w:trPr>
          <w:trHeight w:val="411"/>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Highest Peak Demand</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MW</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47.660</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46.160</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6,54</w:t>
            </w:r>
          </w:p>
        </w:tc>
      </w:tr>
      <w:tr w:rsidR="0099399A" w:rsidRPr="00422D1D" w:rsidTr="00C30646">
        <w:trPr>
          <w:trHeight w:val="411"/>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Lowest Peak Demand</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MW</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18.336</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18.212</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5,09</w:t>
            </w:r>
          </w:p>
        </w:tc>
      </w:tr>
      <w:tr w:rsidR="0099399A" w:rsidRPr="00422D1D" w:rsidTr="00C30646">
        <w:trPr>
          <w:trHeight w:val="411"/>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Unlicensed Generation**</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GWh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3.031,33</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8.212,41</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170,92</w:t>
            </w:r>
          </w:p>
        </w:tc>
      </w:tr>
      <w:tr w:rsidR="0099399A" w:rsidRPr="00422D1D" w:rsidTr="00C30646">
        <w:trPr>
          <w:trHeight w:val="411"/>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Unlicesed Installed Capacity</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MWe</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3.173,32</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5.310,57</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67,35</w:t>
            </w:r>
          </w:p>
        </w:tc>
      </w:tr>
      <w:tr w:rsidR="0099399A" w:rsidRPr="00422D1D" w:rsidTr="00C30646">
        <w:trPr>
          <w:trHeight w:val="411"/>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44835" w:rsidP="0099399A">
            <w:pPr>
              <w:jc w:val="both"/>
              <w:rPr>
                <w:rFonts w:ascii="Times New Roman" w:eastAsia="Times New Roman" w:hAnsi="Times New Roman"/>
                <w:b/>
                <w:color w:val="FFFFFF" w:themeColor="background1"/>
                <w:lang w:eastAsia="tr-TR"/>
              </w:rPr>
            </w:pPr>
            <w:r>
              <w:rPr>
                <w:rFonts w:ascii="Times New Roman" w:eastAsia="Times New Roman" w:hAnsi="Times New Roman"/>
                <w:b/>
                <w:color w:val="FFFFFF" w:themeColor="background1"/>
                <w:lang w:eastAsia="tr-TR"/>
              </w:rPr>
              <w:t>RESSUM</w:t>
            </w:r>
            <w:r w:rsidR="0099399A" w:rsidRPr="00422D1D">
              <w:rPr>
                <w:rFonts w:ascii="Times New Roman" w:eastAsia="Times New Roman" w:hAnsi="Times New Roman"/>
                <w:b/>
                <w:color w:val="FFFFFF" w:themeColor="background1"/>
                <w:lang w:eastAsia="tr-TR"/>
              </w:rPr>
              <w:t xml:space="preserve"> Generation***</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MWh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50.530.776</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62.608.517</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23,9</w:t>
            </w:r>
          </w:p>
        </w:tc>
      </w:tr>
      <w:tr w:rsidR="0099399A" w:rsidRPr="00422D1D" w:rsidTr="00C30646">
        <w:trPr>
          <w:trHeight w:val="411"/>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44835" w:rsidP="00092072">
            <w:pPr>
              <w:rPr>
                <w:rFonts w:ascii="Times New Roman" w:eastAsia="Times New Roman" w:hAnsi="Times New Roman"/>
                <w:b/>
                <w:color w:val="FFFFFF" w:themeColor="background1"/>
                <w:lang w:eastAsia="tr-TR"/>
              </w:rPr>
            </w:pPr>
            <w:r>
              <w:rPr>
                <w:rFonts w:ascii="Times New Roman" w:eastAsia="Times New Roman" w:hAnsi="Times New Roman"/>
                <w:b/>
                <w:color w:val="FFFFFF" w:themeColor="background1"/>
                <w:lang w:eastAsia="tr-TR"/>
              </w:rPr>
              <w:t>RESSUM</w:t>
            </w:r>
            <w:r w:rsidR="0099399A" w:rsidRPr="00422D1D">
              <w:rPr>
                <w:rFonts w:ascii="Times New Roman" w:eastAsia="Times New Roman" w:hAnsi="Times New Roman"/>
                <w:b/>
                <w:color w:val="FFFFFF" w:themeColor="background1"/>
                <w:lang w:eastAsia="tr-TR"/>
              </w:rPr>
              <w:t xml:space="preserve"> Amount of Payment</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TL</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13.869.601.064,94</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21.979.237.357</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58,47</w:t>
            </w:r>
          </w:p>
        </w:tc>
      </w:tr>
      <w:tr w:rsidR="0099399A" w:rsidRPr="00422D1D" w:rsidTr="00F678BD">
        <w:trPr>
          <w:trHeight w:val="362"/>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092072">
            <w:pPr>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 xml:space="preserve">Average </w:t>
            </w:r>
            <w:r w:rsidR="00944835">
              <w:rPr>
                <w:rFonts w:ascii="Times New Roman" w:eastAsia="Times New Roman" w:hAnsi="Times New Roman"/>
                <w:b/>
                <w:color w:val="FFFFFF" w:themeColor="background1"/>
                <w:lang w:eastAsia="tr-TR"/>
              </w:rPr>
              <w:t>RESSUM</w:t>
            </w:r>
            <w:r w:rsidRPr="00422D1D">
              <w:rPr>
                <w:rFonts w:ascii="Times New Roman" w:eastAsia="Times New Roman" w:hAnsi="Times New Roman"/>
                <w:b/>
                <w:color w:val="FFFFFF" w:themeColor="background1"/>
                <w:lang w:eastAsia="tr-TR"/>
              </w:rPr>
              <w:t xml:space="preserve"> Price</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TL/MWh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274,66</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351,1</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27,83</w:t>
            </w:r>
          </w:p>
        </w:tc>
      </w:tr>
      <w:tr w:rsidR="0099399A" w:rsidRPr="00422D1D" w:rsidTr="00F678BD">
        <w:trPr>
          <w:trHeight w:val="471"/>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44835" w:rsidP="00092072">
            <w:pPr>
              <w:rPr>
                <w:rFonts w:ascii="Times New Roman" w:eastAsia="Times New Roman" w:hAnsi="Times New Roman"/>
                <w:b/>
                <w:color w:val="FFFFFF" w:themeColor="background1"/>
                <w:lang w:eastAsia="tr-TR"/>
              </w:rPr>
            </w:pPr>
            <w:r>
              <w:rPr>
                <w:rFonts w:ascii="Times New Roman" w:eastAsia="Times New Roman" w:hAnsi="Times New Roman"/>
                <w:b/>
                <w:color w:val="FFFFFF" w:themeColor="background1"/>
                <w:lang w:eastAsia="tr-TR"/>
              </w:rPr>
              <w:t>RESSUM</w:t>
            </w:r>
            <w:r w:rsidR="0099399A" w:rsidRPr="00422D1D">
              <w:rPr>
                <w:rFonts w:ascii="Times New Roman" w:eastAsia="Times New Roman" w:hAnsi="Times New Roman"/>
                <w:b/>
                <w:color w:val="FFFFFF" w:themeColor="background1"/>
                <w:lang w:eastAsia="tr-TR"/>
              </w:rPr>
              <w:t xml:space="preserve"> Additional Cost****</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TL/MWh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23,84</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31,75</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33,18</w:t>
            </w:r>
          </w:p>
        </w:tc>
      </w:tr>
      <w:tr w:rsidR="0099399A" w:rsidRPr="00422D1D" w:rsidTr="00F678BD">
        <w:trPr>
          <w:trHeight w:val="298"/>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Actual Consumption</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GWh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292.003,54</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302.772,30</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3,69</w:t>
            </w:r>
          </w:p>
        </w:tc>
      </w:tr>
      <w:tr w:rsidR="0099399A" w:rsidRPr="00422D1D" w:rsidTr="00C30646">
        <w:trPr>
          <w:trHeight w:val="411"/>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Invoice-Based Consumption</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MWh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225.713.528,13</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233.610.029,54</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3,50</w:t>
            </w:r>
          </w:p>
        </w:tc>
      </w:tr>
      <w:tr w:rsidR="0099399A" w:rsidRPr="00422D1D" w:rsidTr="00C30646">
        <w:trPr>
          <w:trHeight w:val="411"/>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Number of Consumer</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Adet</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42.383.150</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43.653.910</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3,00</w:t>
            </w:r>
          </w:p>
        </w:tc>
      </w:tr>
      <w:tr w:rsidR="0099399A" w:rsidRPr="00422D1D" w:rsidTr="00F678BD">
        <w:trPr>
          <w:trHeight w:val="276"/>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Import</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GWh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2.729,06</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2.466,01</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-9,64</w:t>
            </w:r>
          </w:p>
        </w:tc>
      </w:tr>
      <w:tr w:rsidR="0099399A" w:rsidRPr="00422D1D" w:rsidTr="00F678BD">
        <w:trPr>
          <w:trHeight w:val="240"/>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Export</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GWh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3.300,10</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3.073,60</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-6,86</w:t>
            </w:r>
          </w:p>
        </w:tc>
      </w:tr>
      <w:tr w:rsidR="0099399A" w:rsidRPr="00422D1D" w:rsidTr="00F678BD">
        <w:trPr>
          <w:trHeight w:val="332"/>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Weighted Average MCP</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TL/MWh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168,12</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233,101</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38,65</w:t>
            </w:r>
          </w:p>
        </w:tc>
      </w:tr>
      <w:tr w:rsidR="0099399A" w:rsidRPr="00422D1D" w:rsidTr="00F678BD">
        <w:trPr>
          <w:trHeight w:val="382"/>
        </w:trPr>
        <w:tc>
          <w:tcPr>
            <w:tcW w:w="2943" w:type="dxa"/>
            <w:tcBorders>
              <w:top w:val="single" w:sz="4" w:space="0" w:color="auto"/>
              <w:left w:val="single" w:sz="4" w:space="0" w:color="auto"/>
              <w:bottom w:val="single" w:sz="4" w:space="0" w:color="auto"/>
              <w:right w:val="single" w:sz="4" w:space="0" w:color="auto"/>
            </w:tcBorders>
            <w:shd w:val="clear" w:color="auto" w:fill="FF5050"/>
            <w:vAlign w:val="center"/>
          </w:tcPr>
          <w:p w:rsidR="0099399A" w:rsidRPr="00422D1D" w:rsidRDefault="0099399A" w:rsidP="0099399A">
            <w:pPr>
              <w:jc w:val="both"/>
              <w:rPr>
                <w:rFonts w:ascii="Times New Roman" w:eastAsia="Times New Roman" w:hAnsi="Times New Roman"/>
                <w:b/>
                <w:color w:val="FFFFFF" w:themeColor="background1"/>
                <w:lang w:eastAsia="tr-TR"/>
              </w:rPr>
            </w:pPr>
            <w:r w:rsidRPr="00422D1D">
              <w:rPr>
                <w:rFonts w:ascii="Times New Roman" w:eastAsia="Times New Roman" w:hAnsi="Times New Roman"/>
                <w:b/>
                <w:color w:val="FFFFFF" w:themeColor="background1"/>
                <w:lang w:eastAsia="tr-TR"/>
              </w:rPr>
              <w:t>Weighted Average SMP</w:t>
            </w:r>
          </w:p>
        </w:tc>
        <w:tc>
          <w:tcPr>
            <w:tcW w:w="1134" w:type="dxa"/>
            <w:tcBorders>
              <w:top w:val="single" w:sz="4" w:space="0" w:color="auto"/>
              <w:left w:val="single" w:sz="4" w:space="0" w:color="auto"/>
              <w:bottom w:val="single" w:sz="4" w:space="0" w:color="auto"/>
              <w:right w:val="single" w:sz="4" w:space="0" w:color="auto"/>
            </w:tcBorders>
            <w:vAlign w:val="center"/>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TL/MWh</w:t>
            </w:r>
          </w:p>
        </w:tc>
        <w:tc>
          <w:tcPr>
            <w:tcW w:w="1985"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164,78</w:t>
            </w:r>
          </w:p>
        </w:tc>
        <w:tc>
          <w:tcPr>
            <w:tcW w:w="212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234,436</w:t>
            </w:r>
          </w:p>
        </w:tc>
        <w:tc>
          <w:tcPr>
            <w:tcW w:w="1276" w:type="dxa"/>
            <w:tcBorders>
              <w:top w:val="single" w:sz="4" w:space="0" w:color="auto"/>
              <w:left w:val="single" w:sz="4" w:space="0" w:color="auto"/>
              <w:bottom w:val="single" w:sz="4" w:space="0" w:color="auto"/>
              <w:right w:val="single" w:sz="4" w:space="0" w:color="auto"/>
            </w:tcBorders>
            <w:vAlign w:val="bottom"/>
          </w:tcPr>
          <w:p w:rsidR="0099399A" w:rsidRPr="00422D1D" w:rsidRDefault="0099399A" w:rsidP="0099399A">
            <w:pPr>
              <w:jc w:val="both"/>
              <w:rPr>
                <w:rFonts w:ascii="Times New Roman" w:eastAsia="Times New Roman" w:hAnsi="Times New Roman"/>
                <w:color w:val="000000"/>
                <w:lang w:eastAsia="tr-TR"/>
              </w:rPr>
            </w:pPr>
            <w:r w:rsidRPr="00422D1D">
              <w:rPr>
                <w:rFonts w:ascii="Times New Roman" w:eastAsia="Times New Roman" w:hAnsi="Times New Roman"/>
                <w:color w:val="000000"/>
                <w:lang w:eastAsia="tr-TR"/>
              </w:rPr>
              <w:t>42,27</w:t>
            </w:r>
          </w:p>
        </w:tc>
      </w:tr>
    </w:tbl>
    <w:p w:rsidR="0099399A" w:rsidRPr="00422D1D" w:rsidRDefault="0099399A" w:rsidP="0099399A">
      <w:pPr>
        <w:spacing w:line="240" w:lineRule="auto"/>
        <w:jc w:val="both"/>
        <w:rPr>
          <w:rFonts w:ascii="Times New Roman" w:eastAsia="Times New Roman" w:hAnsi="Times New Roman" w:cs="Times New Roman"/>
          <w:color w:val="000000"/>
          <w:lang w:eastAsia="tr-TR"/>
        </w:rPr>
      </w:pPr>
    </w:p>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*Licensed Generation: Includes the installed capacity and generation values of Independent Generation Companies, Build-Operate, Transfer of Operating Rights and Build-Operate-Transfer Power Plants.</w:t>
      </w:r>
    </w:p>
    <w:p w:rsidR="0099399A" w:rsidRPr="00422D1D" w:rsidRDefault="0099399A" w:rsidP="0099399A">
      <w:pPr>
        <w:spacing w:line="240" w:lineRule="auto"/>
        <w:jc w:val="both"/>
        <w:rPr>
          <w:rFonts w:ascii="Times New Roman" w:eastAsia="Times New Roman" w:hAnsi="Times New Roman" w:cs="Times New Roman"/>
          <w:color w:val="000000"/>
          <w:lang w:eastAsia="tr-TR"/>
        </w:rPr>
      </w:pPr>
    </w:p>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**Unlicensed Generation: Generation in accordance with Article 14 of the Electricity Market Law No. 6446, that is granted to the system as a surplus by those who are exempted from the ob</w:t>
      </w:r>
      <w:r w:rsidR="0099731C">
        <w:rPr>
          <w:rFonts w:ascii="Times New Roman" w:eastAsia="Times New Roman" w:hAnsi="Times New Roman" w:cs="Times New Roman"/>
          <w:color w:val="000000"/>
          <w:lang w:eastAsia="tr-TR"/>
        </w:rPr>
        <w:t xml:space="preserve">ligation to obtain license and </w:t>
      </w:r>
      <w:r w:rsidRPr="00422D1D">
        <w:rPr>
          <w:rFonts w:ascii="Times New Roman" w:eastAsia="Times New Roman" w:hAnsi="Times New Roman" w:cs="Times New Roman"/>
          <w:color w:val="000000"/>
          <w:lang w:eastAsia="tr-TR"/>
        </w:rPr>
        <w:t xml:space="preserve">a company. </w:t>
      </w:r>
    </w:p>
    <w:p w:rsidR="0099399A" w:rsidRPr="00422D1D" w:rsidRDefault="0099399A" w:rsidP="0099399A">
      <w:pPr>
        <w:spacing w:line="240" w:lineRule="auto"/>
        <w:jc w:val="both"/>
        <w:rPr>
          <w:rFonts w:ascii="Times New Roman" w:eastAsia="Times New Roman" w:hAnsi="Times New Roman" w:cs="Times New Roman"/>
          <w:color w:val="000000"/>
          <w:lang w:eastAsia="tr-TR"/>
        </w:rPr>
      </w:pPr>
    </w:p>
    <w:p w:rsidR="0099399A" w:rsidRPr="00422D1D" w:rsidRDefault="0099399A" w:rsidP="0099399A">
      <w:pPr>
        <w:spacing w:line="240" w:lineRule="auto"/>
        <w:jc w:val="both"/>
        <w:rPr>
          <w:rFonts w:ascii="Times New Roman" w:hAnsi="Times New Roman" w:cs="Times New Roman"/>
          <w:bCs/>
        </w:rPr>
      </w:pPr>
      <w:r w:rsidRPr="00422D1D">
        <w:rPr>
          <w:rFonts w:ascii="Times New Roman" w:hAnsi="Times New Roman" w:cs="Times New Roman"/>
          <w:bCs/>
        </w:rPr>
        <w:lastRenderedPageBreak/>
        <w:t xml:space="preserve">*** </w:t>
      </w:r>
      <w:r w:rsidR="00944835">
        <w:rPr>
          <w:rFonts w:ascii="Times New Roman" w:hAnsi="Times New Roman" w:cs="Times New Roman"/>
          <w:bCs/>
        </w:rPr>
        <w:t>RESSUM</w:t>
      </w:r>
      <w:r w:rsidRPr="00422D1D">
        <w:rPr>
          <w:rFonts w:ascii="Times New Roman" w:hAnsi="Times New Roman" w:cs="Times New Roman"/>
          <w:bCs/>
        </w:rPr>
        <w:t xml:space="preserve"> generation includes unlicensed generation values. </w:t>
      </w:r>
    </w:p>
    <w:p w:rsidR="0099399A" w:rsidRPr="00422D1D" w:rsidRDefault="0099399A" w:rsidP="0099399A">
      <w:pPr>
        <w:spacing w:line="240" w:lineRule="auto"/>
        <w:jc w:val="both"/>
        <w:rPr>
          <w:rFonts w:ascii="Times New Roman" w:hAnsi="Times New Roman" w:cs="Times New Roman"/>
          <w:bCs/>
        </w:rPr>
      </w:pPr>
    </w:p>
    <w:p w:rsidR="0099399A" w:rsidRPr="00422D1D" w:rsidRDefault="0099399A" w:rsidP="0099399A">
      <w:pPr>
        <w:jc w:val="both"/>
        <w:rPr>
          <w:rFonts w:ascii="Times New Roman" w:hAnsi="Times New Roman" w:cs="Times New Roman"/>
          <w:bCs/>
        </w:rPr>
      </w:pPr>
      <w:r w:rsidRPr="00422D1D">
        <w:rPr>
          <w:rFonts w:ascii="Times New Roman" w:hAnsi="Times New Roman" w:cs="Times New Roman"/>
          <w:bCs/>
        </w:rPr>
        <w:t xml:space="preserve">**** </w:t>
      </w:r>
      <w:r w:rsidR="00944835">
        <w:rPr>
          <w:rFonts w:ascii="Times New Roman" w:hAnsi="Times New Roman" w:cs="Times New Roman"/>
          <w:bCs/>
        </w:rPr>
        <w:t>RESSUM</w:t>
      </w:r>
      <w:r w:rsidRPr="00422D1D">
        <w:rPr>
          <w:rFonts w:ascii="Times New Roman" w:hAnsi="Times New Roman" w:cs="Times New Roman"/>
          <w:bCs/>
        </w:rPr>
        <w:t xml:space="preserve"> additional cost:</w:t>
      </w:r>
      <w:r w:rsidRPr="00422D1D">
        <w:rPr>
          <w:rFonts w:ascii="Times New Roman" w:hAnsi="Times New Roman" w:cs="Times New Roman"/>
          <w:sz w:val="24"/>
          <w:szCs w:val="24"/>
        </w:rPr>
        <w:t xml:space="preserve"> Additional cost to the weighted average MCP for </w:t>
      </w:r>
      <w:r w:rsidR="00944835">
        <w:rPr>
          <w:rFonts w:ascii="Times New Roman" w:hAnsi="Times New Roman" w:cs="Times New Roman"/>
          <w:sz w:val="24"/>
          <w:szCs w:val="24"/>
        </w:rPr>
        <w:t>RESSUM</w:t>
      </w:r>
      <w:r w:rsidRPr="00422D1D">
        <w:rPr>
          <w:rFonts w:ascii="Times New Roman" w:hAnsi="Times New Roman" w:cs="Times New Roman"/>
          <w:sz w:val="24"/>
          <w:szCs w:val="24"/>
        </w:rPr>
        <w:t xml:space="preserve"> per invoiced unit energy amount</w:t>
      </w:r>
      <w:r w:rsidRPr="00422D1D">
        <w:rPr>
          <w:rFonts w:ascii="Times New Roman" w:hAnsi="Times New Roman" w:cs="Times New Roman"/>
          <w:bCs/>
        </w:rPr>
        <w:t xml:space="preserve"> </w:t>
      </w:r>
    </w:p>
    <w:p w:rsidR="0099399A" w:rsidRPr="00422D1D" w:rsidRDefault="0099399A" w:rsidP="0099399A">
      <w:pPr>
        <w:spacing w:line="240" w:lineRule="auto"/>
        <w:jc w:val="both"/>
        <w:rPr>
          <w:rFonts w:ascii="Times New Roman" w:hAnsi="Times New Roman" w:cs="Times New Roman"/>
          <w:sz w:val="24"/>
          <w:szCs w:val="24"/>
        </w:rPr>
      </w:pPr>
    </w:p>
    <w:p w:rsidR="0099399A" w:rsidRPr="00422D1D" w:rsidRDefault="0099399A" w:rsidP="0099399A">
      <w:pPr>
        <w:spacing w:line="240" w:lineRule="auto"/>
        <w:jc w:val="both"/>
        <w:rPr>
          <w:rFonts w:ascii="Times New Roman" w:hAnsi="Times New Roman" w:cs="Times New Roman"/>
          <w:bCs/>
          <w:sz w:val="24"/>
          <w:szCs w:val="24"/>
        </w:rPr>
        <w:sectPr w:rsidR="0099399A" w:rsidRPr="00422D1D" w:rsidSect="0099399A">
          <w:footerReference w:type="default" r:id="rId12"/>
          <w:type w:val="continuous"/>
          <w:pgSz w:w="12240" w:h="15840"/>
          <w:pgMar w:top="1417" w:right="1417" w:bottom="1417" w:left="1417" w:header="708" w:footer="708" w:gutter="0"/>
          <w:pgNumType w:fmt="lowerRoman"/>
          <w:cols w:space="708"/>
          <w:docGrid w:linePitch="360"/>
        </w:sectPr>
      </w:pPr>
    </w:p>
    <w:sdt>
      <w:sdtPr>
        <w:rPr>
          <w:lang w:val="tr-TR"/>
        </w:rPr>
        <w:id w:val="1097444013"/>
        <w:docPartObj>
          <w:docPartGallery w:val="Table of Contents"/>
          <w:docPartUnique/>
        </w:docPartObj>
      </w:sdtPr>
      <w:sdtEndPr>
        <w:rPr>
          <w:rFonts w:asciiTheme="majorHAnsi" w:hAnsiTheme="majorHAnsi"/>
          <w:bCs/>
          <w:sz w:val="22"/>
          <w:szCs w:val="22"/>
          <w:lang w:bidi="en-US"/>
        </w:rPr>
      </w:sdtEndPr>
      <w:sdtContent>
        <w:p w:rsidR="003E70AB" w:rsidRPr="00B25F9A" w:rsidRDefault="00B25F9A">
          <w:pPr>
            <w:pStyle w:val="TBal"/>
          </w:pPr>
          <w:r w:rsidRPr="00B25F9A">
            <w:t>Table of Contents</w:t>
          </w:r>
        </w:p>
        <w:p w:rsidR="00944835" w:rsidRDefault="003E70AB">
          <w:pPr>
            <w:pStyle w:val="T1"/>
            <w:tabs>
              <w:tab w:val="right" w:leader="dot" w:pos="9062"/>
            </w:tabs>
            <w:rPr>
              <w:rFonts w:eastAsiaTheme="minorEastAsia"/>
              <w:noProof/>
            </w:rPr>
          </w:pPr>
          <w:r>
            <w:rPr>
              <w:b/>
              <w:bCs/>
              <w:lang w:val="tr-TR"/>
            </w:rPr>
            <w:fldChar w:fldCharType="begin"/>
          </w:r>
          <w:r>
            <w:rPr>
              <w:b/>
              <w:bCs/>
              <w:lang w:val="tr-TR"/>
            </w:rPr>
            <w:instrText xml:space="preserve"> TOC \h \z \t "BAŞLIKLAR;1;1.1 ile başlayanlar;2;Ana Başlıklar;1" </w:instrText>
          </w:r>
          <w:r>
            <w:rPr>
              <w:b/>
              <w:bCs/>
              <w:lang w:val="tr-TR"/>
            </w:rPr>
            <w:fldChar w:fldCharType="separate"/>
          </w:r>
          <w:hyperlink w:anchor="_Toc12528932" w:history="1">
            <w:r w:rsidR="00944835" w:rsidRPr="00B6188B">
              <w:rPr>
                <w:rStyle w:val="Kpr"/>
                <w:noProof/>
              </w:rPr>
              <w:t>1. LICENSED GENERATION AND INSTALLED CAPACITY, UNLICENSED GENERATION, CONSUMPTION, IMPORT AND EXPORT</w:t>
            </w:r>
            <w:r w:rsidR="00944835">
              <w:rPr>
                <w:noProof/>
                <w:webHidden/>
              </w:rPr>
              <w:tab/>
            </w:r>
            <w:r w:rsidR="00944835">
              <w:rPr>
                <w:noProof/>
                <w:webHidden/>
              </w:rPr>
              <w:fldChar w:fldCharType="begin"/>
            </w:r>
            <w:r w:rsidR="00944835">
              <w:rPr>
                <w:noProof/>
                <w:webHidden/>
              </w:rPr>
              <w:instrText xml:space="preserve"> PAGEREF _Toc12528932 \h </w:instrText>
            </w:r>
            <w:r w:rsidR="00944835">
              <w:rPr>
                <w:noProof/>
                <w:webHidden/>
              </w:rPr>
            </w:r>
            <w:r w:rsidR="00944835">
              <w:rPr>
                <w:noProof/>
                <w:webHidden/>
              </w:rPr>
              <w:fldChar w:fldCharType="separate"/>
            </w:r>
            <w:r w:rsidR="00944835">
              <w:rPr>
                <w:noProof/>
                <w:webHidden/>
              </w:rPr>
              <w:t>17</w:t>
            </w:r>
            <w:r w:rsidR="00944835">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33" w:history="1">
            <w:r w:rsidRPr="00B6188B">
              <w:rPr>
                <w:rStyle w:val="Kpr"/>
                <w:noProof/>
              </w:rPr>
              <w:t xml:space="preserve">1.1 </w:t>
            </w:r>
            <w:r w:rsidRPr="00B6188B">
              <w:rPr>
                <w:rStyle w:val="Kpr"/>
                <w:rFonts w:cs="Times New Roman"/>
                <w:noProof/>
                <w:spacing w:val="15"/>
                <w:lang w:bidi="en-US"/>
              </w:rPr>
              <w:t>Overview</w:t>
            </w:r>
            <w:r>
              <w:rPr>
                <w:noProof/>
                <w:webHidden/>
              </w:rPr>
              <w:tab/>
            </w:r>
            <w:r>
              <w:rPr>
                <w:noProof/>
                <w:webHidden/>
              </w:rPr>
              <w:fldChar w:fldCharType="begin"/>
            </w:r>
            <w:r>
              <w:rPr>
                <w:noProof/>
                <w:webHidden/>
              </w:rPr>
              <w:instrText xml:space="preserve"> PAGEREF _Toc12528933 \h </w:instrText>
            </w:r>
            <w:r>
              <w:rPr>
                <w:noProof/>
                <w:webHidden/>
              </w:rPr>
            </w:r>
            <w:r>
              <w:rPr>
                <w:noProof/>
                <w:webHidden/>
              </w:rPr>
              <w:fldChar w:fldCharType="separate"/>
            </w:r>
            <w:r>
              <w:rPr>
                <w:noProof/>
                <w:webHidden/>
              </w:rPr>
              <w:t>17</w:t>
            </w:r>
            <w:r>
              <w:rPr>
                <w:noProof/>
                <w:webHidden/>
              </w:rPr>
              <w:fldChar w:fldCharType="end"/>
            </w:r>
          </w:hyperlink>
        </w:p>
        <w:p w:rsidR="00944835" w:rsidRDefault="00944835">
          <w:pPr>
            <w:pStyle w:val="T2"/>
            <w:tabs>
              <w:tab w:val="right" w:leader="dot" w:pos="9062"/>
            </w:tabs>
            <w:rPr>
              <w:rFonts w:eastAsiaTheme="minorEastAsia"/>
              <w:noProof/>
            </w:rPr>
          </w:pPr>
          <w:hyperlink w:anchor="_Toc12528934" w:history="1">
            <w:r w:rsidRPr="00B6188B">
              <w:rPr>
                <w:rStyle w:val="Kpr"/>
                <w:noProof/>
                <w:lang w:bidi="en-US"/>
              </w:rPr>
              <w:t>1.2 Licensed Generation</w:t>
            </w:r>
            <w:r>
              <w:rPr>
                <w:noProof/>
                <w:webHidden/>
              </w:rPr>
              <w:tab/>
            </w:r>
            <w:r>
              <w:rPr>
                <w:noProof/>
                <w:webHidden/>
              </w:rPr>
              <w:fldChar w:fldCharType="begin"/>
            </w:r>
            <w:r>
              <w:rPr>
                <w:noProof/>
                <w:webHidden/>
              </w:rPr>
              <w:instrText xml:space="preserve"> PAGEREF _Toc12528934 \h </w:instrText>
            </w:r>
            <w:r>
              <w:rPr>
                <w:noProof/>
                <w:webHidden/>
              </w:rPr>
            </w:r>
            <w:r>
              <w:rPr>
                <w:noProof/>
                <w:webHidden/>
              </w:rPr>
              <w:fldChar w:fldCharType="separate"/>
            </w:r>
            <w:r>
              <w:rPr>
                <w:noProof/>
                <w:webHidden/>
              </w:rPr>
              <w:t>18</w:t>
            </w:r>
            <w:r>
              <w:rPr>
                <w:noProof/>
                <w:webHidden/>
              </w:rPr>
              <w:fldChar w:fldCharType="end"/>
            </w:r>
          </w:hyperlink>
        </w:p>
        <w:p w:rsidR="00944835" w:rsidRDefault="00944835">
          <w:pPr>
            <w:pStyle w:val="T2"/>
            <w:tabs>
              <w:tab w:val="right" w:leader="dot" w:pos="9062"/>
            </w:tabs>
            <w:rPr>
              <w:rFonts w:eastAsiaTheme="minorEastAsia"/>
              <w:noProof/>
            </w:rPr>
          </w:pPr>
          <w:hyperlink w:anchor="_Toc12528935" w:history="1">
            <w:r w:rsidRPr="00B6188B">
              <w:rPr>
                <w:rStyle w:val="Kpr"/>
                <w:noProof/>
                <w:lang w:bidi="en-US"/>
              </w:rPr>
              <w:t>1.3 Licensed Installed Capacity</w:t>
            </w:r>
            <w:r>
              <w:rPr>
                <w:noProof/>
                <w:webHidden/>
              </w:rPr>
              <w:tab/>
            </w:r>
            <w:r>
              <w:rPr>
                <w:noProof/>
                <w:webHidden/>
              </w:rPr>
              <w:fldChar w:fldCharType="begin"/>
            </w:r>
            <w:r>
              <w:rPr>
                <w:noProof/>
                <w:webHidden/>
              </w:rPr>
              <w:instrText xml:space="preserve"> PAGEREF _Toc12528935 \h </w:instrText>
            </w:r>
            <w:r>
              <w:rPr>
                <w:noProof/>
                <w:webHidden/>
              </w:rPr>
            </w:r>
            <w:r>
              <w:rPr>
                <w:noProof/>
                <w:webHidden/>
              </w:rPr>
              <w:fldChar w:fldCharType="separate"/>
            </w:r>
            <w:r>
              <w:rPr>
                <w:noProof/>
                <w:webHidden/>
              </w:rPr>
              <w:t>26</w:t>
            </w:r>
            <w:r>
              <w:rPr>
                <w:noProof/>
                <w:webHidden/>
              </w:rPr>
              <w:fldChar w:fldCharType="end"/>
            </w:r>
          </w:hyperlink>
        </w:p>
        <w:p w:rsidR="00944835" w:rsidRDefault="00944835">
          <w:pPr>
            <w:pStyle w:val="T2"/>
            <w:tabs>
              <w:tab w:val="right" w:leader="dot" w:pos="9062"/>
            </w:tabs>
            <w:rPr>
              <w:rFonts w:eastAsiaTheme="minorEastAsia"/>
              <w:noProof/>
            </w:rPr>
          </w:pPr>
          <w:hyperlink w:anchor="_Toc12528936" w:history="1">
            <w:r w:rsidRPr="00B6188B">
              <w:rPr>
                <w:rStyle w:val="Kpr"/>
                <w:noProof/>
                <w:lang w:bidi="en-US"/>
              </w:rPr>
              <w:t>1.3.1 Capacity Mechanism</w:t>
            </w:r>
            <w:r>
              <w:rPr>
                <w:noProof/>
                <w:webHidden/>
              </w:rPr>
              <w:tab/>
            </w:r>
            <w:r>
              <w:rPr>
                <w:noProof/>
                <w:webHidden/>
              </w:rPr>
              <w:fldChar w:fldCharType="begin"/>
            </w:r>
            <w:r>
              <w:rPr>
                <w:noProof/>
                <w:webHidden/>
              </w:rPr>
              <w:instrText xml:space="preserve"> PAGEREF _Toc12528936 \h </w:instrText>
            </w:r>
            <w:r>
              <w:rPr>
                <w:noProof/>
                <w:webHidden/>
              </w:rPr>
            </w:r>
            <w:r>
              <w:rPr>
                <w:noProof/>
                <w:webHidden/>
              </w:rPr>
              <w:fldChar w:fldCharType="separate"/>
            </w:r>
            <w:r>
              <w:rPr>
                <w:noProof/>
                <w:webHidden/>
              </w:rPr>
              <w:t>32</w:t>
            </w:r>
            <w:r>
              <w:rPr>
                <w:noProof/>
                <w:webHidden/>
              </w:rPr>
              <w:fldChar w:fldCharType="end"/>
            </w:r>
          </w:hyperlink>
        </w:p>
        <w:p w:rsidR="00944835" w:rsidRDefault="00944835">
          <w:pPr>
            <w:pStyle w:val="T2"/>
            <w:tabs>
              <w:tab w:val="right" w:leader="dot" w:pos="9062"/>
            </w:tabs>
            <w:rPr>
              <w:rFonts w:eastAsiaTheme="minorEastAsia"/>
              <w:noProof/>
            </w:rPr>
          </w:pPr>
          <w:hyperlink w:anchor="_Toc12528937" w:history="1">
            <w:r w:rsidRPr="00B6188B">
              <w:rPr>
                <w:rStyle w:val="Kpr"/>
                <w:noProof/>
                <w:lang w:bidi="en-US"/>
              </w:rPr>
              <w:t>1.4 Unlicensed Generation</w:t>
            </w:r>
            <w:r>
              <w:rPr>
                <w:noProof/>
                <w:webHidden/>
              </w:rPr>
              <w:tab/>
            </w:r>
            <w:r>
              <w:rPr>
                <w:noProof/>
                <w:webHidden/>
              </w:rPr>
              <w:fldChar w:fldCharType="begin"/>
            </w:r>
            <w:r>
              <w:rPr>
                <w:noProof/>
                <w:webHidden/>
              </w:rPr>
              <w:instrText xml:space="preserve"> PAGEREF _Toc12528937 \h </w:instrText>
            </w:r>
            <w:r>
              <w:rPr>
                <w:noProof/>
                <w:webHidden/>
              </w:rPr>
            </w:r>
            <w:r>
              <w:rPr>
                <w:noProof/>
                <w:webHidden/>
              </w:rPr>
              <w:fldChar w:fldCharType="separate"/>
            </w:r>
            <w:r>
              <w:rPr>
                <w:noProof/>
                <w:webHidden/>
              </w:rPr>
              <w:t>33</w:t>
            </w:r>
            <w:r>
              <w:rPr>
                <w:noProof/>
                <w:webHidden/>
              </w:rPr>
              <w:fldChar w:fldCharType="end"/>
            </w:r>
          </w:hyperlink>
        </w:p>
        <w:p w:rsidR="00944835" w:rsidRDefault="00944835">
          <w:pPr>
            <w:pStyle w:val="T2"/>
            <w:tabs>
              <w:tab w:val="right" w:leader="dot" w:pos="9062"/>
            </w:tabs>
            <w:rPr>
              <w:rFonts w:eastAsiaTheme="minorEastAsia"/>
              <w:noProof/>
            </w:rPr>
          </w:pPr>
          <w:hyperlink w:anchor="_Toc12528938" w:history="1">
            <w:r w:rsidRPr="00B6188B">
              <w:rPr>
                <w:rStyle w:val="Kpr"/>
                <w:noProof/>
                <w:lang w:bidi="en-US"/>
              </w:rPr>
              <w:t>1.5 Invoiced Electricity Consumption</w:t>
            </w:r>
            <w:r>
              <w:rPr>
                <w:noProof/>
                <w:webHidden/>
              </w:rPr>
              <w:tab/>
            </w:r>
            <w:r>
              <w:rPr>
                <w:noProof/>
                <w:webHidden/>
              </w:rPr>
              <w:fldChar w:fldCharType="begin"/>
            </w:r>
            <w:r>
              <w:rPr>
                <w:noProof/>
                <w:webHidden/>
              </w:rPr>
              <w:instrText xml:space="preserve"> PAGEREF _Toc12528938 \h </w:instrText>
            </w:r>
            <w:r>
              <w:rPr>
                <w:noProof/>
                <w:webHidden/>
              </w:rPr>
            </w:r>
            <w:r>
              <w:rPr>
                <w:noProof/>
                <w:webHidden/>
              </w:rPr>
              <w:fldChar w:fldCharType="separate"/>
            </w:r>
            <w:r>
              <w:rPr>
                <w:noProof/>
                <w:webHidden/>
              </w:rPr>
              <w:t>44</w:t>
            </w:r>
            <w:r>
              <w:rPr>
                <w:noProof/>
                <w:webHidden/>
              </w:rPr>
              <w:fldChar w:fldCharType="end"/>
            </w:r>
          </w:hyperlink>
        </w:p>
        <w:p w:rsidR="00944835" w:rsidRDefault="00944835">
          <w:pPr>
            <w:pStyle w:val="T2"/>
            <w:tabs>
              <w:tab w:val="right" w:leader="dot" w:pos="9062"/>
            </w:tabs>
            <w:rPr>
              <w:rFonts w:eastAsiaTheme="minorEastAsia"/>
              <w:noProof/>
            </w:rPr>
          </w:pPr>
          <w:hyperlink w:anchor="_Toc12528939" w:history="1">
            <w:r w:rsidRPr="00B6188B">
              <w:rPr>
                <w:rStyle w:val="Kpr"/>
                <w:noProof/>
                <w:lang w:bidi="en-US"/>
              </w:rPr>
              <w:t>1.6 Import and Export</w:t>
            </w:r>
            <w:r>
              <w:rPr>
                <w:noProof/>
                <w:webHidden/>
              </w:rPr>
              <w:tab/>
            </w:r>
            <w:r>
              <w:rPr>
                <w:noProof/>
                <w:webHidden/>
              </w:rPr>
              <w:fldChar w:fldCharType="begin"/>
            </w:r>
            <w:r>
              <w:rPr>
                <w:noProof/>
                <w:webHidden/>
              </w:rPr>
              <w:instrText xml:space="preserve"> PAGEREF _Toc12528939 \h </w:instrText>
            </w:r>
            <w:r>
              <w:rPr>
                <w:noProof/>
                <w:webHidden/>
              </w:rPr>
            </w:r>
            <w:r>
              <w:rPr>
                <w:noProof/>
                <w:webHidden/>
              </w:rPr>
              <w:fldChar w:fldCharType="separate"/>
            </w:r>
            <w:r>
              <w:rPr>
                <w:noProof/>
                <w:webHidden/>
              </w:rPr>
              <w:t>56</w:t>
            </w:r>
            <w:r>
              <w:rPr>
                <w:noProof/>
                <w:webHidden/>
              </w:rPr>
              <w:fldChar w:fldCharType="end"/>
            </w:r>
          </w:hyperlink>
        </w:p>
        <w:p w:rsidR="00944835" w:rsidRDefault="00944835">
          <w:pPr>
            <w:pStyle w:val="T2"/>
            <w:tabs>
              <w:tab w:val="right" w:leader="dot" w:pos="9062"/>
            </w:tabs>
            <w:rPr>
              <w:rFonts w:eastAsiaTheme="minorEastAsia"/>
              <w:noProof/>
            </w:rPr>
          </w:pPr>
          <w:hyperlink w:anchor="_Toc12528940" w:history="1">
            <w:r w:rsidRPr="00B6188B">
              <w:rPr>
                <w:rStyle w:val="Kpr"/>
                <w:noProof/>
                <w:lang w:bidi="en-US"/>
              </w:rPr>
              <w:t>1.6.1 Import</w:t>
            </w:r>
            <w:r>
              <w:rPr>
                <w:noProof/>
                <w:webHidden/>
              </w:rPr>
              <w:tab/>
            </w:r>
            <w:r>
              <w:rPr>
                <w:noProof/>
                <w:webHidden/>
              </w:rPr>
              <w:fldChar w:fldCharType="begin"/>
            </w:r>
            <w:r>
              <w:rPr>
                <w:noProof/>
                <w:webHidden/>
              </w:rPr>
              <w:instrText xml:space="preserve"> PAGEREF _Toc12528940 \h </w:instrText>
            </w:r>
            <w:r>
              <w:rPr>
                <w:noProof/>
                <w:webHidden/>
              </w:rPr>
            </w:r>
            <w:r>
              <w:rPr>
                <w:noProof/>
                <w:webHidden/>
              </w:rPr>
              <w:fldChar w:fldCharType="separate"/>
            </w:r>
            <w:r>
              <w:rPr>
                <w:noProof/>
                <w:webHidden/>
              </w:rPr>
              <w:t>56</w:t>
            </w:r>
            <w:r>
              <w:rPr>
                <w:noProof/>
                <w:webHidden/>
              </w:rPr>
              <w:fldChar w:fldCharType="end"/>
            </w:r>
          </w:hyperlink>
        </w:p>
        <w:p w:rsidR="00944835" w:rsidRDefault="00944835">
          <w:pPr>
            <w:pStyle w:val="T2"/>
            <w:tabs>
              <w:tab w:val="right" w:leader="dot" w:pos="9062"/>
            </w:tabs>
            <w:rPr>
              <w:rFonts w:eastAsiaTheme="minorEastAsia"/>
              <w:noProof/>
            </w:rPr>
          </w:pPr>
          <w:hyperlink w:anchor="_Toc12528941" w:history="1">
            <w:r w:rsidRPr="00B6188B">
              <w:rPr>
                <w:rStyle w:val="Kpr"/>
                <w:noProof/>
                <w:lang w:bidi="en-US"/>
              </w:rPr>
              <w:t>1.6.2 Export</w:t>
            </w:r>
            <w:r>
              <w:rPr>
                <w:noProof/>
                <w:webHidden/>
              </w:rPr>
              <w:tab/>
            </w:r>
            <w:r>
              <w:rPr>
                <w:noProof/>
                <w:webHidden/>
              </w:rPr>
              <w:fldChar w:fldCharType="begin"/>
            </w:r>
            <w:r>
              <w:rPr>
                <w:noProof/>
                <w:webHidden/>
              </w:rPr>
              <w:instrText xml:space="preserve"> PAGEREF _Toc12528941 \h </w:instrText>
            </w:r>
            <w:r>
              <w:rPr>
                <w:noProof/>
                <w:webHidden/>
              </w:rPr>
            </w:r>
            <w:r>
              <w:rPr>
                <w:noProof/>
                <w:webHidden/>
              </w:rPr>
              <w:fldChar w:fldCharType="separate"/>
            </w:r>
            <w:r>
              <w:rPr>
                <w:noProof/>
                <w:webHidden/>
              </w:rPr>
              <w:t>56</w:t>
            </w:r>
            <w:r>
              <w:rPr>
                <w:noProof/>
                <w:webHidden/>
              </w:rPr>
              <w:fldChar w:fldCharType="end"/>
            </w:r>
          </w:hyperlink>
        </w:p>
        <w:p w:rsidR="00944835" w:rsidRDefault="00944835">
          <w:pPr>
            <w:pStyle w:val="T1"/>
            <w:tabs>
              <w:tab w:val="left" w:pos="440"/>
              <w:tab w:val="right" w:leader="dot" w:pos="9062"/>
            </w:tabs>
            <w:rPr>
              <w:rFonts w:eastAsiaTheme="minorEastAsia"/>
              <w:noProof/>
            </w:rPr>
          </w:pPr>
          <w:hyperlink w:anchor="_Toc12528942" w:history="1">
            <w:r w:rsidRPr="00B6188B">
              <w:rPr>
                <w:rStyle w:val="Kpr"/>
                <w:noProof/>
              </w:rPr>
              <w:t>2.</w:t>
            </w:r>
            <w:r>
              <w:rPr>
                <w:rFonts w:eastAsiaTheme="minorEastAsia"/>
                <w:noProof/>
              </w:rPr>
              <w:tab/>
            </w:r>
            <w:r w:rsidRPr="00B6188B">
              <w:rPr>
                <w:rStyle w:val="Kpr"/>
                <w:noProof/>
              </w:rPr>
              <w:t>WHOLESALE MARKET</w:t>
            </w:r>
            <w:r>
              <w:rPr>
                <w:noProof/>
                <w:webHidden/>
              </w:rPr>
              <w:tab/>
            </w:r>
            <w:r>
              <w:rPr>
                <w:noProof/>
                <w:webHidden/>
              </w:rPr>
              <w:fldChar w:fldCharType="begin"/>
            </w:r>
            <w:r>
              <w:rPr>
                <w:noProof/>
                <w:webHidden/>
              </w:rPr>
              <w:instrText xml:space="preserve"> PAGEREF _Toc12528942 \h </w:instrText>
            </w:r>
            <w:r>
              <w:rPr>
                <w:noProof/>
                <w:webHidden/>
              </w:rPr>
            </w:r>
            <w:r>
              <w:rPr>
                <w:noProof/>
                <w:webHidden/>
              </w:rPr>
              <w:fldChar w:fldCharType="separate"/>
            </w:r>
            <w:r>
              <w:rPr>
                <w:noProof/>
                <w:webHidden/>
              </w:rPr>
              <w:t>57</w:t>
            </w:r>
            <w:r>
              <w:rPr>
                <w:noProof/>
                <w:webHidden/>
              </w:rPr>
              <w:fldChar w:fldCharType="end"/>
            </w:r>
          </w:hyperlink>
        </w:p>
        <w:p w:rsidR="00944835" w:rsidRDefault="00944835">
          <w:pPr>
            <w:pStyle w:val="T2"/>
            <w:tabs>
              <w:tab w:val="right" w:leader="dot" w:pos="9062"/>
            </w:tabs>
            <w:rPr>
              <w:rFonts w:eastAsiaTheme="minorEastAsia"/>
              <w:noProof/>
            </w:rPr>
          </w:pPr>
          <w:hyperlink w:anchor="_Toc12528943" w:history="1">
            <w:r w:rsidRPr="00B6188B">
              <w:rPr>
                <w:rStyle w:val="Kpr"/>
                <w:noProof/>
                <w:lang w:bidi="en-US"/>
              </w:rPr>
              <w:t>2.1 Day-Ahead Market</w:t>
            </w:r>
            <w:r>
              <w:rPr>
                <w:noProof/>
                <w:webHidden/>
              </w:rPr>
              <w:tab/>
            </w:r>
            <w:r>
              <w:rPr>
                <w:noProof/>
                <w:webHidden/>
              </w:rPr>
              <w:fldChar w:fldCharType="begin"/>
            </w:r>
            <w:r>
              <w:rPr>
                <w:noProof/>
                <w:webHidden/>
              </w:rPr>
              <w:instrText xml:space="preserve"> PAGEREF _Toc12528943 \h </w:instrText>
            </w:r>
            <w:r>
              <w:rPr>
                <w:noProof/>
                <w:webHidden/>
              </w:rPr>
            </w:r>
            <w:r>
              <w:rPr>
                <w:noProof/>
                <w:webHidden/>
              </w:rPr>
              <w:fldChar w:fldCharType="separate"/>
            </w:r>
            <w:r>
              <w:rPr>
                <w:noProof/>
                <w:webHidden/>
              </w:rPr>
              <w:t>58</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44" w:history="1">
            <w:r w:rsidRPr="00B6188B">
              <w:rPr>
                <w:rStyle w:val="Kpr"/>
                <w:noProof/>
              </w:rPr>
              <w:t>2.2 Balancing Power Market</w:t>
            </w:r>
            <w:r>
              <w:rPr>
                <w:noProof/>
                <w:webHidden/>
              </w:rPr>
              <w:tab/>
            </w:r>
            <w:r>
              <w:rPr>
                <w:noProof/>
                <w:webHidden/>
              </w:rPr>
              <w:fldChar w:fldCharType="begin"/>
            </w:r>
            <w:r>
              <w:rPr>
                <w:noProof/>
                <w:webHidden/>
              </w:rPr>
              <w:instrText xml:space="preserve"> PAGEREF _Toc12528944 \h </w:instrText>
            </w:r>
            <w:r>
              <w:rPr>
                <w:noProof/>
                <w:webHidden/>
              </w:rPr>
            </w:r>
            <w:r>
              <w:rPr>
                <w:noProof/>
                <w:webHidden/>
              </w:rPr>
              <w:fldChar w:fldCharType="separate"/>
            </w:r>
            <w:r>
              <w:rPr>
                <w:noProof/>
                <w:webHidden/>
              </w:rPr>
              <w:t>64</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45" w:history="1">
            <w:r w:rsidRPr="00B6188B">
              <w:rPr>
                <w:rStyle w:val="Kpr"/>
                <w:rFonts w:cs="Times New Roman"/>
                <w:noProof/>
              </w:rPr>
              <w:t>2.3 Intra-Day Market</w:t>
            </w:r>
            <w:r>
              <w:rPr>
                <w:noProof/>
                <w:webHidden/>
              </w:rPr>
              <w:tab/>
            </w:r>
            <w:r>
              <w:rPr>
                <w:noProof/>
                <w:webHidden/>
              </w:rPr>
              <w:fldChar w:fldCharType="begin"/>
            </w:r>
            <w:r>
              <w:rPr>
                <w:noProof/>
                <w:webHidden/>
              </w:rPr>
              <w:instrText xml:space="preserve"> PAGEREF _Toc12528945 \h </w:instrText>
            </w:r>
            <w:r>
              <w:rPr>
                <w:noProof/>
                <w:webHidden/>
              </w:rPr>
            </w:r>
            <w:r>
              <w:rPr>
                <w:noProof/>
                <w:webHidden/>
              </w:rPr>
              <w:fldChar w:fldCharType="separate"/>
            </w:r>
            <w:r>
              <w:rPr>
                <w:noProof/>
                <w:webHidden/>
              </w:rPr>
              <w:t>70</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46" w:history="1">
            <w:r w:rsidRPr="00B6188B">
              <w:rPr>
                <w:rStyle w:val="Kpr"/>
                <w:noProof/>
              </w:rPr>
              <w:t>2.4 Bilateral Agreements</w:t>
            </w:r>
            <w:r>
              <w:rPr>
                <w:noProof/>
                <w:webHidden/>
              </w:rPr>
              <w:tab/>
            </w:r>
            <w:r>
              <w:rPr>
                <w:noProof/>
                <w:webHidden/>
              </w:rPr>
              <w:fldChar w:fldCharType="begin"/>
            </w:r>
            <w:r>
              <w:rPr>
                <w:noProof/>
                <w:webHidden/>
              </w:rPr>
              <w:instrText xml:space="preserve"> PAGEREF _Toc12528946 \h </w:instrText>
            </w:r>
            <w:r>
              <w:rPr>
                <w:noProof/>
                <w:webHidden/>
              </w:rPr>
            </w:r>
            <w:r>
              <w:rPr>
                <w:noProof/>
                <w:webHidden/>
              </w:rPr>
              <w:fldChar w:fldCharType="separate"/>
            </w:r>
            <w:r>
              <w:rPr>
                <w:noProof/>
                <w:webHidden/>
              </w:rPr>
              <w:t>72</w:t>
            </w:r>
            <w:r>
              <w:rPr>
                <w:noProof/>
                <w:webHidden/>
              </w:rPr>
              <w:fldChar w:fldCharType="end"/>
            </w:r>
          </w:hyperlink>
        </w:p>
        <w:p w:rsidR="00944835" w:rsidRDefault="00944835">
          <w:pPr>
            <w:pStyle w:val="T1"/>
            <w:tabs>
              <w:tab w:val="right" w:leader="dot" w:pos="9062"/>
            </w:tabs>
            <w:rPr>
              <w:rFonts w:eastAsiaTheme="minorEastAsia"/>
              <w:noProof/>
            </w:rPr>
          </w:pPr>
          <w:r w:rsidRPr="00944835">
            <w:rPr>
              <w:rStyle w:val="Kpr"/>
              <w:noProof/>
              <w:u w:val="none"/>
            </w:rPr>
            <w:t xml:space="preserve">    </w:t>
          </w:r>
          <w:hyperlink w:anchor="_Toc12528947" w:history="1">
            <w:r w:rsidRPr="00B6188B">
              <w:rPr>
                <w:rStyle w:val="Kpr"/>
                <w:noProof/>
              </w:rPr>
              <w:t xml:space="preserve">2.5 </w:t>
            </w:r>
            <w:r>
              <w:rPr>
                <w:rStyle w:val="Kpr"/>
                <w:noProof/>
              </w:rPr>
              <w:t>RESSUM</w:t>
            </w:r>
            <w:r>
              <w:rPr>
                <w:noProof/>
                <w:webHidden/>
              </w:rPr>
              <w:tab/>
            </w:r>
            <w:r>
              <w:rPr>
                <w:noProof/>
                <w:webHidden/>
              </w:rPr>
              <w:fldChar w:fldCharType="begin"/>
            </w:r>
            <w:r>
              <w:rPr>
                <w:noProof/>
                <w:webHidden/>
              </w:rPr>
              <w:instrText xml:space="preserve"> PAGEREF _Toc12528947 \h </w:instrText>
            </w:r>
            <w:r>
              <w:rPr>
                <w:noProof/>
                <w:webHidden/>
              </w:rPr>
            </w:r>
            <w:r>
              <w:rPr>
                <w:noProof/>
                <w:webHidden/>
              </w:rPr>
              <w:fldChar w:fldCharType="separate"/>
            </w:r>
            <w:r>
              <w:rPr>
                <w:noProof/>
                <w:webHidden/>
              </w:rPr>
              <w:t>74</w:t>
            </w:r>
            <w:r>
              <w:rPr>
                <w:noProof/>
                <w:webHidden/>
              </w:rPr>
              <w:fldChar w:fldCharType="end"/>
            </w:r>
          </w:hyperlink>
        </w:p>
        <w:p w:rsidR="00944835" w:rsidRDefault="00944835">
          <w:pPr>
            <w:pStyle w:val="T1"/>
            <w:tabs>
              <w:tab w:val="right" w:leader="dot" w:pos="9062"/>
            </w:tabs>
            <w:rPr>
              <w:rFonts w:eastAsiaTheme="minorEastAsia"/>
              <w:noProof/>
            </w:rPr>
          </w:pPr>
          <w:hyperlink w:anchor="_Toc12528948" w:history="1">
            <w:r w:rsidRPr="00B6188B">
              <w:rPr>
                <w:rStyle w:val="Kpr"/>
                <w:noProof/>
              </w:rPr>
              <w:t>3. COMPETITION</w:t>
            </w:r>
            <w:r>
              <w:rPr>
                <w:noProof/>
                <w:webHidden/>
              </w:rPr>
              <w:tab/>
            </w:r>
            <w:r>
              <w:rPr>
                <w:noProof/>
                <w:webHidden/>
              </w:rPr>
              <w:fldChar w:fldCharType="begin"/>
            </w:r>
            <w:r>
              <w:rPr>
                <w:noProof/>
                <w:webHidden/>
              </w:rPr>
              <w:instrText xml:space="preserve"> PAGEREF _Toc12528948 \h </w:instrText>
            </w:r>
            <w:r>
              <w:rPr>
                <w:noProof/>
                <w:webHidden/>
              </w:rPr>
            </w:r>
            <w:r>
              <w:rPr>
                <w:noProof/>
                <w:webHidden/>
              </w:rPr>
              <w:fldChar w:fldCharType="separate"/>
            </w:r>
            <w:r>
              <w:rPr>
                <w:noProof/>
                <w:webHidden/>
              </w:rPr>
              <w:t>80</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49" w:history="1">
            <w:r w:rsidRPr="00B6188B">
              <w:rPr>
                <w:rStyle w:val="Kpr"/>
                <w:noProof/>
              </w:rPr>
              <w:t>3.1 Supply Side</w:t>
            </w:r>
            <w:r>
              <w:rPr>
                <w:noProof/>
                <w:webHidden/>
              </w:rPr>
              <w:tab/>
            </w:r>
            <w:r>
              <w:rPr>
                <w:noProof/>
                <w:webHidden/>
              </w:rPr>
              <w:fldChar w:fldCharType="begin"/>
            </w:r>
            <w:r>
              <w:rPr>
                <w:noProof/>
                <w:webHidden/>
              </w:rPr>
              <w:instrText xml:space="preserve"> PAGEREF _Toc12528949 \h </w:instrText>
            </w:r>
            <w:r>
              <w:rPr>
                <w:noProof/>
                <w:webHidden/>
              </w:rPr>
            </w:r>
            <w:r>
              <w:rPr>
                <w:noProof/>
                <w:webHidden/>
              </w:rPr>
              <w:fldChar w:fldCharType="separate"/>
            </w:r>
            <w:r>
              <w:rPr>
                <w:noProof/>
                <w:webHidden/>
              </w:rPr>
              <w:t>80</w:t>
            </w:r>
            <w:r>
              <w:rPr>
                <w:noProof/>
                <w:webHidden/>
              </w:rPr>
              <w:fldChar w:fldCharType="end"/>
            </w:r>
          </w:hyperlink>
        </w:p>
        <w:p w:rsidR="00944835" w:rsidRDefault="00944835">
          <w:pPr>
            <w:pStyle w:val="T2"/>
            <w:tabs>
              <w:tab w:val="right" w:leader="dot" w:pos="9062"/>
            </w:tabs>
            <w:rPr>
              <w:rFonts w:eastAsiaTheme="minorEastAsia"/>
              <w:noProof/>
            </w:rPr>
          </w:pPr>
          <w:hyperlink w:anchor="_Toc12528950" w:history="1">
            <w:r w:rsidRPr="00B6188B">
              <w:rPr>
                <w:rStyle w:val="Kpr"/>
                <w:noProof/>
                <w:lang w:bidi="en-US"/>
              </w:rPr>
              <w:t>3.2 Demand Side</w:t>
            </w:r>
            <w:r>
              <w:rPr>
                <w:noProof/>
                <w:webHidden/>
              </w:rPr>
              <w:tab/>
            </w:r>
            <w:r>
              <w:rPr>
                <w:noProof/>
                <w:webHidden/>
              </w:rPr>
              <w:fldChar w:fldCharType="begin"/>
            </w:r>
            <w:r>
              <w:rPr>
                <w:noProof/>
                <w:webHidden/>
              </w:rPr>
              <w:instrText xml:space="preserve"> PAGEREF _Toc12528950 \h </w:instrText>
            </w:r>
            <w:r>
              <w:rPr>
                <w:noProof/>
                <w:webHidden/>
              </w:rPr>
            </w:r>
            <w:r>
              <w:rPr>
                <w:noProof/>
                <w:webHidden/>
              </w:rPr>
              <w:fldChar w:fldCharType="separate"/>
            </w:r>
            <w:r>
              <w:rPr>
                <w:noProof/>
                <w:webHidden/>
              </w:rPr>
              <w:t>84</w:t>
            </w:r>
            <w:r>
              <w:rPr>
                <w:noProof/>
                <w:webHidden/>
              </w:rPr>
              <w:fldChar w:fldCharType="end"/>
            </w:r>
          </w:hyperlink>
        </w:p>
        <w:p w:rsidR="00944835" w:rsidRDefault="00944835">
          <w:pPr>
            <w:pStyle w:val="T1"/>
            <w:tabs>
              <w:tab w:val="right" w:leader="dot" w:pos="9062"/>
            </w:tabs>
            <w:rPr>
              <w:rFonts w:eastAsiaTheme="minorEastAsia"/>
              <w:noProof/>
            </w:rPr>
          </w:pPr>
          <w:hyperlink w:anchor="_Toc12528951" w:history="1">
            <w:r w:rsidRPr="00B6188B">
              <w:rPr>
                <w:rStyle w:val="Kpr"/>
                <w:noProof/>
              </w:rPr>
              <w:t>4. TRANSMISSION</w:t>
            </w:r>
            <w:r>
              <w:rPr>
                <w:noProof/>
                <w:webHidden/>
              </w:rPr>
              <w:tab/>
            </w:r>
            <w:r>
              <w:rPr>
                <w:noProof/>
                <w:webHidden/>
              </w:rPr>
              <w:fldChar w:fldCharType="begin"/>
            </w:r>
            <w:r>
              <w:rPr>
                <w:noProof/>
                <w:webHidden/>
              </w:rPr>
              <w:instrText xml:space="preserve"> PAGEREF _Toc12528951 \h </w:instrText>
            </w:r>
            <w:r>
              <w:rPr>
                <w:noProof/>
                <w:webHidden/>
              </w:rPr>
            </w:r>
            <w:r>
              <w:rPr>
                <w:noProof/>
                <w:webHidden/>
              </w:rPr>
              <w:fldChar w:fldCharType="separate"/>
            </w:r>
            <w:r>
              <w:rPr>
                <w:noProof/>
                <w:webHidden/>
              </w:rPr>
              <w:t>88</w:t>
            </w:r>
            <w:r>
              <w:rPr>
                <w:noProof/>
                <w:webHidden/>
              </w:rPr>
              <w:fldChar w:fldCharType="end"/>
            </w:r>
          </w:hyperlink>
        </w:p>
        <w:p w:rsidR="00944835" w:rsidRDefault="00944835">
          <w:pPr>
            <w:pStyle w:val="T2"/>
            <w:tabs>
              <w:tab w:val="right" w:leader="dot" w:pos="9062"/>
            </w:tabs>
            <w:rPr>
              <w:rFonts w:eastAsiaTheme="minorEastAsia"/>
              <w:noProof/>
            </w:rPr>
          </w:pPr>
          <w:hyperlink w:anchor="_Toc12528952" w:history="1">
            <w:r w:rsidRPr="00B6188B">
              <w:rPr>
                <w:rStyle w:val="Kpr"/>
                <w:noProof/>
                <w:lang w:bidi="en-US"/>
              </w:rPr>
              <w:t>4.1 Transmission System</w:t>
            </w:r>
            <w:r>
              <w:rPr>
                <w:noProof/>
                <w:webHidden/>
              </w:rPr>
              <w:tab/>
            </w:r>
            <w:r>
              <w:rPr>
                <w:noProof/>
                <w:webHidden/>
              </w:rPr>
              <w:fldChar w:fldCharType="begin"/>
            </w:r>
            <w:r>
              <w:rPr>
                <w:noProof/>
                <w:webHidden/>
              </w:rPr>
              <w:instrText xml:space="preserve"> PAGEREF _Toc12528952 \h </w:instrText>
            </w:r>
            <w:r>
              <w:rPr>
                <w:noProof/>
                <w:webHidden/>
              </w:rPr>
            </w:r>
            <w:r>
              <w:rPr>
                <w:noProof/>
                <w:webHidden/>
              </w:rPr>
              <w:fldChar w:fldCharType="separate"/>
            </w:r>
            <w:r>
              <w:rPr>
                <w:noProof/>
                <w:webHidden/>
              </w:rPr>
              <w:t>88</w:t>
            </w:r>
            <w:r>
              <w:rPr>
                <w:noProof/>
                <w:webHidden/>
              </w:rPr>
              <w:fldChar w:fldCharType="end"/>
            </w:r>
          </w:hyperlink>
        </w:p>
        <w:p w:rsidR="00944835" w:rsidRDefault="00944835">
          <w:pPr>
            <w:pStyle w:val="T2"/>
            <w:tabs>
              <w:tab w:val="right" w:leader="dot" w:pos="9062"/>
            </w:tabs>
            <w:rPr>
              <w:rFonts w:eastAsiaTheme="minorEastAsia"/>
              <w:noProof/>
            </w:rPr>
          </w:pPr>
          <w:hyperlink w:anchor="_Toc12528953" w:history="1">
            <w:r w:rsidRPr="00B6188B">
              <w:rPr>
                <w:rStyle w:val="Kpr"/>
                <w:noProof/>
                <w:lang w:bidi="en-US"/>
              </w:rPr>
              <w:t>4.2 Transmission System Connection Applications</w:t>
            </w:r>
            <w:r>
              <w:rPr>
                <w:noProof/>
                <w:webHidden/>
              </w:rPr>
              <w:tab/>
            </w:r>
            <w:r>
              <w:rPr>
                <w:noProof/>
                <w:webHidden/>
              </w:rPr>
              <w:fldChar w:fldCharType="begin"/>
            </w:r>
            <w:r>
              <w:rPr>
                <w:noProof/>
                <w:webHidden/>
              </w:rPr>
              <w:instrText xml:space="preserve"> PAGEREF _Toc12528953 \h </w:instrText>
            </w:r>
            <w:r>
              <w:rPr>
                <w:noProof/>
                <w:webHidden/>
              </w:rPr>
            </w:r>
            <w:r>
              <w:rPr>
                <w:noProof/>
                <w:webHidden/>
              </w:rPr>
              <w:fldChar w:fldCharType="separate"/>
            </w:r>
            <w:r>
              <w:rPr>
                <w:noProof/>
                <w:webHidden/>
              </w:rPr>
              <w:t>90</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54" w:history="1">
            <w:r w:rsidRPr="00B6188B">
              <w:rPr>
                <w:rStyle w:val="Kpr"/>
                <w:noProof/>
              </w:rPr>
              <w:t>4.3 Tariffs</w:t>
            </w:r>
            <w:r>
              <w:rPr>
                <w:noProof/>
                <w:webHidden/>
              </w:rPr>
              <w:tab/>
            </w:r>
            <w:r>
              <w:rPr>
                <w:noProof/>
                <w:webHidden/>
              </w:rPr>
              <w:fldChar w:fldCharType="begin"/>
            </w:r>
            <w:r>
              <w:rPr>
                <w:noProof/>
                <w:webHidden/>
              </w:rPr>
              <w:instrText xml:space="preserve"> PAGEREF _Toc12528954 \h </w:instrText>
            </w:r>
            <w:r>
              <w:rPr>
                <w:noProof/>
                <w:webHidden/>
              </w:rPr>
            </w:r>
            <w:r>
              <w:rPr>
                <w:noProof/>
                <w:webHidden/>
              </w:rPr>
              <w:fldChar w:fldCharType="separate"/>
            </w:r>
            <w:r>
              <w:rPr>
                <w:noProof/>
                <w:webHidden/>
              </w:rPr>
              <w:t>90</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55" w:history="1">
            <w:r w:rsidRPr="00B6188B">
              <w:rPr>
                <w:rStyle w:val="Kpr"/>
                <w:rFonts w:cs="Times New Roman"/>
                <w:noProof/>
              </w:rPr>
              <w:t>4.4 Amount of Investment</w:t>
            </w:r>
            <w:r>
              <w:rPr>
                <w:noProof/>
                <w:webHidden/>
              </w:rPr>
              <w:tab/>
            </w:r>
            <w:r>
              <w:rPr>
                <w:noProof/>
                <w:webHidden/>
              </w:rPr>
              <w:fldChar w:fldCharType="begin"/>
            </w:r>
            <w:r>
              <w:rPr>
                <w:noProof/>
                <w:webHidden/>
              </w:rPr>
              <w:instrText xml:space="preserve"> PAGEREF _Toc12528955 \h </w:instrText>
            </w:r>
            <w:r>
              <w:rPr>
                <w:noProof/>
                <w:webHidden/>
              </w:rPr>
            </w:r>
            <w:r>
              <w:rPr>
                <w:noProof/>
                <w:webHidden/>
              </w:rPr>
              <w:fldChar w:fldCharType="separate"/>
            </w:r>
            <w:r>
              <w:rPr>
                <w:noProof/>
                <w:webHidden/>
              </w:rPr>
              <w:t>92</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56" w:history="1">
            <w:r w:rsidRPr="00B6188B">
              <w:rPr>
                <w:rStyle w:val="Kpr"/>
                <w:noProof/>
              </w:rPr>
              <w:t>4.5 Losses</w:t>
            </w:r>
            <w:r>
              <w:rPr>
                <w:noProof/>
                <w:webHidden/>
              </w:rPr>
              <w:tab/>
            </w:r>
            <w:r>
              <w:rPr>
                <w:noProof/>
                <w:webHidden/>
              </w:rPr>
              <w:fldChar w:fldCharType="begin"/>
            </w:r>
            <w:r>
              <w:rPr>
                <w:noProof/>
                <w:webHidden/>
              </w:rPr>
              <w:instrText xml:space="preserve"> PAGEREF _Toc12528956 \h </w:instrText>
            </w:r>
            <w:r>
              <w:rPr>
                <w:noProof/>
                <w:webHidden/>
              </w:rPr>
            </w:r>
            <w:r>
              <w:rPr>
                <w:noProof/>
                <w:webHidden/>
              </w:rPr>
              <w:fldChar w:fldCharType="separate"/>
            </w:r>
            <w:r>
              <w:rPr>
                <w:noProof/>
                <w:webHidden/>
              </w:rPr>
              <w:t>92</w:t>
            </w:r>
            <w:r>
              <w:rPr>
                <w:noProof/>
                <w:webHidden/>
              </w:rPr>
              <w:fldChar w:fldCharType="end"/>
            </w:r>
          </w:hyperlink>
        </w:p>
        <w:p w:rsidR="00944835" w:rsidRDefault="00944835">
          <w:pPr>
            <w:pStyle w:val="T1"/>
            <w:tabs>
              <w:tab w:val="right" w:leader="dot" w:pos="9062"/>
            </w:tabs>
            <w:rPr>
              <w:rFonts w:eastAsiaTheme="minorEastAsia"/>
              <w:noProof/>
            </w:rPr>
          </w:pPr>
          <w:hyperlink w:anchor="_Toc12528957" w:history="1">
            <w:r w:rsidRPr="00B6188B">
              <w:rPr>
                <w:rStyle w:val="Kpr"/>
                <w:noProof/>
              </w:rPr>
              <w:t>5. DISTRIBUTION</w:t>
            </w:r>
            <w:r>
              <w:rPr>
                <w:noProof/>
                <w:webHidden/>
              </w:rPr>
              <w:tab/>
            </w:r>
            <w:r>
              <w:rPr>
                <w:noProof/>
                <w:webHidden/>
              </w:rPr>
              <w:fldChar w:fldCharType="begin"/>
            </w:r>
            <w:r>
              <w:rPr>
                <w:noProof/>
                <w:webHidden/>
              </w:rPr>
              <w:instrText xml:space="preserve"> PAGEREF _Toc12528957 \h </w:instrText>
            </w:r>
            <w:r>
              <w:rPr>
                <w:noProof/>
                <w:webHidden/>
              </w:rPr>
            </w:r>
            <w:r>
              <w:rPr>
                <w:noProof/>
                <w:webHidden/>
              </w:rPr>
              <w:fldChar w:fldCharType="separate"/>
            </w:r>
            <w:r>
              <w:rPr>
                <w:noProof/>
                <w:webHidden/>
              </w:rPr>
              <w:t>93</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58" w:history="1">
            <w:r w:rsidRPr="00B6188B">
              <w:rPr>
                <w:rStyle w:val="Kpr"/>
                <w:noProof/>
              </w:rPr>
              <w:t>5.1 Number of Consumers</w:t>
            </w:r>
            <w:r>
              <w:rPr>
                <w:noProof/>
                <w:webHidden/>
              </w:rPr>
              <w:tab/>
            </w:r>
            <w:r>
              <w:rPr>
                <w:noProof/>
                <w:webHidden/>
              </w:rPr>
              <w:fldChar w:fldCharType="begin"/>
            </w:r>
            <w:r>
              <w:rPr>
                <w:noProof/>
                <w:webHidden/>
              </w:rPr>
              <w:instrText xml:space="preserve"> PAGEREF _Toc12528958 \h </w:instrText>
            </w:r>
            <w:r>
              <w:rPr>
                <w:noProof/>
                <w:webHidden/>
              </w:rPr>
            </w:r>
            <w:r>
              <w:rPr>
                <w:noProof/>
                <w:webHidden/>
              </w:rPr>
              <w:fldChar w:fldCharType="separate"/>
            </w:r>
            <w:r>
              <w:rPr>
                <w:noProof/>
                <w:webHidden/>
              </w:rPr>
              <w:t>93</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59" w:history="1">
            <w:r w:rsidRPr="00B6188B">
              <w:rPr>
                <w:rStyle w:val="Kpr"/>
                <w:noProof/>
              </w:rPr>
              <w:t>5.2 Ratio of Losses</w:t>
            </w:r>
            <w:r>
              <w:rPr>
                <w:noProof/>
                <w:webHidden/>
              </w:rPr>
              <w:tab/>
            </w:r>
            <w:r>
              <w:rPr>
                <w:noProof/>
                <w:webHidden/>
              </w:rPr>
              <w:fldChar w:fldCharType="begin"/>
            </w:r>
            <w:r>
              <w:rPr>
                <w:noProof/>
                <w:webHidden/>
              </w:rPr>
              <w:instrText xml:space="preserve"> PAGEREF _Toc12528959 \h </w:instrText>
            </w:r>
            <w:r>
              <w:rPr>
                <w:noProof/>
                <w:webHidden/>
              </w:rPr>
            </w:r>
            <w:r>
              <w:rPr>
                <w:noProof/>
                <w:webHidden/>
              </w:rPr>
              <w:fldChar w:fldCharType="separate"/>
            </w:r>
            <w:r>
              <w:rPr>
                <w:noProof/>
                <w:webHidden/>
              </w:rPr>
              <w:t>95</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60" w:history="1">
            <w:r w:rsidRPr="00B6188B">
              <w:rPr>
                <w:rStyle w:val="Kpr"/>
                <w:noProof/>
              </w:rPr>
              <w:t>5.3 Employment</w:t>
            </w:r>
            <w:r>
              <w:rPr>
                <w:noProof/>
                <w:webHidden/>
              </w:rPr>
              <w:tab/>
            </w:r>
            <w:r>
              <w:rPr>
                <w:noProof/>
                <w:webHidden/>
              </w:rPr>
              <w:fldChar w:fldCharType="begin"/>
            </w:r>
            <w:r>
              <w:rPr>
                <w:noProof/>
                <w:webHidden/>
              </w:rPr>
              <w:instrText xml:space="preserve"> PAGEREF _Toc12528960 \h </w:instrText>
            </w:r>
            <w:r>
              <w:rPr>
                <w:noProof/>
                <w:webHidden/>
              </w:rPr>
            </w:r>
            <w:r>
              <w:rPr>
                <w:noProof/>
                <w:webHidden/>
              </w:rPr>
              <w:fldChar w:fldCharType="separate"/>
            </w:r>
            <w:r>
              <w:rPr>
                <w:noProof/>
                <w:webHidden/>
              </w:rPr>
              <w:t>97</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61" w:history="1">
            <w:r w:rsidRPr="00B6188B">
              <w:rPr>
                <w:rStyle w:val="Kpr"/>
                <w:noProof/>
              </w:rPr>
              <w:t>5.4 Information about Network</w:t>
            </w:r>
            <w:r>
              <w:rPr>
                <w:noProof/>
                <w:webHidden/>
              </w:rPr>
              <w:tab/>
            </w:r>
            <w:r>
              <w:rPr>
                <w:noProof/>
                <w:webHidden/>
              </w:rPr>
              <w:fldChar w:fldCharType="begin"/>
            </w:r>
            <w:r>
              <w:rPr>
                <w:noProof/>
                <w:webHidden/>
              </w:rPr>
              <w:instrText xml:space="preserve"> PAGEREF _Toc12528961 \h </w:instrText>
            </w:r>
            <w:r>
              <w:rPr>
                <w:noProof/>
                <w:webHidden/>
              </w:rPr>
            </w:r>
            <w:r>
              <w:rPr>
                <w:noProof/>
                <w:webHidden/>
              </w:rPr>
              <w:fldChar w:fldCharType="separate"/>
            </w:r>
            <w:r>
              <w:rPr>
                <w:noProof/>
                <w:webHidden/>
              </w:rPr>
              <w:t>99</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62" w:history="1">
            <w:r w:rsidRPr="00B6188B">
              <w:rPr>
                <w:rStyle w:val="Kpr"/>
                <w:rFonts w:cs="Times New Roman"/>
                <w:noProof/>
              </w:rPr>
              <w:t>5.5 Quality Indicators</w:t>
            </w:r>
            <w:r>
              <w:rPr>
                <w:noProof/>
                <w:webHidden/>
              </w:rPr>
              <w:tab/>
            </w:r>
            <w:r>
              <w:rPr>
                <w:noProof/>
                <w:webHidden/>
              </w:rPr>
              <w:fldChar w:fldCharType="begin"/>
            </w:r>
            <w:r>
              <w:rPr>
                <w:noProof/>
                <w:webHidden/>
              </w:rPr>
              <w:instrText xml:space="preserve"> PAGEREF _Toc12528962 \h </w:instrText>
            </w:r>
            <w:r>
              <w:rPr>
                <w:noProof/>
                <w:webHidden/>
              </w:rPr>
            </w:r>
            <w:r>
              <w:rPr>
                <w:noProof/>
                <w:webHidden/>
              </w:rPr>
              <w:fldChar w:fldCharType="separate"/>
            </w:r>
            <w:r>
              <w:rPr>
                <w:noProof/>
                <w:webHidden/>
              </w:rPr>
              <w:t>105</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63" w:history="1">
            <w:r w:rsidRPr="00B6188B">
              <w:rPr>
                <w:rStyle w:val="Kpr"/>
                <w:rFonts w:cs="Times New Roman"/>
                <w:noProof/>
              </w:rPr>
              <w:t>5.6 Investment Amount of Distribution Companies</w:t>
            </w:r>
            <w:r>
              <w:rPr>
                <w:noProof/>
                <w:webHidden/>
              </w:rPr>
              <w:tab/>
            </w:r>
            <w:r>
              <w:rPr>
                <w:noProof/>
                <w:webHidden/>
              </w:rPr>
              <w:fldChar w:fldCharType="begin"/>
            </w:r>
            <w:r>
              <w:rPr>
                <w:noProof/>
                <w:webHidden/>
              </w:rPr>
              <w:instrText xml:space="preserve"> PAGEREF _Toc12528963 \h </w:instrText>
            </w:r>
            <w:r>
              <w:rPr>
                <w:noProof/>
                <w:webHidden/>
              </w:rPr>
            </w:r>
            <w:r>
              <w:rPr>
                <w:noProof/>
                <w:webHidden/>
              </w:rPr>
              <w:fldChar w:fldCharType="separate"/>
            </w:r>
            <w:r>
              <w:rPr>
                <w:noProof/>
                <w:webHidden/>
              </w:rPr>
              <w:t>108</w:t>
            </w:r>
            <w:r>
              <w:rPr>
                <w:noProof/>
                <w:webHidden/>
              </w:rPr>
              <w:fldChar w:fldCharType="end"/>
            </w:r>
          </w:hyperlink>
        </w:p>
        <w:p w:rsidR="00944835" w:rsidRDefault="00944835">
          <w:pPr>
            <w:pStyle w:val="T1"/>
            <w:tabs>
              <w:tab w:val="right" w:leader="dot" w:pos="9062"/>
            </w:tabs>
            <w:rPr>
              <w:rFonts w:eastAsiaTheme="minorEastAsia"/>
              <w:noProof/>
            </w:rPr>
          </w:pPr>
          <w:r>
            <w:rPr>
              <w:rStyle w:val="Kpr"/>
              <w:noProof/>
              <w:u w:val="none"/>
            </w:rPr>
            <w:t xml:space="preserve">    </w:t>
          </w:r>
          <w:hyperlink w:anchor="_Toc12528964" w:history="1">
            <w:r w:rsidRPr="00B6188B">
              <w:rPr>
                <w:rStyle w:val="Kpr"/>
                <w:noProof/>
              </w:rPr>
              <w:t>5.7 Information about Organized Industrial Zones (OIZ)</w:t>
            </w:r>
            <w:r>
              <w:rPr>
                <w:noProof/>
                <w:webHidden/>
              </w:rPr>
              <w:tab/>
            </w:r>
            <w:r>
              <w:rPr>
                <w:noProof/>
                <w:webHidden/>
              </w:rPr>
              <w:fldChar w:fldCharType="begin"/>
            </w:r>
            <w:r>
              <w:rPr>
                <w:noProof/>
                <w:webHidden/>
              </w:rPr>
              <w:instrText xml:space="preserve"> PAGEREF _Toc12528964 \h </w:instrText>
            </w:r>
            <w:r>
              <w:rPr>
                <w:noProof/>
                <w:webHidden/>
              </w:rPr>
            </w:r>
            <w:r>
              <w:rPr>
                <w:noProof/>
                <w:webHidden/>
              </w:rPr>
              <w:fldChar w:fldCharType="separate"/>
            </w:r>
            <w:r>
              <w:rPr>
                <w:noProof/>
                <w:webHidden/>
              </w:rPr>
              <w:t>110</w:t>
            </w:r>
            <w:r>
              <w:rPr>
                <w:noProof/>
                <w:webHidden/>
              </w:rPr>
              <w:fldChar w:fldCharType="end"/>
            </w:r>
          </w:hyperlink>
        </w:p>
        <w:p w:rsidR="00944835" w:rsidRDefault="00944835">
          <w:pPr>
            <w:pStyle w:val="T1"/>
            <w:tabs>
              <w:tab w:val="right" w:leader="dot" w:pos="9062"/>
            </w:tabs>
            <w:rPr>
              <w:rFonts w:eastAsiaTheme="minorEastAsia"/>
              <w:noProof/>
            </w:rPr>
          </w:pPr>
          <w:hyperlink w:anchor="_Toc12528965" w:history="1">
            <w:r w:rsidRPr="00B6188B">
              <w:rPr>
                <w:rStyle w:val="Kpr"/>
                <w:rFonts w:cs="Times New Roman"/>
                <w:noProof/>
              </w:rPr>
              <w:t>6. PRICING</w:t>
            </w:r>
            <w:r>
              <w:rPr>
                <w:noProof/>
                <w:webHidden/>
              </w:rPr>
              <w:tab/>
            </w:r>
            <w:r>
              <w:rPr>
                <w:noProof/>
                <w:webHidden/>
              </w:rPr>
              <w:fldChar w:fldCharType="begin"/>
            </w:r>
            <w:r>
              <w:rPr>
                <w:noProof/>
                <w:webHidden/>
              </w:rPr>
              <w:instrText xml:space="preserve"> PAGEREF _Toc12528965 \h </w:instrText>
            </w:r>
            <w:r>
              <w:rPr>
                <w:noProof/>
                <w:webHidden/>
              </w:rPr>
            </w:r>
            <w:r>
              <w:rPr>
                <w:noProof/>
                <w:webHidden/>
              </w:rPr>
              <w:fldChar w:fldCharType="separate"/>
            </w:r>
            <w:r>
              <w:rPr>
                <w:noProof/>
                <w:webHidden/>
              </w:rPr>
              <w:t>111</w:t>
            </w:r>
            <w:r>
              <w:rPr>
                <w:noProof/>
                <w:webHidden/>
              </w:rPr>
              <w:fldChar w:fldCharType="end"/>
            </w:r>
          </w:hyperlink>
        </w:p>
        <w:p w:rsidR="003E70AB" w:rsidRDefault="003E70AB">
          <w:r>
            <w:rPr>
              <w:rFonts w:asciiTheme="minorHAnsi" w:eastAsiaTheme="minorHAnsi" w:hAnsiTheme="minorHAnsi" w:cstheme="minorBidi"/>
              <w:b/>
              <w:bCs/>
              <w:lang w:val="tr-TR" w:bidi="ar-SA"/>
            </w:rPr>
            <w:fldChar w:fldCharType="end"/>
          </w:r>
        </w:p>
      </w:sdtContent>
    </w:sdt>
    <w:p w:rsidR="001C3557" w:rsidRPr="001C3557" w:rsidRDefault="001C3557" w:rsidP="001C3557">
      <w:pPr>
        <w:jc w:val="center"/>
        <w:rPr>
          <w:rFonts w:ascii="Times New Roman" w:hAnsi="Times New Roman" w:cs="Times New Roman"/>
          <w:b/>
          <w:bCs/>
          <w:sz w:val="32"/>
          <w:szCs w:val="32"/>
        </w:rPr>
      </w:pPr>
      <w:r w:rsidRPr="001C3557">
        <w:rPr>
          <w:rFonts w:ascii="Times New Roman" w:hAnsi="Times New Roman" w:cs="Times New Roman"/>
          <w:b/>
          <w:bCs/>
          <w:sz w:val="32"/>
          <w:szCs w:val="32"/>
        </w:rPr>
        <w:lastRenderedPageBreak/>
        <w:t>List of Tables</w:t>
      </w:r>
    </w:p>
    <w:p w:rsidR="00364D6D" w:rsidRDefault="00E43EC3">
      <w:pPr>
        <w:pStyle w:val="ekillerTablosu"/>
        <w:tabs>
          <w:tab w:val="right" w:leader="dot" w:pos="9062"/>
        </w:tabs>
        <w:rPr>
          <w:rFonts w:asciiTheme="minorHAnsi" w:eastAsiaTheme="minorEastAsia" w:hAnsiTheme="minorHAnsi" w:cstheme="minorBidi"/>
          <w:noProof/>
          <w:lang w:val="tr-TR" w:eastAsia="tr-TR" w:bidi="ar-SA"/>
        </w:rPr>
      </w:pP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TOC \h \z \t "Başlık 1;table" \c </w:instrText>
      </w:r>
      <w:r>
        <w:rPr>
          <w:rFonts w:ascii="Times New Roman" w:hAnsi="Times New Roman" w:cs="Times New Roman"/>
          <w:bCs/>
          <w:sz w:val="24"/>
          <w:szCs w:val="24"/>
        </w:rPr>
        <w:fldChar w:fldCharType="separate"/>
      </w:r>
      <w:hyperlink w:anchor="_Toc10191417" w:history="1">
        <w:r w:rsidR="00364D6D" w:rsidRPr="00061CC1">
          <w:rPr>
            <w:rStyle w:val="Kpr"/>
            <w:noProof/>
          </w:rPr>
          <w:t xml:space="preserve">Table 1.1: </w:t>
        </w:r>
        <w:r w:rsidR="00364D6D" w:rsidRPr="00061CC1">
          <w:rPr>
            <w:rStyle w:val="Kpr"/>
            <w:rFonts w:eastAsia="Times New Roman"/>
            <w:noProof/>
          </w:rPr>
          <w:t xml:space="preserve">Licensed and Unlicensed </w:t>
        </w:r>
        <w:r w:rsidR="00364D6D" w:rsidRPr="00061CC1">
          <w:rPr>
            <w:rStyle w:val="Kpr"/>
            <w:noProof/>
          </w:rPr>
          <w:t>Installed</w:t>
        </w:r>
        <w:r w:rsidR="00364D6D" w:rsidRPr="00061CC1">
          <w:rPr>
            <w:rStyle w:val="Kpr"/>
            <w:rFonts w:eastAsia="Times New Roman"/>
            <w:noProof/>
          </w:rPr>
          <w:t xml:space="preserve"> Capacity, Peak Demand, Licensed and Unlicensed Electricity Generation, Consumption, Import and Export Data</w:t>
        </w:r>
        <w:r w:rsidR="00364D6D">
          <w:rPr>
            <w:noProof/>
            <w:webHidden/>
          </w:rPr>
          <w:tab/>
        </w:r>
        <w:r w:rsidR="00364D6D">
          <w:rPr>
            <w:noProof/>
            <w:webHidden/>
          </w:rPr>
          <w:fldChar w:fldCharType="begin"/>
        </w:r>
        <w:r w:rsidR="00364D6D">
          <w:rPr>
            <w:noProof/>
            <w:webHidden/>
          </w:rPr>
          <w:instrText xml:space="preserve"> PAGEREF _Toc10191417 \h </w:instrText>
        </w:r>
        <w:r w:rsidR="00364D6D">
          <w:rPr>
            <w:noProof/>
            <w:webHidden/>
          </w:rPr>
        </w:r>
        <w:r w:rsidR="00364D6D">
          <w:rPr>
            <w:noProof/>
            <w:webHidden/>
          </w:rPr>
          <w:fldChar w:fldCharType="separate"/>
        </w:r>
        <w:r w:rsidR="00364D6D">
          <w:rPr>
            <w:noProof/>
            <w:webHidden/>
          </w:rPr>
          <w:t>16</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18" w:history="1">
        <w:r w:rsidR="00364D6D" w:rsidRPr="00061CC1">
          <w:rPr>
            <w:rStyle w:val="Kpr"/>
            <w:noProof/>
          </w:rPr>
          <w:t>Table 1.2: Distribution of Licensed Electricty Generation by Provinces (MWh-%)</w:t>
        </w:r>
        <w:r w:rsidR="00364D6D">
          <w:rPr>
            <w:noProof/>
            <w:webHidden/>
          </w:rPr>
          <w:tab/>
        </w:r>
        <w:r w:rsidR="00364D6D">
          <w:rPr>
            <w:noProof/>
            <w:webHidden/>
          </w:rPr>
          <w:fldChar w:fldCharType="begin"/>
        </w:r>
        <w:r w:rsidR="00364D6D">
          <w:rPr>
            <w:noProof/>
            <w:webHidden/>
          </w:rPr>
          <w:instrText xml:space="preserve"> PAGEREF _Toc10191418 \h </w:instrText>
        </w:r>
        <w:r w:rsidR="00364D6D">
          <w:rPr>
            <w:noProof/>
            <w:webHidden/>
          </w:rPr>
        </w:r>
        <w:r w:rsidR="00364D6D">
          <w:rPr>
            <w:noProof/>
            <w:webHidden/>
          </w:rPr>
          <w:fldChar w:fldCharType="separate"/>
        </w:r>
        <w:r w:rsidR="00364D6D">
          <w:rPr>
            <w:noProof/>
            <w:webHidden/>
          </w:rPr>
          <w:t>24</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19" w:history="1">
        <w:r w:rsidR="00364D6D" w:rsidRPr="00061CC1">
          <w:rPr>
            <w:rStyle w:val="Kpr"/>
            <w:noProof/>
          </w:rPr>
          <w:t>Table 1.3 Distribution of Licensed Installed Power by Province (MW-%)</w:t>
        </w:r>
        <w:r w:rsidR="00364D6D">
          <w:rPr>
            <w:noProof/>
            <w:webHidden/>
          </w:rPr>
          <w:tab/>
        </w:r>
        <w:r w:rsidR="00364D6D">
          <w:rPr>
            <w:noProof/>
            <w:webHidden/>
          </w:rPr>
          <w:fldChar w:fldCharType="begin"/>
        </w:r>
        <w:r w:rsidR="00364D6D">
          <w:rPr>
            <w:noProof/>
            <w:webHidden/>
          </w:rPr>
          <w:instrText xml:space="preserve"> PAGEREF _Toc10191419 \h </w:instrText>
        </w:r>
        <w:r w:rsidR="00364D6D">
          <w:rPr>
            <w:noProof/>
            <w:webHidden/>
          </w:rPr>
        </w:r>
        <w:r w:rsidR="00364D6D">
          <w:rPr>
            <w:noProof/>
            <w:webHidden/>
          </w:rPr>
          <w:fldChar w:fldCharType="separate"/>
        </w:r>
        <w:r w:rsidR="00364D6D">
          <w:rPr>
            <w:noProof/>
            <w:webHidden/>
          </w:rPr>
          <w:t>29</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0" w:history="1">
        <w:r w:rsidR="00364D6D" w:rsidRPr="00061CC1">
          <w:rPr>
            <w:rStyle w:val="Kpr"/>
            <w:noProof/>
          </w:rPr>
          <w:t>Table 1.4: The Status of Unlicensed Electricity Generation Applications by the End of 2018 (MW)</w:t>
        </w:r>
        <w:r w:rsidR="00364D6D">
          <w:rPr>
            <w:noProof/>
            <w:webHidden/>
          </w:rPr>
          <w:tab/>
        </w:r>
        <w:r w:rsidR="00364D6D">
          <w:rPr>
            <w:noProof/>
            <w:webHidden/>
          </w:rPr>
          <w:fldChar w:fldCharType="begin"/>
        </w:r>
        <w:r w:rsidR="00364D6D">
          <w:rPr>
            <w:noProof/>
            <w:webHidden/>
          </w:rPr>
          <w:instrText xml:space="preserve"> PAGEREF _Toc10191420 \h </w:instrText>
        </w:r>
        <w:r w:rsidR="00364D6D">
          <w:rPr>
            <w:noProof/>
            <w:webHidden/>
          </w:rPr>
        </w:r>
        <w:r w:rsidR="00364D6D">
          <w:rPr>
            <w:noProof/>
            <w:webHidden/>
          </w:rPr>
          <w:fldChar w:fldCharType="separate"/>
        </w:r>
        <w:r w:rsidR="00364D6D">
          <w:rPr>
            <w:noProof/>
            <w:webHidden/>
          </w:rPr>
          <w:t>34</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1" w:history="1">
        <w:r w:rsidR="00364D6D" w:rsidRPr="00061CC1">
          <w:rPr>
            <w:rStyle w:val="Kpr"/>
            <w:noProof/>
          </w:rPr>
          <w:t>Table 1.5: Distribution of Unlicensed Installed Capacity by Sources (MW-%)</w:t>
        </w:r>
        <w:r w:rsidR="00364D6D">
          <w:rPr>
            <w:noProof/>
            <w:webHidden/>
          </w:rPr>
          <w:tab/>
        </w:r>
        <w:r w:rsidR="00364D6D">
          <w:rPr>
            <w:noProof/>
            <w:webHidden/>
          </w:rPr>
          <w:fldChar w:fldCharType="begin"/>
        </w:r>
        <w:r w:rsidR="00364D6D">
          <w:rPr>
            <w:noProof/>
            <w:webHidden/>
          </w:rPr>
          <w:instrText xml:space="preserve"> PAGEREF _Toc10191421 \h </w:instrText>
        </w:r>
        <w:r w:rsidR="00364D6D">
          <w:rPr>
            <w:noProof/>
            <w:webHidden/>
          </w:rPr>
        </w:r>
        <w:r w:rsidR="00364D6D">
          <w:rPr>
            <w:noProof/>
            <w:webHidden/>
          </w:rPr>
          <w:fldChar w:fldCharType="separate"/>
        </w:r>
        <w:r w:rsidR="00364D6D">
          <w:rPr>
            <w:noProof/>
            <w:webHidden/>
          </w:rPr>
          <w:t>35</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2" w:history="1">
        <w:r w:rsidR="00364D6D" w:rsidRPr="00061CC1">
          <w:rPr>
            <w:rStyle w:val="Kpr"/>
            <w:noProof/>
          </w:rPr>
          <w:t>Table 1.6: Distribution of Unlicensed Installed Capacity by Province (MW- %)</w:t>
        </w:r>
        <w:r w:rsidR="00364D6D">
          <w:rPr>
            <w:noProof/>
            <w:webHidden/>
          </w:rPr>
          <w:tab/>
        </w:r>
        <w:r w:rsidR="00364D6D">
          <w:rPr>
            <w:noProof/>
            <w:webHidden/>
          </w:rPr>
          <w:fldChar w:fldCharType="begin"/>
        </w:r>
        <w:r w:rsidR="00364D6D">
          <w:rPr>
            <w:noProof/>
            <w:webHidden/>
          </w:rPr>
          <w:instrText xml:space="preserve"> PAGEREF _Toc10191422 \h </w:instrText>
        </w:r>
        <w:r w:rsidR="00364D6D">
          <w:rPr>
            <w:noProof/>
            <w:webHidden/>
          </w:rPr>
        </w:r>
        <w:r w:rsidR="00364D6D">
          <w:rPr>
            <w:noProof/>
            <w:webHidden/>
          </w:rPr>
          <w:fldChar w:fldCharType="separate"/>
        </w:r>
        <w:r w:rsidR="00364D6D">
          <w:rPr>
            <w:noProof/>
            <w:webHidden/>
          </w:rPr>
          <w:t>37</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3" w:history="1">
        <w:r w:rsidR="00364D6D" w:rsidRPr="00061CC1">
          <w:rPr>
            <w:rStyle w:val="Kpr"/>
            <w:noProof/>
          </w:rPr>
          <w:t>Table 1.7:  Distribution of Unlicensed Electricity Generation by Sources  (MWh-%)</w:t>
        </w:r>
        <w:r w:rsidR="00364D6D">
          <w:rPr>
            <w:noProof/>
            <w:webHidden/>
          </w:rPr>
          <w:tab/>
        </w:r>
        <w:r w:rsidR="00364D6D">
          <w:rPr>
            <w:noProof/>
            <w:webHidden/>
          </w:rPr>
          <w:fldChar w:fldCharType="begin"/>
        </w:r>
        <w:r w:rsidR="00364D6D">
          <w:rPr>
            <w:noProof/>
            <w:webHidden/>
          </w:rPr>
          <w:instrText xml:space="preserve"> PAGEREF _Toc10191423 \h </w:instrText>
        </w:r>
        <w:r w:rsidR="00364D6D">
          <w:rPr>
            <w:noProof/>
            <w:webHidden/>
          </w:rPr>
        </w:r>
        <w:r w:rsidR="00364D6D">
          <w:rPr>
            <w:noProof/>
            <w:webHidden/>
          </w:rPr>
          <w:fldChar w:fldCharType="separate"/>
        </w:r>
        <w:r w:rsidR="00364D6D">
          <w:rPr>
            <w:noProof/>
            <w:webHidden/>
          </w:rPr>
          <w:t>40</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4" w:history="1">
        <w:r w:rsidR="00364D6D" w:rsidRPr="00061CC1">
          <w:rPr>
            <w:rStyle w:val="Kpr"/>
            <w:noProof/>
          </w:rPr>
          <w:t>Table 1.8: Distribution of Unlicensed Electricity Generation by Provinces (MWh-%)</w:t>
        </w:r>
        <w:r w:rsidR="00364D6D">
          <w:rPr>
            <w:noProof/>
            <w:webHidden/>
          </w:rPr>
          <w:tab/>
        </w:r>
        <w:r w:rsidR="00364D6D">
          <w:rPr>
            <w:noProof/>
            <w:webHidden/>
          </w:rPr>
          <w:fldChar w:fldCharType="begin"/>
        </w:r>
        <w:r w:rsidR="00364D6D">
          <w:rPr>
            <w:noProof/>
            <w:webHidden/>
          </w:rPr>
          <w:instrText xml:space="preserve"> PAGEREF _Toc10191424 \h </w:instrText>
        </w:r>
        <w:r w:rsidR="00364D6D">
          <w:rPr>
            <w:noProof/>
            <w:webHidden/>
          </w:rPr>
        </w:r>
        <w:r w:rsidR="00364D6D">
          <w:rPr>
            <w:noProof/>
            <w:webHidden/>
          </w:rPr>
          <w:fldChar w:fldCharType="separate"/>
        </w:r>
        <w:r w:rsidR="00364D6D">
          <w:rPr>
            <w:noProof/>
            <w:webHidden/>
          </w:rPr>
          <w:t>41</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5" w:history="1">
        <w:r w:rsidR="00364D6D" w:rsidRPr="00061CC1">
          <w:rPr>
            <w:rStyle w:val="Kpr"/>
            <w:noProof/>
          </w:rPr>
          <w:t>Table 1.9: Distribution of the Amount of Payment Made Within the Scope of Unlicensed Electricity Generation by Sources (TL-%)</w:t>
        </w:r>
        <w:r w:rsidR="00364D6D">
          <w:rPr>
            <w:noProof/>
            <w:webHidden/>
          </w:rPr>
          <w:tab/>
        </w:r>
        <w:r w:rsidR="00364D6D">
          <w:rPr>
            <w:noProof/>
            <w:webHidden/>
          </w:rPr>
          <w:fldChar w:fldCharType="begin"/>
        </w:r>
        <w:r w:rsidR="00364D6D">
          <w:rPr>
            <w:noProof/>
            <w:webHidden/>
          </w:rPr>
          <w:instrText xml:space="preserve"> PAGEREF _Toc10191425 \h </w:instrText>
        </w:r>
        <w:r w:rsidR="00364D6D">
          <w:rPr>
            <w:noProof/>
            <w:webHidden/>
          </w:rPr>
        </w:r>
        <w:r w:rsidR="00364D6D">
          <w:rPr>
            <w:noProof/>
            <w:webHidden/>
          </w:rPr>
          <w:fldChar w:fldCharType="separate"/>
        </w:r>
        <w:r w:rsidR="00364D6D">
          <w:rPr>
            <w:noProof/>
            <w:webHidden/>
          </w:rPr>
          <w:t>44</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6" w:history="1">
        <w:r w:rsidR="00364D6D" w:rsidRPr="00061CC1">
          <w:rPr>
            <w:rStyle w:val="Kpr"/>
            <w:noProof/>
          </w:rPr>
          <w:t>Table 1.10: Sales to Eligible and Non-Eligible Consumers in 2018 (MWh)</w:t>
        </w:r>
        <w:r w:rsidR="00364D6D">
          <w:rPr>
            <w:noProof/>
            <w:webHidden/>
          </w:rPr>
          <w:tab/>
        </w:r>
        <w:r w:rsidR="00364D6D">
          <w:rPr>
            <w:noProof/>
            <w:webHidden/>
          </w:rPr>
          <w:fldChar w:fldCharType="begin"/>
        </w:r>
        <w:r w:rsidR="00364D6D">
          <w:rPr>
            <w:noProof/>
            <w:webHidden/>
          </w:rPr>
          <w:instrText xml:space="preserve"> PAGEREF _Toc10191426 \h </w:instrText>
        </w:r>
        <w:r w:rsidR="00364D6D">
          <w:rPr>
            <w:noProof/>
            <w:webHidden/>
          </w:rPr>
        </w:r>
        <w:r w:rsidR="00364D6D">
          <w:rPr>
            <w:noProof/>
            <w:webHidden/>
          </w:rPr>
          <w:fldChar w:fldCharType="separate"/>
        </w:r>
        <w:r w:rsidR="00364D6D">
          <w:rPr>
            <w:noProof/>
            <w:webHidden/>
          </w:rPr>
          <w:t>45</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7" w:history="1">
        <w:r w:rsidR="00364D6D" w:rsidRPr="00061CC1">
          <w:rPr>
            <w:rStyle w:val="Kpr"/>
            <w:noProof/>
          </w:rPr>
          <w:t>Table 1.11: Distribution of Invoiced Consumption by Distribution Regions in 2018 (MWh-%)</w:t>
        </w:r>
        <w:r w:rsidR="00364D6D">
          <w:rPr>
            <w:noProof/>
            <w:webHidden/>
          </w:rPr>
          <w:tab/>
        </w:r>
        <w:r w:rsidR="00364D6D">
          <w:rPr>
            <w:noProof/>
            <w:webHidden/>
          </w:rPr>
          <w:fldChar w:fldCharType="begin"/>
        </w:r>
        <w:r w:rsidR="00364D6D">
          <w:rPr>
            <w:noProof/>
            <w:webHidden/>
          </w:rPr>
          <w:instrText xml:space="preserve"> PAGEREF _Toc10191427 \h </w:instrText>
        </w:r>
        <w:r w:rsidR="00364D6D">
          <w:rPr>
            <w:noProof/>
            <w:webHidden/>
          </w:rPr>
        </w:r>
        <w:r w:rsidR="00364D6D">
          <w:rPr>
            <w:noProof/>
            <w:webHidden/>
          </w:rPr>
          <w:fldChar w:fldCharType="separate"/>
        </w:r>
        <w:r w:rsidR="00364D6D">
          <w:rPr>
            <w:noProof/>
            <w:webHidden/>
          </w:rPr>
          <w:t>46</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8" w:history="1">
        <w:r w:rsidR="00364D6D" w:rsidRPr="00061CC1">
          <w:rPr>
            <w:rStyle w:val="Kpr"/>
            <w:noProof/>
          </w:rPr>
          <w:t>Table 1.12: Distribution of Invoiced Consumption by Consumer Type as Eligible and Non-Eligible Consumers in 2018 (MWh)</w:t>
        </w:r>
        <w:r w:rsidR="00364D6D">
          <w:rPr>
            <w:noProof/>
            <w:webHidden/>
          </w:rPr>
          <w:tab/>
        </w:r>
        <w:r w:rsidR="00364D6D">
          <w:rPr>
            <w:noProof/>
            <w:webHidden/>
          </w:rPr>
          <w:fldChar w:fldCharType="begin"/>
        </w:r>
        <w:r w:rsidR="00364D6D">
          <w:rPr>
            <w:noProof/>
            <w:webHidden/>
          </w:rPr>
          <w:instrText xml:space="preserve"> PAGEREF _Toc10191428 \h </w:instrText>
        </w:r>
        <w:r w:rsidR="00364D6D">
          <w:rPr>
            <w:noProof/>
            <w:webHidden/>
          </w:rPr>
        </w:r>
        <w:r w:rsidR="00364D6D">
          <w:rPr>
            <w:noProof/>
            <w:webHidden/>
          </w:rPr>
          <w:fldChar w:fldCharType="separate"/>
        </w:r>
        <w:r w:rsidR="00364D6D">
          <w:rPr>
            <w:noProof/>
            <w:webHidden/>
          </w:rPr>
          <w:t>47</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29" w:history="1">
        <w:r w:rsidR="00364D6D" w:rsidRPr="00061CC1">
          <w:rPr>
            <w:rStyle w:val="Kpr"/>
            <w:noProof/>
          </w:rPr>
          <w:t>Table 1.13: Development of Invoiced Consumption by Consumer Type by Years (MWh)</w:t>
        </w:r>
        <w:r w:rsidR="00364D6D">
          <w:rPr>
            <w:noProof/>
            <w:webHidden/>
          </w:rPr>
          <w:tab/>
        </w:r>
        <w:r w:rsidR="00364D6D">
          <w:rPr>
            <w:noProof/>
            <w:webHidden/>
          </w:rPr>
          <w:fldChar w:fldCharType="begin"/>
        </w:r>
        <w:r w:rsidR="00364D6D">
          <w:rPr>
            <w:noProof/>
            <w:webHidden/>
          </w:rPr>
          <w:instrText xml:space="preserve"> PAGEREF _Toc10191429 \h </w:instrText>
        </w:r>
        <w:r w:rsidR="00364D6D">
          <w:rPr>
            <w:noProof/>
            <w:webHidden/>
          </w:rPr>
        </w:r>
        <w:r w:rsidR="00364D6D">
          <w:rPr>
            <w:noProof/>
            <w:webHidden/>
          </w:rPr>
          <w:fldChar w:fldCharType="separate"/>
        </w:r>
        <w:r w:rsidR="00364D6D">
          <w:rPr>
            <w:noProof/>
            <w:webHidden/>
          </w:rPr>
          <w:t>48</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0" w:history="1">
        <w:r w:rsidR="00364D6D" w:rsidRPr="00061CC1">
          <w:rPr>
            <w:rStyle w:val="Kpr"/>
            <w:noProof/>
          </w:rPr>
          <w:t>Table 1.14: Distribution of Invoiced Consumption by Province (MWh - %)</w:t>
        </w:r>
        <w:r w:rsidR="00364D6D">
          <w:rPr>
            <w:noProof/>
            <w:webHidden/>
          </w:rPr>
          <w:tab/>
        </w:r>
        <w:r w:rsidR="00364D6D">
          <w:rPr>
            <w:noProof/>
            <w:webHidden/>
          </w:rPr>
          <w:fldChar w:fldCharType="begin"/>
        </w:r>
        <w:r w:rsidR="00364D6D">
          <w:rPr>
            <w:noProof/>
            <w:webHidden/>
          </w:rPr>
          <w:instrText xml:space="preserve"> PAGEREF _Toc10191430 \h </w:instrText>
        </w:r>
        <w:r w:rsidR="00364D6D">
          <w:rPr>
            <w:noProof/>
            <w:webHidden/>
          </w:rPr>
        </w:r>
        <w:r w:rsidR="00364D6D">
          <w:rPr>
            <w:noProof/>
            <w:webHidden/>
          </w:rPr>
          <w:fldChar w:fldCharType="separate"/>
        </w:r>
        <w:r w:rsidR="00364D6D">
          <w:rPr>
            <w:noProof/>
            <w:webHidden/>
          </w:rPr>
          <w:t>49</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1" w:history="1">
        <w:r w:rsidR="00364D6D" w:rsidRPr="00061CC1">
          <w:rPr>
            <w:rStyle w:val="Kpr"/>
            <w:noProof/>
          </w:rPr>
          <w:t>Table 1.15: Distribution of Invoiced Consumption by Province and Consumer Type (MWh)</w:t>
        </w:r>
        <w:r w:rsidR="00364D6D">
          <w:rPr>
            <w:noProof/>
            <w:webHidden/>
          </w:rPr>
          <w:tab/>
        </w:r>
        <w:r w:rsidR="00364D6D">
          <w:rPr>
            <w:noProof/>
            <w:webHidden/>
          </w:rPr>
          <w:fldChar w:fldCharType="begin"/>
        </w:r>
        <w:r w:rsidR="00364D6D">
          <w:rPr>
            <w:noProof/>
            <w:webHidden/>
          </w:rPr>
          <w:instrText xml:space="preserve"> PAGEREF _Toc10191431 \h </w:instrText>
        </w:r>
        <w:r w:rsidR="00364D6D">
          <w:rPr>
            <w:noProof/>
            <w:webHidden/>
          </w:rPr>
        </w:r>
        <w:r w:rsidR="00364D6D">
          <w:rPr>
            <w:noProof/>
            <w:webHidden/>
          </w:rPr>
          <w:fldChar w:fldCharType="separate"/>
        </w:r>
        <w:r w:rsidR="00364D6D">
          <w:rPr>
            <w:noProof/>
            <w:webHidden/>
          </w:rPr>
          <w:t>52</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2" w:history="1">
        <w:r w:rsidR="00364D6D" w:rsidRPr="00061CC1">
          <w:rPr>
            <w:rStyle w:val="Kpr"/>
            <w:noProof/>
          </w:rPr>
          <w:t>Table.2.2.1: Additional Costs of Orders (Million TL)</w:t>
        </w:r>
        <w:r w:rsidR="00364D6D">
          <w:rPr>
            <w:noProof/>
            <w:webHidden/>
          </w:rPr>
          <w:tab/>
        </w:r>
        <w:r w:rsidR="00364D6D">
          <w:rPr>
            <w:noProof/>
            <w:webHidden/>
          </w:rPr>
          <w:fldChar w:fldCharType="begin"/>
        </w:r>
        <w:r w:rsidR="00364D6D">
          <w:rPr>
            <w:noProof/>
            <w:webHidden/>
          </w:rPr>
          <w:instrText xml:space="preserve"> PAGEREF _Toc10191432 \h </w:instrText>
        </w:r>
        <w:r w:rsidR="00364D6D">
          <w:rPr>
            <w:noProof/>
            <w:webHidden/>
          </w:rPr>
        </w:r>
        <w:r w:rsidR="00364D6D">
          <w:rPr>
            <w:noProof/>
            <w:webHidden/>
          </w:rPr>
          <w:fldChar w:fldCharType="separate"/>
        </w:r>
        <w:r w:rsidR="00364D6D">
          <w:rPr>
            <w:noProof/>
            <w:webHidden/>
          </w:rPr>
          <w:t>68</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3" w:history="1">
        <w:r w:rsidR="00364D6D" w:rsidRPr="00061CC1">
          <w:rPr>
            <w:rStyle w:val="Kpr"/>
            <w:noProof/>
          </w:rPr>
          <w:t xml:space="preserve">Table 2.5.1: Number of </w:t>
        </w:r>
        <w:r w:rsidR="002508DE">
          <w:rPr>
            <w:rStyle w:val="Kpr"/>
            <w:noProof/>
          </w:rPr>
          <w:t>RESUM</w:t>
        </w:r>
        <w:r w:rsidR="00364D6D" w:rsidRPr="00061CC1">
          <w:rPr>
            <w:rStyle w:val="Kpr"/>
            <w:noProof/>
          </w:rPr>
          <w:t xml:space="preserve"> Participants by Years</w:t>
        </w:r>
        <w:r w:rsidR="00364D6D">
          <w:rPr>
            <w:noProof/>
            <w:webHidden/>
          </w:rPr>
          <w:tab/>
        </w:r>
        <w:r w:rsidR="00364D6D">
          <w:rPr>
            <w:noProof/>
            <w:webHidden/>
          </w:rPr>
          <w:fldChar w:fldCharType="begin"/>
        </w:r>
        <w:r w:rsidR="00364D6D">
          <w:rPr>
            <w:noProof/>
            <w:webHidden/>
          </w:rPr>
          <w:instrText xml:space="preserve"> PAGEREF _Toc10191433 \h </w:instrText>
        </w:r>
        <w:r w:rsidR="00364D6D">
          <w:rPr>
            <w:noProof/>
            <w:webHidden/>
          </w:rPr>
        </w:r>
        <w:r w:rsidR="00364D6D">
          <w:rPr>
            <w:noProof/>
            <w:webHidden/>
          </w:rPr>
          <w:fldChar w:fldCharType="separate"/>
        </w:r>
        <w:r w:rsidR="00364D6D">
          <w:rPr>
            <w:noProof/>
            <w:webHidden/>
          </w:rPr>
          <w:t>75</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4" w:history="1">
        <w:r w:rsidR="00364D6D" w:rsidRPr="00061CC1">
          <w:rPr>
            <w:rStyle w:val="Kpr"/>
            <w:noProof/>
          </w:rPr>
          <w:t xml:space="preserve">Table 2.5.2: Installed Capacity of the </w:t>
        </w:r>
        <w:r w:rsidR="002508DE">
          <w:rPr>
            <w:rStyle w:val="Kpr"/>
            <w:noProof/>
          </w:rPr>
          <w:t>RESUM</w:t>
        </w:r>
        <w:r w:rsidR="00364D6D" w:rsidRPr="00061CC1">
          <w:rPr>
            <w:rStyle w:val="Kpr"/>
            <w:noProof/>
          </w:rPr>
          <w:t xml:space="preserve"> Participants by Years </w:t>
        </w:r>
        <w:r w:rsidR="00364D6D" w:rsidRPr="00061CC1">
          <w:rPr>
            <w:rStyle w:val="Kpr"/>
            <w:rFonts w:cstheme="minorHAnsi"/>
            <w:noProof/>
          </w:rPr>
          <w:t>*</w:t>
        </w:r>
        <w:r w:rsidR="00364D6D" w:rsidRPr="00061CC1">
          <w:rPr>
            <w:rStyle w:val="Kpr"/>
            <w:noProof/>
          </w:rPr>
          <w:t>(MW)</w:t>
        </w:r>
        <w:r w:rsidR="00364D6D">
          <w:rPr>
            <w:noProof/>
            <w:webHidden/>
          </w:rPr>
          <w:tab/>
        </w:r>
        <w:r w:rsidR="00364D6D">
          <w:rPr>
            <w:noProof/>
            <w:webHidden/>
          </w:rPr>
          <w:fldChar w:fldCharType="begin"/>
        </w:r>
        <w:r w:rsidR="00364D6D">
          <w:rPr>
            <w:noProof/>
            <w:webHidden/>
          </w:rPr>
          <w:instrText xml:space="preserve"> PAGEREF _Toc10191434 \h </w:instrText>
        </w:r>
        <w:r w:rsidR="00364D6D">
          <w:rPr>
            <w:noProof/>
            <w:webHidden/>
          </w:rPr>
        </w:r>
        <w:r w:rsidR="00364D6D">
          <w:rPr>
            <w:noProof/>
            <w:webHidden/>
          </w:rPr>
          <w:fldChar w:fldCharType="separate"/>
        </w:r>
        <w:r w:rsidR="00364D6D">
          <w:rPr>
            <w:noProof/>
            <w:webHidden/>
          </w:rPr>
          <w:t>75</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5" w:history="1">
        <w:r w:rsidR="00364D6D" w:rsidRPr="00061CC1">
          <w:rPr>
            <w:rStyle w:val="Kpr"/>
            <w:noProof/>
          </w:rPr>
          <w:t xml:space="preserve">Table 2.5.3: Yearly Generation of </w:t>
        </w:r>
        <w:r w:rsidR="002508DE">
          <w:rPr>
            <w:rStyle w:val="Kpr"/>
            <w:noProof/>
          </w:rPr>
          <w:t>RESUM</w:t>
        </w:r>
        <w:r w:rsidR="00364D6D" w:rsidRPr="00061CC1">
          <w:rPr>
            <w:rStyle w:val="Kpr"/>
            <w:noProof/>
          </w:rPr>
          <w:t xml:space="preserve"> Participants by years (MWh)*</w:t>
        </w:r>
        <w:r w:rsidR="00364D6D">
          <w:rPr>
            <w:noProof/>
            <w:webHidden/>
          </w:rPr>
          <w:tab/>
        </w:r>
        <w:r w:rsidR="00364D6D">
          <w:rPr>
            <w:noProof/>
            <w:webHidden/>
          </w:rPr>
          <w:fldChar w:fldCharType="begin"/>
        </w:r>
        <w:r w:rsidR="00364D6D">
          <w:rPr>
            <w:noProof/>
            <w:webHidden/>
          </w:rPr>
          <w:instrText xml:space="preserve"> PAGEREF _Toc10191435 \h </w:instrText>
        </w:r>
        <w:r w:rsidR="00364D6D">
          <w:rPr>
            <w:noProof/>
            <w:webHidden/>
          </w:rPr>
        </w:r>
        <w:r w:rsidR="00364D6D">
          <w:rPr>
            <w:noProof/>
            <w:webHidden/>
          </w:rPr>
          <w:fldChar w:fldCharType="separate"/>
        </w:r>
        <w:r w:rsidR="00364D6D">
          <w:rPr>
            <w:noProof/>
            <w:webHidden/>
          </w:rPr>
          <w:t>76</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6" w:history="1">
        <w:r w:rsidR="00364D6D" w:rsidRPr="00061CC1">
          <w:rPr>
            <w:rStyle w:val="Kpr"/>
            <w:noProof/>
          </w:rPr>
          <w:t>Table 3.1: HHI Values by Generation and Capacity</w:t>
        </w:r>
        <w:r w:rsidR="00364D6D">
          <w:rPr>
            <w:noProof/>
            <w:webHidden/>
          </w:rPr>
          <w:tab/>
        </w:r>
        <w:r w:rsidR="00364D6D">
          <w:rPr>
            <w:noProof/>
            <w:webHidden/>
          </w:rPr>
          <w:fldChar w:fldCharType="begin"/>
        </w:r>
        <w:r w:rsidR="00364D6D">
          <w:rPr>
            <w:noProof/>
            <w:webHidden/>
          </w:rPr>
          <w:instrText xml:space="preserve"> PAGEREF _Toc10191436 \h </w:instrText>
        </w:r>
        <w:r w:rsidR="00364D6D">
          <w:rPr>
            <w:noProof/>
            <w:webHidden/>
          </w:rPr>
        </w:r>
        <w:r w:rsidR="00364D6D">
          <w:rPr>
            <w:noProof/>
            <w:webHidden/>
          </w:rPr>
          <w:fldChar w:fldCharType="separate"/>
        </w:r>
        <w:r w:rsidR="00364D6D">
          <w:rPr>
            <w:noProof/>
            <w:webHidden/>
          </w:rPr>
          <w:t>81</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7" w:history="1">
        <w:r w:rsidR="00364D6D" w:rsidRPr="00061CC1">
          <w:rPr>
            <w:rStyle w:val="Kpr"/>
            <w:noProof/>
          </w:rPr>
          <w:t>Table 3.2: Sales, Market Shares and HHI Values of Supply License Owners</w:t>
        </w:r>
        <w:r w:rsidR="00364D6D">
          <w:rPr>
            <w:noProof/>
            <w:webHidden/>
          </w:rPr>
          <w:tab/>
        </w:r>
        <w:r w:rsidR="00364D6D">
          <w:rPr>
            <w:noProof/>
            <w:webHidden/>
          </w:rPr>
          <w:fldChar w:fldCharType="begin"/>
        </w:r>
        <w:r w:rsidR="00364D6D">
          <w:rPr>
            <w:noProof/>
            <w:webHidden/>
          </w:rPr>
          <w:instrText xml:space="preserve"> PAGEREF _Toc10191437 \h </w:instrText>
        </w:r>
        <w:r w:rsidR="00364D6D">
          <w:rPr>
            <w:noProof/>
            <w:webHidden/>
          </w:rPr>
        </w:r>
        <w:r w:rsidR="00364D6D">
          <w:rPr>
            <w:noProof/>
            <w:webHidden/>
          </w:rPr>
          <w:fldChar w:fldCharType="separate"/>
        </w:r>
        <w:r w:rsidR="00364D6D">
          <w:rPr>
            <w:noProof/>
            <w:webHidden/>
          </w:rPr>
          <w:t>82</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8" w:history="1">
        <w:r w:rsidR="00364D6D" w:rsidRPr="00061CC1">
          <w:rPr>
            <w:rStyle w:val="Kpr"/>
            <w:noProof/>
          </w:rPr>
          <w:t>Table 3.3: The Distribution of Eligible Consumers’ Switches by Supplier Type</w:t>
        </w:r>
        <w:r w:rsidR="00364D6D">
          <w:rPr>
            <w:noProof/>
            <w:webHidden/>
          </w:rPr>
          <w:tab/>
        </w:r>
        <w:r w:rsidR="00364D6D">
          <w:rPr>
            <w:noProof/>
            <w:webHidden/>
          </w:rPr>
          <w:fldChar w:fldCharType="begin"/>
        </w:r>
        <w:r w:rsidR="00364D6D">
          <w:rPr>
            <w:noProof/>
            <w:webHidden/>
          </w:rPr>
          <w:instrText xml:space="preserve"> PAGEREF _Toc10191438 \h </w:instrText>
        </w:r>
        <w:r w:rsidR="00364D6D">
          <w:rPr>
            <w:noProof/>
            <w:webHidden/>
          </w:rPr>
        </w:r>
        <w:r w:rsidR="00364D6D">
          <w:rPr>
            <w:noProof/>
            <w:webHidden/>
          </w:rPr>
          <w:fldChar w:fldCharType="separate"/>
        </w:r>
        <w:r w:rsidR="00364D6D">
          <w:rPr>
            <w:noProof/>
            <w:webHidden/>
          </w:rPr>
          <w:t>88</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39" w:history="1">
        <w:r w:rsidR="00364D6D" w:rsidRPr="00061CC1">
          <w:rPr>
            <w:rStyle w:val="Kpr"/>
            <w:noProof/>
          </w:rPr>
          <w:t>Table 4.1: Transformer Center Information</w:t>
        </w:r>
        <w:r w:rsidR="00364D6D">
          <w:rPr>
            <w:noProof/>
            <w:webHidden/>
          </w:rPr>
          <w:tab/>
        </w:r>
        <w:r w:rsidR="00364D6D">
          <w:rPr>
            <w:noProof/>
            <w:webHidden/>
          </w:rPr>
          <w:fldChar w:fldCharType="begin"/>
        </w:r>
        <w:r w:rsidR="00364D6D">
          <w:rPr>
            <w:noProof/>
            <w:webHidden/>
          </w:rPr>
          <w:instrText xml:space="preserve"> PAGEREF _Toc10191439 \h </w:instrText>
        </w:r>
        <w:r w:rsidR="00364D6D">
          <w:rPr>
            <w:noProof/>
            <w:webHidden/>
          </w:rPr>
        </w:r>
        <w:r w:rsidR="00364D6D">
          <w:rPr>
            <w:noProof/>
            <w:webHidden/>
          </w:rPr>
          <w:fldChar w:fldCharType="separate"/>
        </w:r>
        <w:r w:rsidR="00364D6D">
          <w:rPr>
            <w:noProof/>
            <w:webHidden/>
          </w:rPr>
          <w:t>89</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0" w:history="1">
        <w:r w:rsidR="00364D6D" w:rsidRPr="00061CC1">
          <w:rPr>
            <w:rStyle w:val="Kpr"/>
            <w:noProof/>
            <w:lang w:val="de-DE"/>
          </w:rPr>
          <w:t>Table</w:t>
        </w:r>
        <w:r w:rsidR="00364D6D" w:rsidRPr="00061CC1">
          <w:rPr>
            <w:rStyle w:val="Kpr"/>
            <w:noProof/>
          </w:rPr>
          <w:t xml:space="preserve"> 4.2: TEİAŞ Transmission Lines</w:t>
        </w:r>
        <w:r w:rsidR="00364D6D">
          <w:rPr>
            <w:noProof/>
            <w:webHidden/>
          </w:rPr>
          <w:tab/>
        </w:r>
        <w:r w:rsidR="00364D6D">
          <w:rPr>
            <w:noProof/>
            <w:webHidden/>
          </w:rPr>
          <w:fldChar w:fldCharType="begin"/>
        </w:r>
        <w:r w:rsidR="00364D6D">
          <w:rPr>
            <w:noProof/>
            <w:webHidden/>
          </w:rPr>
          <w:instrText xml:space="preserve"> PAGEREF _Toc10191440 \h </w:instrText>
        </w:r>
        <w:r w:rsidR="00364D6D">
          <w:rPr>
            <w:noProof/>
            <w:webHidden/>
          </w:rPr>
        </w:r>
        <w:r w:rsidR="00364D6D">
          <w:rPr>
            <w:noProof/>
            <w:webHidden/>
          </w:rPr>
          <w:fldChar w:fldCharType="separate"/>
        </w:r>
        <w:r w:rsidR="00364D6D">
          <w:rPr>
            <w:noProof/>
            <w:webHidden/>
          </w:rPr>
          <w:t>89</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1" w:history="1">
        <w:r w:rsidR="00364D6D" w:rsidRPr="00061CC1">
          <w:rPr>
            <w:rStyle w:val="Kpr"/>
            <w:noProof/>
          </w:rPr>
          <w:t>Table 4.3: Connection Applications to the Transmission System (Number-MW)</w:t>
        </w:r>
        <w:r w:rsidR="00364D6D">
          <w:rPr>
            <w:noProof/>
            <w:webHidden/>
          </w:rPr>
          <w:tab/>
        </w:r>
        <w:r w:rsidR="00364D6D">
          <w:rPr>
            <w:noProof/>
            <w:webHidden/>
          </w:rPr>
          <w:fldChar w:fldCharType="begin"/>
        </w:r>
        <w:r w:rsidR="00364D6D">
          <w:rPr>
            <w:noProof/>
            <w:webHidden/>
          </w:rPr>
          <w:instrText xml:space="preserve"> PAGEREF _Toc10191441 \h </w:instrText>
        </w:r>
        <w:r w:rsidR="00364D6D">
          <w:rPr>
            <w:noProof/>
            <w:webHidden/>
          </w:rPr>
        </w:r>
        <w:r w:rsidR="00364D6D">
          <w:rPr>
            <w:noProof/>
            <w:webHidden/>
          </w:rPr>
          <w:fldChar w:fldCharType="separate"/>
        </w:r>
        <w:r w:rsidR="00364D6D">
          <w:rPr>
            <w:noProof/>
            <w:webHidden/>
          </w:rPr>
          <w:t>91</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2" w:history="1">
        <w:r w:rsidR="00364D6D" w:rsidRPr="00061CC1">
          <w:rPr>
            <w:rStyle w:val="Kpr"/>
            <w:noProof/>
          </w:rPr>
          <w:t>Table 4.4: System Usage and System Operation Tariffs (TL/MW-Year)</w:t>
        </w:r>
        <w:r w:rsidR="00364D6D">
          <w:rPr>
            <w:noProof/>
            <w:webHidden/>
          </w:rPr>
          <w:tab/>
        </w:r>
        <w:r w:rsidR="00364D6D">
          <w:rPr>
            <w:noProof/>
            <w:webHidden/>
          </w:rPr>
          <w:fldChar w:fldCharType="begin"/>
        </w:r>
        <w:r w:rsidR="00364D6D">
          <w:rPr>
            <w:noProof/>
            <w:webHidden/>
          </w:rPr>
          <w:instrText xml:space="preserve"> PAGEREF _Toc10191442 \h </w:instrText>
        </w:r>
        <w:r w:rsidR="00364D6D">
          <w:rPr>
            <w:noProof/>
            <w:webHidden/>
          </w:rPr>
        </w:r>
        <w:r w:rsidR="00364D6D">
          <w:rPr>
            <w:noProof/>
            <w:webHidden/>
          </w:rPr>
          <w:fldChar w:fldCharType="separate"/>
        </w:r>
        <w:r w:rsidR="00364D6D">
          <w:rPr>
            <w:noProof/>
            <w:webHidden/>
          </w:rPr>
          <w:t>92</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3" w:history="1">
        <w:r w:rsidR="00364D6D" w:rsidRPr="00061CC1">
          <w:rPr>
            <w:rStyle w:val="Kpr"/>
            <w:noProof/>
          </w:rPr>
          <w:t>Table 4.5: Comparison of 2017 and 2018 Investment Amount (TL-%)</w:t>
        </w:r>
        <w:r w:rsidR="00364D6D">
          <w:rPr>
            <w:noProof/>
            <w:webHidden/>
          </w:rPr>
          <w:tab/>
        </w:r>
        <w:r w:rsidR="00364D6D">
          <w:rPr>
            <w:noProof/>
            <w:webHidden/>
          </w:rPr>
          <w:fldChar w:fldCharType="begin"/>
        </w:r>
        <w:r w:rsidR="00364D6D">
          <w:rPr>
            <w:noProof/>
            <w:webHidden/>
          </w:rPr>
          <w:instrText xml:space="preserve"> PAGEREF _Toc10191443 \h </w:instrText>
        </w:r>
        <w:r w:rsidR="00364D6D">
          <w:rPr>
            <w:noProof/>
            <w:webHidden/>
          </w:rPr>
        </w:r>
        <w:r w:rsidR="00364D6D">
          <w:rPr>
            <w:noProof/>
            <w:webHidden/>
          </w:rPr>
          <w:fldChar w:fldCharType="separate"/>
        </w:r>
        <w:r w:rsidR="00364D6D">
          <w:rPr>
            <w:noProof/>
            <w:webHidden/>
          </w:rPr>
          <w:t>93</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4" w:history="1">
        <w:r w:rsidR="00364D6D" w:rsidRPr="00061CC1">
          <w:rPr>
            <w:rStyle w:val="Kpr"/>
            <w:noProof/>
          </w:rPr>
          <w:t xml:space="preserve">Table </w:t>
        </w:r>
        <w:r w:rsidR="00364D6D" w:rsidRPr="00061CC1">
          <w:rPr>
            <w:rStyle w:val="Kpr"/>
            <w:caps/>
            <w:noProof/>
          </w:rPr>
          <w:t xml:space="preserve">5.1: </w:t>
        </w:r>
        <w:r w:rsidR="00364D6D" w:rsidRPr="00061CC1">
          <w:rPr>
            <w:rStyle w:val="Kpr"/>
            <w:noProof/>
          </w:rPr>
          <w:t xml:space="preserve"> Number of Consumers Using Distribution System by the end of 2018 (Number-%)</w:t>
        </w:r>
        <w:r w:rsidR="00364D6D">
          <w:rPr>
            <w:noProof/>
            <w:webHidden/>
          </w:rPr>
          <w:tab/>
        </w:r>
        <w:r w:rsidR="00364D6D">
          <w:rPr>
            <w:noProof/>
            <w:webHidden/>
          </w:rPr>
          <w:fldChar w:fldCharType="begin"/>
        </w:r>
        <w:r w:rsidR="00364D6D">
          <w:rPr>
            <w:noProof/>
            <w:webHidden/>
          </w:rPr>
          <w:instrText xml:space="preserve"> PAGEREF _Toc10191444 \h </w:instrText>
        </w:r>
        <w:r w:rsidR="00364D6D">
          <w:rPr>
            <w:noProof/>
            <w:webHidden/>
          </w:rPr>
        </w:r>
        <w:r w:rsidR="00364D6D">
          <w:rPr>
            <w:noProof/>
            <w:webHidden/>
          </w:rPr>
          <w:fldChar w:fldCharType="separate"/>
        </w:r>
        <w:r w:rsidR="00364D6D">
          <w:rPr>
            <w:noProof/>
            <w:webHidden/>
          </w:rPr>
          <w:t>95</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5" w:history="1">
        <w:r w:rsidR="00364D6D" w:rsidRPr="00061CC1">
          <w:rPr>
            <w:rStyle w:val="Kpr"/>
            <w:noProof/>
          </w:rPr>
          <w:t>Table 5.2: Loss Rates of Distribution Companies (%)</w:t>
        </w:r>
        <w:r w:rsidR="00364D6D">
          <w:rPr>
            <w:noProof/>
            <w:webHidden/>
          </w:rPr>
          <w:tab/>
        </w:r>
        <w:r w:rsidR="00364D6D">
          <w:rPr>
            <w:noProof/>
            <w:webHidden/>
          </w:rPr>
          <w:fldChar w:fldCharType="begin"/>
        </w:r>
        <w:r w:rsidR="00364D6D">
          <w:rPr>
            <w:noProof/>
            <w:webHidden/>
          </w:rPr>
          <w:instrText xml:space="preserve"> PAGEREF _Toc10191445 \h </w:instrText>
        </w:r>
        <w:r w:rsidR="00364D6D">
          <w:rPr>
            <w:noProof/>
            <w:webHidden/>
          </w:rPr>
        </w:r>
        <w:r w:rsidR="00364D6D">
          <w:rPr>
            <w:noProof/>
            <w:webHidden/>
          </w:rPr>
          <w:fldChar w:fldCharType="separate"/>
        </w:r>
        <w:r w:rsidR="00364D6D">
          <w:rPr>
            <w:noProof/>
            <w:webHidden/>
          </w:rPr>
          <w:t>97</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6" w:history="1">
        <w:r w:rsidR="00364D6D" w:rsidRPr="00061CC1">
          <w:rPr>
            <w:rStyle w:val="Kpr"/>
            <w:noProof/>
          </w:rPr>
          <w:t>Table 5.3: Number of Employees of Distribution Companies (Number)</w:t>
        </w:r>
        <w:r w:rsidR="00364D6D">
          <w:rPr>
            <w:noProof/>
            <w:webHidden/>
          </w:rPr>
          <w:tab/>
        </w:r>
        <w:r w:rsidR="00364D6D">
          <w:rPr>
            <w:noProof/>
            <w:webHidden/>
          </w:rPr>
          <w:fldChar w:fldCharType="begin"/>
        </w:r>
        <w:r w:rsidR="00364D6D">
          <w:rPr>
            <w:noProof/>
            <w:webHidden/>
          </w:rPr>
          <w:instrText xml:space="preserve"> PAGEREF _Toc10191446 \h </w:instrText>
        </w:r>
        <w:r w:rsidR="00364D6D">
          <w:rPr>
            <w:noProof/>
            <w:webHidden/>
          </w:rPr>
        </w:r>
        <w:r w:rsidR="00364D6D">
          <w:rPr>
            <w:noProof/>
            <w:webHidden/>
          </w:rPr>
          <w:fldChar w:fldCharType="separate"/>
        </w:r>
        <w:r w:rsidR="00364D6D">
          <w:rPr>
            <w:noProof/>
            <w:webHidden/>
          </w:rPr>
          <w:t>99</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7" w:history="1">
        <w:r w:rsidR="00364D6D" w:rsidRPr="00061CC1">
          <w:rPr>
            <w:rStyle w:val="Kpr"/>
            <w:noProof/>
          </w:rPr>
          <w:t>Table 5.4: Line Lengths, Number of Transformers and Transformer Capacities Based on Distribution Companies by end of 2018 (Km-MVA-Number)</w:t>
        </w:r>
        <w:r w:rsidR="00364D6D" w:rsidRPr="00061CC1">
          <w:rPr>
            <w:rStyle w:val="Kpr"/>
            <w:noProof/>
            <w:vertAlign w:val="superscript"/>
          </w:rPr>
          <w:t xml:space="preserve"> </w:t>
        </w:r>
        <w:r w:rsidR="00364D6D">
          <w:rPr>
            <w:noProof/>
            <w:webHidden/>
          </w:rPr>
          <w:tab/>
        </w:r>
        <w:r w:rsidR="00364D6D">
          <w:rPr>
            <w:noProof/>
            <w:webHidden/>
          </w:rPr>
          <w:fldChar w:fldCharType="begin"/>
        </w:r>
        <w:r w:rsidR="00364D6D">
          <w:rPr>
            <w:noProof/>
            <w:webHidden/>
          </w:rPr>
          <w:instrText xml:space="preserve"> PAGEREF _Toc10191447 \h </w:instrText>
        </w:r>
        <w:r w:rsidR="00364D6D">
          <w:rPr>
            <w:noProof/>
            <w:webHidden/>
          </w:rPr>
        </w:r>
        <w:r w:rsidR="00364D6D">
          <w:rPr>
            <w:noProof/>
            <w:webHidden/>
          </w:rPr>
          <w:fldChar w:fldCharType="separate"/>
        </w:r>
        <w:r w:rsidR="00364D6D">
          <w:rPr>
            <w:noProof/>
            <w:webHidden/>
          </w:rPr>
          <w:t>101</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8" w:history="1">
        <w:r w:rsidR="00364D6D" w:rsidRPr="00061CC1">
          <w:rPr>
            <w:rStyle w:val="Kpr"/>
            <w:noProof/>
          </w:rPr>
          <w:t xml:space="preserve">Table 5.5: </w:t>
        </w:r>
        <w:r w:rsidR="00364D6D" w:rsidRPr="00061CC1">
          <w:rPr>
            <w:rStyle w:val="Kpr"/>
            <w:rFonts w:cstheme="minorHAnsi"/>
            <w:noProof/>
          </w:rPr>
          <w:t xml:space="preserve">The Lengths of Distribution Lines </w:t>
        </w:r>
        <w:r w:rsidR="00364D6D" w:rsidRPr="00061CC1">
          <w:rPr>
            <w:rStyle w:val="Kpr"/>
            <w:noProof/>
          </w:rPr>
          <w:t>(Km)</w:t>
        </w:r>
        <w:r w:rsidR="00364D6D">
          <w:rPr>
            <w:noProof/>
            <w:webHidden/>
          </w:rPr>
          <w:tab/>
        </w:r>
        <w:r w:rsidR="00364D6D">
          <w:rPr>
            <w:noProof/>
            <w:webHidden/>
          </w:rPr>
          <w:fldChar w:fldCharType="begin"/>
        </w:r>
        <w:r w:rsidR="00364D6D">
          <w:rPr>
            <w:noProof/>
            <w:webHidden/>
          </w:rPr>
          <w:instrText xml:space="preserve"> PAGEREF _Toc10191448 \h </w:instrText>
        </w:r>
        <w:r w:rsidR="00364D6D">
          <w:rPr>
            <w:noProof/>
            <w:webHidden/>
          </w:rPr>
        </w:r>
        <w:r w:rsidR="00364D6D">
          <w:rPr>
            <w:noProof/>
            <w:webHidden/>
          </w:rPr>
          <w:fldChar w:fldCharType="separate"/>
        </w:r>
        <w:r w:rsidR="00364D6D">
          <w:rPr>
            <w:noProof/>
            <w:webHidden/>
          </w:rPr>
          <w:t>102</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49" w:history="1">
        <w:r w:rsidR="00364D6D" w:rsidRPr="00061CC1">
          <w:rPr>
            <w:rStyle w:val="Kpr"/>
            <w:noProof/>
          </w:rPr>
          <w:t>Table 5.6:  Line Lengths at Distribution Voltage Levels, Number of Transformers and Transformer Capacities by Provinces in 2018 (Km-MVA-Number)</w:t>
        </w:r>
        <w:r w:rsidR="00364D6D">
          <w:rPr>
            <w:noProof/>
            <w:webHidden/>
          </w:rPr>
          <w:tab/>
        </w:r>
        <w:r w:rsidR="00364D6D">
          <w:rPr>
            <w:noProof/>
            <w:webHidden/>
          </w:rPr>
          <w:fldChar w:fldCharType="begin"/>
        </w:r>
        <w:r w:rsidR="00364D6D">
          <w:rPr>
            <w:noProof/>
            <w:webHidden/>
          </w:rPr>
          <w:instrText xml:space="preserve"> PAGEREF _Toc10191449 \h </w:instrText>
        </w:r>
        <w:r w:rsidR="00364D6D">
          <w:rPr>
            <w:noProof/>
            <w:webHidden/>
          </w:rPr>
        </w:r>
        <w:r w:rsidR="00364D6D">
          <w:rPr>
            <w:noProof/>
            <w:webHidden/>
          </w:rPr>
          <w:fldChar w:fldCharType="separate"/>
        </w:r>
        <w:r w:rsidR="00364D6D">
          <w:rPr>
            <w:noProof/>
            <w:webHidden/>
          </w:rPr>
          <w:t>104</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50" w:history="1">
        <w:r w:rsidR="00364D6D" w:rsidRPr="00061CC1">
          <w:rPr>
            <w:rStyle w:val="Kpr"/>
            <w:noProof/>
          </w:rPr>
          <w:t>Table 5.7:  Reported and Unreported Customer Average Interruption Duration Indices of Distribution Companies in 2018 (min)</w:t>
        </w:r>
        <w:r w:rsidR="00364D6D">
          <w:rPr>
            <w:noProof/>
            <w:webHidden/>
          </w:rPr>
          <w:tab/>
        </w:r>
        <w:r w:rsidR="00364D6D">
          <w:rPr>
            <w:noProof/>
            <w:webHidden/>
          </w:rPr>
          <w:fldChar w:fldCharType="begin"/>
        </w:r>
        <w:r w:rsidR="00364D6D">
          <w:rPr>
            <w:noProof/>
            <w:webHidden/>
          </w:rPr>
          <w:instrText xml:space="preserve"> PAGEREF _Toc10191450 \h </w:instrText>
        </w:r>
        <w:r w:rsidR="00364D6D">
          <w:rPr>
            <w:noProof/>
            <w:webHidden/>
          </w:rPr>
        </w:r>
        <w:r w:rsidR="00364D6D">
          <w:rPr>
            <w:noProof/>
            <w:webHidden/>
          </w:rPr>
          <w:fldChar w:fldCharType="separate"/>
        </w:r>
        <w:r w:rsidR="00364D6D">
          <w:rPr>
            <w:noProof/>
            <w:webHidden/>
          </w:rPr>
          <w:t>106</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51" w:history="1">
        <w:r w:rsidR="00364D6D" w:rsidRPr="00061CC1">
          <w:rPr>
            <w:rStyle w:val="Kpr"/>
            <w:noProof/>
          </w:rPr>
          <w:t>Table 5.8: Customer Average Interruption Duration Indices of Distribution Companies by reason in 2018 (min)</w:t>
        </w:r>
        <w:r w:rsidR="00364D6D">
          <w:rPr>
            <w:noProof/>
            <w:webHidden/>
          </w:rPr>
          <w:tab/>
        </w:r>
        <w:r w:rsidR="00364D6D">
          <w:rPr>
            <w:noProof/>
            <w:webHidden/>
          </w:rPr>
          <w:fldChar w:fldCharType="begin"/>
        </w:r>
        <w:r w:rsidR="00364D6D">
          <w:rPr>
            <w:noProof/>
            <w:webHidden/>
          </w:rPr>
          <w:instrText xml:space="preserve"> PAGEREF _Toc10191451 \h </w:instrText>
        </w:r>
        <w:r w:rsidR="00364D6D">
          <w:rPr>
            <w:noProof/>
            <w:webHidden/>
          </w:rPr>
        </w:r>
        <w:r w:rsidR="00364D6D">
          <w:rPr>
            <w:noProof/>
            <w:webHidden/>
          </w:rPr>
          <w:fldChar w:fldCharType="separate"/>
        </w:r>
        <w:r w:rsidR="00364D6D">
          <w:rPr>
            <w:noProof/>
            <w:webHidden/>
          </w:rPr>
          <w:t>107</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52" w:history="1">
        <w:r w:rsidR="00364D6D" w:rsidRPr="00061CC1">
          <w:rPr>
            <w:rStyle w:val="Kpr"/>
            <w:noProof/>
          </w:rPr>
          <w:t>Table 5.9:  Customer Average Interruption Frequency Indices of Distribution Companies in 2017 and 2018 (Number/Year)</w:t>
        </w:r>
        <w:r w:rsidR="00364D6D">
          <w:rPr>
            <w:noProof/>
            <w:webHidden/>
          </w:rPr>
          <w:tab/>
        </w:r>
        <w:r w:rsidR="00364D6D">
          <w:rPr>
            <w:noProof/>
            <w:webHidden/>
          </w:rPr>
          <w:fldChar w:fldCharType="begin"/>
        </w:r>
        <w:r w:rsidR="00364D6D">
          <w:rPr>
            <w:noProof/>
            <w:webHidden/>
          </w:rPr>
          <w:instrText xml:space="preserve"> PAGEREF _Toc10191452 \h </w:instrText>
        </w:r>
        <w:r w:rsidR="00364D6D">
          <w:rPr>
            <w:noProof/>
            <w:webHidden/>
          </w:rPr>
        </w:r>
        <w:r w:rsidR="00364D6D">
          <w:rPr>
            <w:noProof/>
            <w:webHidden/>
          </w:rPr>
          <w:fldChar w:fldCharType="separate"/>
        </w:r>
        <w:r w:rsidR="00364D6D">
          <w:rPr>
            <w:noProof/>
            <w:webHidden/>
          </w:rPr>
          <w:t>108</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53" w:history="1">
        <w:r w:rsidR="00364D6D" w:rsidRPr="00061CC1">
          <w:rPr>
            <w:rStyle w:val="Kpr"/>
            <w:noProof/>
          </w:rPr>
          <w:t>Table 5.10: Distribution Companies’ Customer Average Interruption Frequency Indices of Distribution Companies by Reason in 2018 (Number/Year)</w:t>
        </w:r>
        <w:r w:rsidR="00364D6D">
          <w:rPr>
            <w:noProof/>
            <w:webHidden/>
          </w:rPr>
          <w:tab/>
        </w:r>
        <w:r w:rsidR="00364D6D">
          <w:rPr>
            <w:noProof/>
            <w:webHidden/>
          </w:rPr>
          <w:fldChar w:fldCharType="begin"/>
        </w:r>
        <w:r w:rsidR="00364D6D">
          <w:rPr>
            <w:noProof/>
            <w:webHidden/>
          </w:rPr>
          <w:instrText xml:space="preserve"> PAGEREF _Toc10191453 \h </w:instrText>
        </w:r>
        <w:r w:rsidR="00364D6D">
          <w:rPr>
            <w:noProof/>
            <w:webHidden/>
          </w:rPr>
        </w:r>
        <w:r w:rsidR="00364D6D">
          <w:rPr>
            <w:noProof/>
            <w:webHidden/>
          </w:rPr>
          <w:fldChar w:fldCharType="separate"/>
        </w:r>
        <w:r w:rsidR="00364D6D">
          <w:rPr>
            <w:noProof/>
            <w:webHidden/>
          </w:rPr>
          <w:t>109</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54" w:history="1">
        <w:r w:rsidR="00364D6D" w:rsidRPr="00061CC1">
          <w:rPr>
            <w:rStyle w:val="Kpr"/>
            <w:noProof/>
          </w:rPr>
          <w:t xml:space="preserve">Table </w:t>
        </w:r>
        <w:r w:rsidR="00364D6D" w:rsidRPr="00061CC1">
          <w:rPr>
            <w:rStyle w:val="Kpr"/>
            <w:caps/>
            <w:noProof/>
          </w:rPr>
          <w:t xml:space="preserve">5.11: </w:t>
        </w:r>
        <w:r w:rsidR="00364D6D" w:rsidRPr="00061CC1">
          <w:rPr>
            <w:rStyle w:val="Kpr"/>
            <w:noProof/>
          </w:rPr>
          <w:t>List of Distribution Investments Comparison in 2017-2018 (TL-%)</w:t>
        </w:r>
        <w:r w:rsidR="00364D6D">
          <w:rPr>
            <w:noProof/>
            <w:webHidden/>
          </w:rPr>
          <w:tab/>
        </w:r>
        <w:r w:rsidR="00364D6D">
          <w:rPr>
            <w:noProof/>
            <w:webHidden/>
          </w:rPr>
          <w:fldChar w:fldCharType="begin"/>
        </w:r>
        <w:r w:rsidR="00364D6D">
          <w:rPr>
            <w:noProof/>
            <w:webHidden/>
          </w:rPr>
          <w:instrText xml:space="preserve"> PAGEREF _Toc10191454 \h </w:instrText>
        </w:r>
        <w:r w:rsidR="00364D6D">
          <w:rPr>
            <w:noProof/>
            <w:webHidden/>
          </w:rPr>
        </w:r>
        <w:r w:rsidR="00364D6D">
          <w:rPr>
            <w:noProof/>
            <w:webHidden/>
          </w:rPr>
          <w:fldChar w:fldCharType="separate"/>
        </w:r>
        <w:r w:rsidR="00364D6D">
          <w:rPr>
            <w:noProof/>
            <w:webHidden/>
          </w:rPr>
          <w:t>110</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55" w:history="1">
        <w:r w:rsidR="00364D6D" w:rsidRPr="00061CC1">
          <w:rPr>
            <w:rStyle w:val="Kpr"/>
            <w:noProof/>
          </w:rPr>
          <w:t>Table 5.12: Investment Amounts of Distribution Companies in 2018 (Current Prices-million TL)</w:t>
        </w:r>
        <w:r w:rsidR="00364D6D">
          <w:rPr>
            <w:noProof/>
            <w:webHidden/>
          </w:rPr>
          <w:tab/>
        </w:r>
        <w:r w:rsidR="00364D6D">
          <w:rPr>
            <w:noProof/>
            <w:webHidden/>
          </w:rPr>
          <w:fldChar w:fldCharType="begin"/>
        </w:r>
        <w:r w:rsidR="00364D6D">
          <w:rPr>
            <w:noProof/>
            <w:webHidden/>
          </w:rPr>
          <w:instrText xml:space="preserve"> PAGEREF _Toc10191455 \h </w:instrText>
        </w:r>
        <w:r w:rsidR="00364D6D">
          <w:rPr>
            <w:noProof/>
            <w:webHidden/>
          </w:rPr>
        </w:r>
        <w:r w:rsidR="00364D6D">
          <w:rPr>
            <w:noProof/>
            <w:webHidden/>
          </w:rPr>
          <w:fldChar w:fldCharType="separate"/>
        </w:r>
        <w:r w:rsidR="00364D6D">
          <w:rPr>
            <w:noProof/>
            <w:webHidden/>
          </w:rPr>
          <w:t>111</w:t>
        </w:r>
        <w:r w:rsidR="00364D6D">
          <w:rPr>
            <w:noProof/>
            <w:webHidden/>
          </w:rPr>
          <w:fldChar w:fldCharType="end"/>
        </w:r>
      </w:hyperlink>
    </w:p>
    <w:p w:rsidR="00364D6D" w:rsidRDefault="002876A2">
      <w:pPr>
        <w:pStyle w:val="ekillerTablosu"/>
        <w:tabs>
          <w:tab w:val="right" w:leader="dot" w:pos="9062"/>
        </w:tabs>
        <w:rPr>
          <w:rFonts w:asciiTheme="minorHAnsi" w:eastAsiaTheme="minorEastAsia" w:hAnsiTheme="minorHAnsi" w:cstheme="minorBidi"/>
          <w:noProof/>
          <w:lang w:val="tr-TR" w:eastAsia="tr-TR" w:bidi="ar-SA"/>
        </w:rPr>
      </w:pPr>
      <w:hyperlink w:anchor="_Toc10191456" w:history="1">
        <w:r w:rsidR="00364D6D" w:rsidRPr="00061CC1">
          <w:rPr>
            <w:rStyle w:val="Kpr"/>
            <w:caps/>
            <w:noProof/>
          </w:rPr>
          <w:t>T</w:t>
        </w:r>
        <w:r w:rsidR="00364D6D" w:rsidRPr="00061CC1">
          <w:rPr>
            <w:rStyle w:val="Kpr"/>
            <w:noProof/>
          </w:rPr>
          <w:t>able</w:t>
        </w:r>
        <w:r w:rsidR="00364D6D" w:rsidRPr="00061CC1">
          <w:rPr>
            <w:rStyle w:val="Kpr"/>
            <w:caps/>
            <w:noProof/>
          </w:rPr>
          <w:t xml:space="preserve"> 5.13 </w:t>
        </w:r>
        <w:r w:rsidR="00364D6D" w:rsidRPr="00061CC1">
          <w:rPr>
            <w:rStyle w:val="Kpr"/>
            <w:noProof/>
          </w:rPr>
          <w:t>Information about Organized Industrial Zones</w:t>
        </w:r>
        <w:r w:rsidR="00364D6D">
          <w:rPr>
            <w:noProof/>
            <w:webHidden/>
          </w:rPr>
          <w:tab/>
        </w:r>
        <w:r w:rsidR="00364D6D">
          <w:rPr>
            <w:noProof/>
            <w:webHidden/>
          </w:rPr>
          <w:fldChar w:fldCharType="begin"/>
        </w:r>
        <w:r w:rsidR="00364D6D">
          <w:rPr>
            <w:noProof/>
            <w:webHidden/>
          </w:rPr>
          <w:instrText xml:space="preserve"> PAGEREF _Toc10191456 \h </w:instrText>
        </w:r>
        <w:r w:rsidR="00364D6D">
          <w:rPr>
            <w:noProof/>
            <w:webHidden/>
          </w:rPr>
        </w:r>
        <w:r w:rsidR="00364D6D">
          <w:rPr>
            <w:noProof/>
            <w:webHidden/>
          </w:rPr>
          <w:fldChar w:fldCharType="separate"/>
        </w:r>
        <w:r w:rsidR="00364D6D">
          <w:rPr>
            <w:noProof/>
            <w:webHidden/>
          </w:rPr>
          <w:t>112</w:t>
        </w:r>
        <w:r w:rsidR="00364D6D">
          <w:rPr>
            <w:noProof/>
            <w:webHidden/>
          </w:rPr>
          <w:fldChar w:fldCharType="end"/>
        </w:r>
      </w:hyperlink>
    </w:p>
    <w:p w:rsidR="0099399A" w:rsidRPr="00422D1D" w:rsidRDefault="00E43EC3" w:rsidP="0067774B">
      <w:pPr>
        <w:jc w:val="both"/>
        <w:rPr>
          <w:rFonts w:ascii="Times New Roman" w:hAnsi="Times New Roman" w:cs="Times New Roman"/>
          <w:bCs/>
          <w:sz w:val="24"/>
          <w:szCs w:val="24"/>
        </w:rPr>
      </w:pPr>
      <w:r>
        <w:rPr>
          <w:rFonts w:ascii="Times New Roman" w:hAnsi="Times New Roman" w:cs="Times New Roman"/>
          <w:bCs/>
          <w:sz w:val="24"/>
          <w:szCs w:val="24"/>
        </w:rPr>
        <w:lastRenderedPageBreak/>
        <w:fldChar w:fldCharType="end"/>
      </w:r>
    </w:p>
    <w:p w:rsidR="0056743C" w:rsidRDefault="0067774B" w:rsidP="0067774B">
      <w:pPr>
        <w:jc w:val="center"/>
        <w:rPr>
          <w:noProof/>
        </w:rPr>
      </w:pPr>
      <w:r w:rsidRPr="0067774B">
        <w:rPr>
          <w:rFonts w:ascii="Times New Roman" w:hAnsi="Times New Roman" w:cs="Times New Roman"/>
          <w:b/>
          <w:bCs/>
          <w:sz w:val="32"/>
          <w:szCs w:val="32"/>
        </w:rPr>
        <w:t>List of Figure</w:t>
      </w:r>
      <w:r>
        <w:rPr>
          <w:rFonts w:ascii="Times New Roman" w:hAnsi="Times New Roman" w:cs="Times New Roman"/>
          <w:b/>
          <w:bCs/>
          <w:sz w:val="32"/>
          <w:szCs w:val="32"/>
        </w:rPr>
        <w:fldChar w:fldCharType="begin"/>
      </w:r>
      <w:r w:rsidRPr="0067774B">
        <w:rPr>
          <w:rFonts w:ascii="Times New Roman" w:hAnsi="Times New Roman" w:cs="Times New Roman"/>
          <w:b/>
          <w:bCs/>
          <w:sz w:val="32"/>
          <w:szCs w:val="32"/>
        </w:rPr>
        <w:instrText xml:space="preserve"> TOC \h \z \t "Başlık 2;Figure" \c "Figure" </w:instrText>
      </w:r>
      <w:r>
        <w:rPr>
          <w:rFonts w:ascii="Times New Roman" w:hAnsi="Times New Roman" w:cs="Times New Roman"/>
          <w:b/>
          <w:bCs/>
          <w:sz w:val="32"/>
          <w:szCs w:val="32"/>
        </w:rPr>
        <w:fldChar w:fldCharType="separate"/>
      </w:r>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45" w:history="1">
        <w:r w:rsidRPr="00B275F3">
          <w:rPr>
            <w:rStyle w:val="Kpr"/>
            <w:noProof/>
          </w:rPr>
          <w:t>Figure1.1: Electric Energy Demand and Rate of Increase by Years (GWh-%)</w:t>
        </w:r>
        <w:r>
          <w:rPr>
            <w:noProof/>
            <w:webHidden/>
          </w:rPr>
          <w:tab/>
        </w:r>
        <w:r>
          <w:rPr>
            <w:noProof/>
            <w:webHidden/>
          </w:rPr>
          <w:fldChar w:fldCharType="begin"/>
        </w:r>
        <w:r>
          <w:rPr>
            <w:noProof/>
            <w:webHidden/>
          </w:rPr>
          <w:instrText xml:space="preserve"> PAGEREF _Toc12535845 \h </w:instrText>
        </w:r>
        <w:r>
          <w:rPr>
            <w:noProof/>
            <w:webHidden/>
          </w:rPr>
        </w:r>
        <w:r>
          <w:rPr>
            <w:noProof/>
            <w:webHidden/>
          </w:rPr>
          <w:fldChar w:fldCharType="separate"/>
        </w:r>
        <w:r>
          <w:rPr>
            <w:noProof/>
            <w:webHidden/>
          </w:rPr>
          <w:t>18</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46" w:history="1">
        <w:r w:rsidRPr="00B275F3">
          <w:rPr>
            <w:rStyle w:val="Kpr"/>
            <w:noProof/>
          </w:rPr>
          <w:t>Figure 1.2: Peak Demand and Rate of Increase by Years (MW-%)</w:t>
        </w:r>
        <w:r>
          <w:rPr>
            <w:noProof/>
            <w:webHidden/>
          </w:rPr>
          <w:tab/>
        </w:r>
        <w:r>
          <w:rPr>
            <w:noProof/>
            <w:webHidden/>
          </w:rPr>
          <w:fldChar w:fldCharType="begin"/>
        </w:r>
        <w:r>
          <w:rPr>
            <w:noProof/>
            <w:webHidden/>
          </w:rPr>
          <w:instrText xml:space="preserve"> PAGEREF _Toc12535846 \h </w:instrText>
        </w:r>
        <w:r>
          <w:rPr>
            <w:noProof/>
            <w:webHidden/>
          </w:rPr>
        </w:r>
        <w:r>
          <w:rPr>
            <w:noProof/>
            <w:webHidden/>
          </w:rPr>
          <w:fldChar w:fldCharType="separate"/>
        </w:r>
        <w:r>
          <w:rPr>
            <w:noProof/>
            <w:webHidden/>
          </w:rPr>
          <w:t>19</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47" w:history="1">
        <w:r w:rsidRPr="00B275F3">
          <w:rPr>
            <w:rStyle w:val="Kpr"/>
            <w:noProof/>
          </w:rPr>
          <w:t>Figure 1.3: Rate of Increase of Demand and Peak Demand by Year (%)</w:t>
        </w:r>
        <w:r>
          <w:rPr>
            <w:noProof/>
            <w:webHidden/>
          </w:rPr>
          <w:tab/>
        </w:r>
        <w:r>
          <w:rPr>
            <w:noProof/>
            <w:webHidden/>
          </w:rPr>
          <w:fldChar w:fldCharType="begin"/>
        </w:r>
        <w:r>
          <w:rPr>
            <w:noProof/>
            <w:webHidden/>
          </w:rPr>
          <w:instrText xml:space="preserve"> PAGEREF _Toc12535847 \h </w:instrText>
        </w:r>
        <w:r>
          <w:rPr>
            <w:noProof/>
            <w:webHidden/>
          </w:rPr>
        </w:r>
        <w:r>
          <w:rPr>
            <w:noProof/>
            <w:webHidden/>
          </w:rPr>
          <w:fldChar w:fldCharType="separate"/>
        </w:r>
        <w:r>
          <w:rPr>
            <w:noProof/>
            <w:webHidden/>
          </w:rPr>
          <w:t>19</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48" w:history="1">
        <w:r w:rsidRPr="00B275F3">
          <w:rPr>
            <w:rStyle w:val="Kpr"/>
            <w:noProof/>
          </w:rPr>
          <w:t>Figure 1.4: Monthly Distribution of Licensed Electricity Generation and Consumption in 2018 (GWh)</w:t>
        </w:r>
        <w:r>
          <w:rPr>
            <w:noProof/>
            <w:webHidden/>
          </w:rPr>
          <w:tab/>
        </w:r>
        <w:r>
          <w:rPr>
            <w:noProof/>
            <w:webHidden/>
          </w:rPr>
          <w:fldChar w:fldCharType="begin"/>
        </w:r>
        <w:r>
          <w:rPr>
            <w:noProof/>
            <w:webHidden/>
          </w:rPr>
          <w:instrText xml:space="preserve"> PAGEREF _Toc12535848 \h </w:instrText>
        </w:r>
        <w:r>
          <w:rPr>
            <w:noProof/>
            <w:webHidden/>
          </w:rPr>
        </w:r>
        <w:r>
          <w:rPr>
            <w:noProof/>
            <w:webHidden/>
          </w:rPr>
          <w:fldChar w:fldCharType="separate"/>
        </w:r>
        <w:r>
          <w:rPr>
            <w:noProof/>
            <w:webHidden/>
          </w:rPr>
          <w:t>20</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49" w:history="1">
        <w:r w:rsidRPr="00B275F3">
          <w:rPr>
            <w:rStyle w:val="Kpr"/>
            <w:noProof/>
          </w:rPr>
          <w:t>Figure 1.5: Distribution of Licensed Electricity Generation in 2018 by Corporations (%)</w:t>
        </w:r>
        <w:r>
          <w:rPr>
            <w:noProof/>
            <w:webHidden/>
          </w:rPr>
          <w:tab/>
        </w:r>
        <w:r>
          <w:rPr>
            <w:noProof/>
            <w:webHidden/>
          </w:rPr>
          <w:fldChar w:fldCharType="begin"/>
        </w:r>
        <w:r>
          <w:rPr>
            <w:noProof/>
            <w:webHidden/>
          </w:rPr>
          <w:instrText xml:space="preserve"> PAGEREF _Toc12535849 \h </w:instrText>
        </w:r>
        <w:r>
          <w:rPr>
            <w:noProof/>
            <w:webHidden/>
          </w:rPr>
        </w:r>
        <w:r>
          <w:rPr>
            <w:noProof/>
            <w:webHidden/>
          </w:rPr>
          <w:fldChar w:fldCharType="separate"/>
        </w:r>
        <w:r>
          <w:rPr>
            <w:noProof/>
            <w:webHidden/>
          </w:rPr>
          <w:t>21</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0" w:history="1">
        <w:r w:rsidRPr="00B275F3">
          <w:rPr>
            <w:rStyle w:val="Kpr"/>
            <w:noProof/>
          </w:rPr>
          <w:t>Figure 1.6: The Change of Licensed Electricity Generation as Public-Private by Years (%)</w:t>
        </w:r>
        <w:r>
          <w:rPr>
            <w:noProof/>
            <w:webHidden/>
          </w:rPr>
          <w:tab/>
        </w:r>
        <w:r>
          <w:rPr>
            <w:noProof/>
            <w:webHidden/>
          </w:rPr>
          <w:fldChar w:fldCharType="begin"/>
        </w:r>
        <w:r>
          <w:rPr>
            <w:noProof/>
            <w:webHidden/>
          </w:rPr>
          <w:instrText xml:space="preserve"> PAGEREF _Toc12535850 \h </w:instrText>
        </w:r>
        <w:r>
          <w:rPr>
            <w:noProof/>
            <w:webHidden/>
          </w:rPr>
        </w:r>
        <w:r>
          <w:rPr>
            <w:noProof/>
            <w:webHidden/>
          </w:rPr>
          <w:fldChar w:fldCharType="separate"/>
        </w:r>
        <w:r>
          <w:rPr>
            <w:noProof/>
            <w:webHidden/>
          </w:rPr>
          <w:t>21</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1" w:history="1">
        <w:r w:rsidRPr="00B275F3">
          <w:rPr>
            <w:rStyle w:val="Kpr"/>
            <w:noProof/>
          </w:rPr>
          <w:t>Figure 1.7: The Distribution of Licensed Electricity Generation by Sources in 2018 (%)</w:t>
        </w:r>
        <w:r>
          <w:rPr>
            <w:noProof/>
            <w:webHidden/>
          </w:rPr>
          <w:tab/>
        </w:r>
        <w:r>
          <w:rPr>
            <w:noProof/>
            <w:webHidden/>
          </w:rPr>
          <w:fldChar w:fldCharType="begin"/>
        </w:r>
        <w:r>
          <w:rPr>
            <w:noProof/>
            <w:webHidden/>
          </w:rPr>
          <w:instrText xml:space="preserve"> PAGEREF _Toc12535851 \h </w:instrText>
        </w:r>
        <w:r>
          <w:rPr>
            <w:noProof/>
            <w:webHidden/>
          </w:rPr>
        </w:r>
        <w:r>
          <w:rPr>
            <w:noProof/>
            <w:webHidden/>
          </w:rPr>
          <w:fldChar w:fldCharType="separate"/>
        </w:r>
        <w:r>
          <w:rPr>
            <w:noProof/>
            <w:webHidden/>
          </w:rPr>
          <w:t>22</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2" w:history="1">
        <w:r w:rsidRPr="00B275F3">
          <w:rPr>
            <w:rStyle w:val="Kpr"/>
            <w:noProof/>
          </w:rPr>
          <w:t>Figure 1.8: Source-Based Development of Licensed Electricity Generation by Years (GWh)</w:t>
        </w:r>
        <w:r>
          <w:rPr>
            <w:noProof/>
            <w:webHidden/>
          </w:rPr>
          <w:tab/>
        </w:r>
        <w:r>
          <w:rPr>
            <w:noProof/>
            <w:webHidden/>
          </w:rPr>
          <w:fldChar w:fldCharType="begin"/>
        </w:r>
        <w:r>
          <w:rPr>
            <w:noProof/>
            <w:webHidden/>
          </w:rPr>
          <w:instrText xml:space="preserve"> PAGEREF _Toc12535852 \h </w:instrText>
        </w:r>
        <w:r>
          <w:rPr>
            <w:noProof/>
            <w:webHidden/>
          </w:rPr>
        </w:r>
        <w:r>
          <w:rPr>
            <w:noProof/>
            <w:webHidden/>
          </w:rPr>
          <w:fldChar w:fldCharType="separate"/>
        </w:r>
        <w:r>
          <w:rPr>
            <w:noProof/>
            <w:webHidden/>
          </w:rPr>
          <w:t>23</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3" w:history="1">
        <w:r w:rsidRPr="00B275F3">
          <w:rPr>
            <w:rStyle w:val="Kpr"/>
            <w:noProof/>
          </w:rPr>
          <w:t>Figure 1.9: Daily Licensed Electricity Generation in 2018 (MWh)</w:t>
        </w:r>
        <w:r>
          <w:rPr>
            <w:noProof/>
            <w:webHidden/>
          </w:rPr>
          <w:tab/>
        </w:r>
        <w:r>
          <w:rPr>
            <w:noProof/>
            <w:webHidden/>
          </w:rPr>
          <w:fldChar w:fldCharType="begin"/>
        </w:r>
        <w:r>
          <w:rPr>
            <w:noProof/>
            <w:webHidden/>
          </w:rPr>
          <w:instrText xml:space="preserve"> PAGEREF _Toc12535853 \h </w:instrText>
        </w:r>
        <w:r>
          <w:rPr>
            <w:noProof/>
            <w:webHidden/>
          </w:rPr>
        </w:r>
        <w:r>
          <w:rPr>
            <w:noProof/>
            <w:webHidden/>
          </w:rPr>
          <w:fldChar w:fldCharType="separate"/>
        </w:r>
        <w:r>
          <w:rPr>
            <w:noProof/>
            <w:webHidden/>
          </w:rPr>
          <w:t>23</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4" w:history="1">
        <w:r w:rsidRPr="00B275F3">
          <w:rPr>
            <w:rStyle w:val="Kpr"/>
            <w:noProof/>
          </w:rPr>
          <w:t>Figure 1.10: Hour-Based Electricity Generation in 2018 (MWh)</w:t>
        </w:r>
        <w:r>
          <w:rPr>
            <w:noProof/>
            <w:webHidden/>
          </w:rPr>
          <w:tab/>
        </w:r>
        <w:r>
          <w:rPr>
            <w:noProof/>
            <w:webHidden/>
          </w:rPr>
          <w:fldChar w:fldCharType="begin"/>
        </w:r>
        <w:r>
          <w:rPr>
            <w:noProof/>
            <w:webHidden/>
          </w:rPr>
          <w:instrText xml:space="preserve"> PAGEREF _Toc12535854 \h </w:instrText>
        </w:r>
        <w:r>
          <w:rPr>
            <w:noProof/>
            <w:webHidden/>
          </w:rPr>
        </w:r>
        <w:r>
          <w:rPr>
            <w:noProof/>
            <w:webHidden/>
          </w:rPr>
          <w:fldChar w:fldCharType="separate"/>
        </w:r>
        <w:r>
          <w:rPr>
            <w:noProof/>
            <w:webHidden/>
          </w:rPr>
          <w:t>24</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5" w:history="1">
        <w:r w:rsidRPr="00B275F3">
          <w:rPr>
            <w:rStyle w:val="Kpr"/>
            <w:noProof/>
          </w:rPr>
          <w:t>Figure 1.11: The Share of First 10 Companies within Electricity Generation in 2018 (%)</w:t>
        </w:r>
        <w:r>
          <w:rPr>
            <w:noProof/>
            <w:webHidden/>
          </w:rPr>
          <w:tab/>
        </w:r>
        <w:r>
          <w:rPr>
            <w:noProof/>
            <w:webHidden/>
          </w:rPr>
          <w:fldChar w:fldCharType="begin"/>
        </w:r>
        <w:r>
          <w:rPr>
            <w:noProof/>
            <w:webHidden/>
          </w:rPr>
          <w:instrText xml:space="preserve"> PAGEREF _Toc12535855 \h </w:instrText>
        </w:r>
        <w:r>
          <w:rPr>
            <w:noProof/>
            <w:webHidden/>
          </w:rPr>
        </w:r>
        <w:r>
          <w:rPr>
            <w:noProof/>
            <w:webHidden/>
          </w:rPr>
          <w:fldChar w:fldCharType="separate"/>
        </w:r>
        <w:r>
          <w:rPr>
            <w:noProof/>
            <w:webHidden/>
          </w:rPr>
          <w:t>26</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6" w:history="1">
        <w:r w:rsidRPr="00B275F3">
          <w:rPr>
            <w:rStyle w:val="Kpr"/>
            <w:noProof/>
          </w:rPr>
          <w:t>Figure 1.12: Distribution of Licensed Installed Capacity by Sources at the End of 2018 (%)</w:t>
        </w:r>
        <w:r>
          <w:rPr>
            <w:noProof/>
            <w:webHidden/>
          </w:rPr>
          <w:tab/>
        </w:r>
        <w:r>
          <w:rPr>
            <w:noProof/>
            <w:webHidden/>
          </w:rPr>
          <w:fldChar w:fldCharType="begin"/>
        </w:r>
        <w:r>
          <w:rPr>
            <w:noProof/>
            <w:webHidden/>
          </w:rPr>
          <w:instrText xml:space="preserve"> PAGEREF _Toc12535856 \h </w:instrText>
        </w:r>
        <w:r>
          <w:rPr>
            <w:noProof/>
            <w:webHidden/>
          </w:rPr>
        </w:r>
        <w:r>
          <w:rPr>
            <w:noProof/>
            <w:webHidden/>
          </w:rPr>
          <w:fldChar w:fldCharType="separate"/>
        </w:r>
        <w:r>
          <w:rPr>
            <w:noProof/>
            <w:webHidden/>
          </w:rPr>
          <w:t>27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7" w:history="1">
        <w:r w:rsidRPr="00B275F3">
          <w:rPr>
            <w:rStyle w:val="Kpr"/>
            <w:noProof/>
          </w:rPr>
          <w:t>Figure 1.13: Distribution of Licensed Installed Capacity by Organizations at the End of 2018 (%)</w:t>
        </w:r>
        <w:r>
          <w:rPr>
            <w:noProof/>
            <w:webHidden/>
          </w:rPr>
          <w:tab/>
        </w:r>
        <w:r>
          <w:rPr>
            <w:noProof/>
            <w:webHidden/>
          </w:rPr>
          <w:fldChar w:fldCharType="begin"/>
        </w:r>
        <w:r>
          <w:rPr>
            <w:noProof/>
            <w:webHidden/>
          </w:rPr>
          <w:instrText xml:space="preserve"> PAGEREF _Toc12535857 \h </w:instrText>
        </w:r>
        <w:r>
          <w:rPr>
            <w:noProof/>
            <w:webHidden/>
          </w:rPr>
        </w:r>
        <w:r>
          <w:rPr>
            <w:noProof/>
            <w:webHidden/>
          </w:rPr>
          <w:fldChar w:fldCharType="separate"/>
        </w:r>
        <w:r>
          <w:rPr>
            <w:noProof/>
            <w:webHidden/>
          </w:rPr>
          <w:t>28</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8" w:history="1">
        <w:r w:rsidRPr="00B275F3">
          <w:rPr>
            <w:rStyle w:val="Kpr"/>
            <w:noProof/>
          </w:rPr>
          <w:t>Figure 1.14: The Development of Licensed Installed Capacity According to Source by Years (MW)</w:t>
        </w:r>
        <w:r>
          <w:rPr>
            <w:noProof/>
            <w:webHidden/>
          </w:rPr>
          <w:tab/>
        </w:r>
        <w:r>
          <w:rPr>
            <w:noProof/>
            <w:webHidden/>
          </w:rPr>
          <w:fldChar w:fldCharType="begin"/>
        </w:r>
        <w:r>
          <w:rPr>
            <w:noProof/>
            <w:webHidden/>
          </w:rPr>
          <w:instrText xml:space="preserve"> PAGEREF _Toc12535858 \h </w:instrText>
        </w:r>
        <w:r>
          <w:rPr>
            <w:noProof/>
            <w:webHidden/>
          </w:rPr>
        </w:r>
        <w:r>
          <w:rPr>
            <w:noProof/>
            <w:webHidden/>
          </w:rPr>
          <w:fldChar w:fldCharType="separate"/>
        </w:r>
        <w:r>
          <w:rPr>
            <w:noProof/>
            <w:webHidden/>
          </w:rPr>
          <w:t>28</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59" w:history="1">
        <w:r w:rsidRPr="00B275F3">
          <w:rPr>
            <w:rStyle w:val="Kpr"/>
            <w:noProof/>
          </w:rPr>
          <w:t>Figure 1.15: The Development of the Share of the Sources within the Installed Capacity by Years (%)</w:t>
        </w:r>
        <w:r>
          <w:rPr>
            <w:noProof/>
            <w:webHidden/>
          </w:rPr>
          <w:tab/>
        </w:r>
        <w:r>
          <w:rPr>
            <w:noProof/>
            <w:webHidden/>
          </w:rPr>
          <w:fldChar w:fldCharType="begin"/>
        </w:r>
        <w:r>
          <w:rPr>
            <w:noProof/>
            <w:webHidden/>
          </w:rPr>
          <w:instrText xml:space="preserve"> PAGEREF _Toc12535859 \h </w:instrText>
        </w:r>
        <w:r>
          <w:rPr>
            <w:noProof/>
            <w:webHidden/>
          </w:rPr>
        </w:r>
        <w:r>
          <w:rPr>
            <w:noProof/>
            <w:webHidden/>
          </w:rPr>
          <w:fldChar w:fldCharType="separate"/>
        </w:r>
        <w:r>
          <w:rPr>
            <w:noProof/>
            <w:webHidden/>
          </w:rPr>
          <w:t>29</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0" w:history="1">
        <w:r w:rsidRPr="00B275F3">
          <w:rPr>
            <w:rStyle w:val="Kpr"/>
            <w:noProof/>
          </w:rPr>
          <w:t>Figure 1.16: The Share of the First 10 Companies in Installed Capacity at the End of 2018 (%)</w:t>
        </w:r>
        <w:r>
          <w:rPr>
            <w:noProof/>
            <w:webHidden/>
          </w:rPr>
          <w:tab/>
        </w:r>
        <w:r>
          <w:rPr>
            <w:noProof/>
            <w:webHidden/>
          </w:rPr>
          <w:fldChar w:fldCharType="begin"/>
        </w:r>
        <w:r>
          <w:rPr>
            <w:noProof/>
            <w:webHidden/>
          </w:rPr>
          <w:instrText xml:space="preserve"> PAGEREF _Toc12535860 \h </w:instrText>
        </w:r>
        <w:r>
          <w:rPr>
            <w:noProof/>
            <w:webHidden/>
          </w:rPr>
        </w:r>
        <w:r>
          <w:rPr>
            <w:noProof/>
            <w:webHidden/>
          </w:rPr>
          <w:fldChar w:fldCharType="separate"/>
        </w:r>
        <w:r>
          <w:rPr>
            <w:noProof/>
            <w:webHidden/>
          </w:rPr>
          <w:t>31</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1" w:history="1">
        <w:r w:rsidRPr="00B275F3">
          <w:rPr>
            <w:rStyle w:val="Kpr"/>
            <w:noProof/>
          </w:rPr>
          <w:t>Figure 1.17: Distribution of Unlicensed Installed Capacity by Sources at the End of 2018 (%)</w:t>
        </w:r>
        <w:r>
          <w:rPr>
            <w:noProof/>
            <w:webHidden/>
          </w:rPr>
          <w:tab/>
        </w:r>
        <w:r>
          <w:rPr>
            <w:noProof/>
            <w:webHidden/>
          </w:rPr>
          <w:fldChar w:fldCharType="begin"/>
        </w:r>
        <w:r>
          <w:rPr>
            <w:noProof/>
            <w:webHidden/>
          </w:rPr>
          <w:instrText xml:space="preserve"> PAGEREF _Toc12535861 \h </w:instrText>
        </w:r>
        <w:r>
          <w:rPr>
            <w:noProof/>
            <w:webHidden/>
          </w:rPr>
        </w:r>
        <w:r>
          <w:rPr>
            <w:noProof/>
            <w:webHidden/>
          </w:rPr>
          <w:fldChar w:fldCharType="separate"/>
        </w:r>
        <w:r>
          <w:rPr>
            <w:noProof/>
            <w:webHidden/>
          </w:rPr>
          <w:t>35</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2" w:history="1">
        <w:r w:rsidRPr="00B275F3">
          <w:rPr>
            <w:rStyle w:val="Kpr"/>
            <w:noProof/>
          </w:rPr>
          <w:t>Figure 1.18: Distribution of Unlicensed Electricity Generation by Sources in 2018 (%)</w:t>
        </w:r>
        <w:r>
          <w:rPr>
            <w:noProof/>
            <w:webHidden/>
          </w:rPr>
          <w:tab/>
        </w:r>
        <w:r>
          <w:rPr>
            <w:noProof/>
            <w:webHidden/>
          </w:rPr>
          <w:fldChar w:fldCharType="begin"/>
        </w:r>
        <w:r>
          <w:rPr>
            <w:noProof/>
            <w:webHidden/>
          </w:rPr>
          <w:instrText xml:space="preserve"> PAGEREF _Toc12535862 \h </w:instrText>
        </w:r>
        <w:r>
          <w:rPr>
            <w:noProof/>
            <w:webHidden/>
          </w:rPr>
        </w:r>
        <w:r>
          <w:rPr>
            <w:noProof/>
            <w:webHidden/>
          </w:rPr>
          <w:fldChar w:fldCharType="separate"/>
        </w:r>
        <w:r>
          <w:rPr>
            <w:noProof/>
            <w:webHidden/>
          </w:rPr>
          <w:t>40</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3" w:history="1">
        <w:r w:rsidRPr="00B275F3">
          <w:rPr>
            <w:rStyle w:val="Kpr"/>
            <w:noProof/>
          </w:rPr>
          <w:t>Figure 1.19: Distribution of Invoiced Consumption by Consumer Type in 2018 (%)</w:t>
        </w:r>
        <w:r>
          <w:rPr>
            <w:noProof/>
            <w:webHidden/>
          </w:rPr>
          <w:tab/>
        </w:r>
        <w:r>
          <w:rPr>
            <w:noProof/>
            <w:webHidden/>
          </w:rPr>
          <w:fldChar w:fldCharType="begin"/>
        </w:r>
        <w:r>
          <w:rPr>
            <w:noProof/>
            <w:webHidden/>
          </w:rPr>
          <w:instrText xml:space="preserve"> PAGEREF _Toc12535863 \h </w:instrText>
        </w:r>
        <w:r>
          <w:rPr>
            <w:noProof/>
            <w:webHidden/>
          </w:rPr>
        </w:r>
        <w:r>
          <w:rPr>
            <w:noProof/>
            <w:webHidden/>
          </w:rPr>
          <w:fldChar w:fldCharType="separate"/>
        </w:r>
        <w:r>
          <w:rPr>
            <w:noProof/>
            <w:webHidden/>
          </w:rPr>
          <w:t>47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4" w:history="1">
        <w:r w:rsidRPr="00B275F3">
          <w:rPr>
            <w:rStyle w:val="Kpr"/>
            <w:noProof/>
          </w:rPr>
          <w:t>Figure 1.20: Distribution of Invoiced Consumption by Months (MWh)</w:t>
        </w:r>
        <w:r>
          <w:rPr>
            <w:noProof/>
            <w:webHidden/>
          </w:rPr>
          <w:tab/>
        </w:r>
        <w:r>
          <w:rPr>
            <w:noProof/>
            <w:webHidden/>
          </w:rPr>
          <w:fldChar w:fldCharType="begin"/>
        </w:r>
        <w:r>
          <w:rPr>
            <w:noProof/>
            <w:webHidden/>
          </w:rPr>
          <w:instrText xml:space="preserve"> PAGEREF _Toc12535864 \h </w:instrText>
        </w:r>
        <w:r>
          <w:rPr>
            <w:noProof/>
            <w:webHidden/>
          </w:rPr>
        </w:r>
        <w:r>
          <w:rPr>
            <w:noProof/>
            <w:webHidden/>
          </w:rPr>
          <w:fldChar w:fldCharType="separate"/>
        </w:r>
        <w:r>
          <w:rPr>
            <w:noProof/>
            <w:webHidden/>
          </w:rPr>
          <w:t>55</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5" w:history="1">
        <w:r w:rsidRPr="00B275F3">
          <w:rPr>
            <w:rStyle w:val="Kpr"/>
            <w:noProof/>
          </w:rPr>
          <w:t>Figure 1.21: Development of Gross Consumption by Years (GWh)</w:t>
        </w:r>
        <w:r>
          <w:rPr>
            <w:noProof/>
            <w:webHidden/>
          </w:rPr>
          <w:tab/>
        </w:r>
        <w:r>
          <w:rPr>
            <w:noProof/>
            <w:webHidden/>
          </w:rPr>
          <w:fldChar w:fldCharType="begin"/>
        </w:r>
        <w:r>
          <w:rPr>
            <w:noProof/>
            <w:webHidden/>
          </w:rPr>
          <w:instrText xml:space="preserve"> PAGEREF _Toc12535865 \h </w:instrText>
        </w:r>
        <w:r>
          <w:rPr>
            <w:noProof/>
            <w:webHidden/>
          </w:rPr>
        </w:r>
        <w:r>
          <w:rPr>
            <w:noProof/>
            <w:webHidden/>
          </w:rPr>
          <w:fldChar w:fldCharType="separate"/>
        </w:r>
        <w:r>
          <w:rPr>
            <w:noProof/>
            <w:webHidden/>
          </w:rPr>
          <w:t>55</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6" w:history="1">
        <w:r w:rsidRPr="00B275F3">
          <w:rPr>
            <w:rStyle w:val="Kpr"/>
            <w:noProof/>
          </w:rPr>
          <w:t>Figure 1.22: Electricity Imports in 2018 by Months (MWh)</w:t>
        </w:r>
        <w:r>
          <w:rPr>
            <w:noProof/>
            <w:webHidden/>
          </w:rPr>
          <w:tab/>
        </w:r>
        <w:r>
          <w:rPr>
            <w:noProof/>
            <w:webHidden/>
          </w:rPr>
          <w:fldChar w:fldCharType="begin"/>
        </w:r>
        <w:r>
          <w:rPr>
            <w:noProof/>
            <w:webHidden/>
          </w:rPr>
          <w:instrText xml:space="preserve"> PAGEREF _Toc12535866 \h </w:instrText>
        </w:r>
        <w:r>
          <w:rPr>
            <w:noProof/>
            <w:webHidden/>
          </w:rPr>
        </w:r>
        <w:r>
          <w:rPr>
            <w:noProof/>
            <w:webHidden/>
          </w:rPr>
          <w:fldChar w:fldCharType="separate"/>
        </w:r>
        <w:r>
          <w:rPr>
            <w:noProof/>
            <w:webHidden/>
          </w:rPr>
          <w:t>56</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7" w:history="1">
        <w:r w:rsidRPr="00B275F3">
          <w:rPr>
            <w:rStyle w:val="Kpr"/>
            <w:noProof/>
          </w:rPr>
          <w:t>Figure 1.23: Electricity Exports in 2018 by Months (MWh)</w:t>
        </w:r>
        <w:r>
          <w:rPr>
            <w:noProof/>
            <w:webHidden/>
          </w:rPr>
          <w:tab/>
        </w:r>
        <w:r>
          <w:rPr>
            <w:noProof/>
            <w:webHidden/>
          </w:rPr>
          <w:fldChar w:fldCharType="begin"/>
        </w:r>
        <w:r>
          <w:rPr>
            <w:noProof/>
            <w:webHidden/>
          </w:rPr>
          <w:instrText xml:space="preserve"> PAGEREF _Toc12535867 \h </w:instrText>
        </w:r>
        <w:r>
          <w:rPr>
            <w:noProof/>
            <w:webHidden/>
          </w:rPr>
        </w:r>
        <w:r>
          <w:rPr>
            <w:noProof/>
            <w:webHidden/>
          </w:rPr>
          <w:fldChar w:fldCharType="separate"/>
        </w:r>
        <w:r>
          <w:rPr>
            <w:noProof/>
            <w:webHidden/>
          </w:rPr>
          <w:t>57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8" w:history="1">
        <w:r w:rsidRPr="00B275F3">
          <w:rPr>
            <w:rStyle w:val="Kpr"/>
            <w:noProof/>
          </w:rPr>
          <w:t>Figure.2.1.1: Hourly Development of Weighted Average Market Clearing Price in 2018 (TL/MWh)</w:t>
        </w:r>
        <w:r>
          <w:rPr>
            <w:noProof/>
            <w:webHidden/>
          </w:rPr>
          <w:tab/>
        </w:r>
        <w:r>
          <w:rPr>
            <w:noProof/>
            <w:webHidden/>
          </w:rPr>
          <w:fldChar w:fldCharType="begin"/>
        </w:r>
        <w:r>
          <w:rPr>
            <w:noProof/>
            <w:webHidden/>
          </w:rPr>
          <w:instrText xml:space="preserve"> PAGEREF _Toc12535868 \h </w:instrText>
        </w:r>
        <w:r>
          <w:rPr>
            <w:noProof/>
            <w:webHidden/>
          </w:rPr>
        </w:r>
        <w:r>
          <w:rPr>
            <w:noProof/>
            <w:webHidden/>
          </w:rPr>
          <w:fldChar w:fldCharType="separate"/>
        </w:r>
        <w:r>
          <w:rPr>
            <w:noProof/>
            <w:webHidden/>
          </w:rPr>
          <w:t>59</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69" w:history="1">
        <w:r w:rsidRPr="00B275F3">
          <w:rPr>
            <w:rStyle w:val="Kpr"/>
            <w:noProof/>
          </w:rPr>
          <w:t>Figure 2.1.2: Organized Weighted Average MCP in 2018 (TL/MWh)</w:t>
        </w:r>
        <w:r>
          <w:rPr>
            <w:noProof/>
            <w:webHidden/>
          </w:rPr>
          <w:tab/>
        </w:r>
        <w:r>
          <w:rPr>
            <w:noProof/>
            <w:webHidden/>
          </w:rPr>
          <w:fldChar w:fldCharType="begin"/>
        </w:r>
        <w:r>
          <w:rPr>
            <w:noProof/>
            <w:webHidden/>
          </w:rPr>
          <w:instrText xml:space="preserve"> PAGEREF _Toc12535869 \h </w:instrText>
        </w:r>
        <w:r>
          <w:rPr>
            <w:noProof/>
            <w:webHidden/>
          </w:rPr>
        </w:r>
        <w:r>
          <w:rPr>
            <w:noProof/>
            <w:webHidden/>
          </w:rPr>
          <w:fldChar w:fldCharType="separate"/>
        </w:r>
        <w:r>
          <w:rPr>
            <w:noProof/>
            <w:webHidden/>
          </w:rPr>
          <w:t>60</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0" w:history="1">
        <w:r w:rsidRPr="00B275F3">
          <w:rPr>
            <w:rStyle w:val="Kpr"/>
            <w:noProof/>
          </w:rPr>
          <w:t>Figure 2.1.3: Weighted Average MCP by Years (TL/MWh)</w:t>
        </w:r>
        <w:r>
          <w:rPr>
            <w:noProof/>
            <w:webHidden/>
          </w:rPr>
          <w:tab/>
        </w:r>
        <w:r>
          <w:rPr>
            <w:noProof/>
            <w:webHidden/>
          </w:rPr>
          <w:fldChar w:fldCharType="begin"/>
        </w:r>
        <w:r>
          <w:rPr>
            <w:noProof/>
            <w:webHidden/>
          </w:rPr>
          <w:instrText xml:space="preserve"> PAGEREF _Toc12535870 \h </w:instrText>
        </w:r>
        <w:r>
          <w:rPr>
            <w:noProof/>
            <w:webHidden/>
          </w:rPr>
        </w:r>
        <w:r>
          <w:rPr>
            <w:noProof/>
            <w:webHidden/>
          </w:rPr>
          <w:fldChar w:fldCharType="separate"/>
        </w:r>
        <w:r>
          <w:rPr>
            <w:noProof/>
            <w:webHidden/>
          </w:rPr>
          <w:t>60</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1" w:history="1">
        <w:r w:rsidRPr="00B275F3">
          <w:rPr>
            <w:rStyle w:val="Kpr"/>
            <w:noProof/>
          </w:rPr>
          <w:t>Figure 2.1.4: Monthly Weighted Average MCP of the Last Two Years (TL/MWh)</w:t>
        </w:r>
        <w:r>
          <w:rPr>
            <w:noProof/>
            <w:webHidden/>
          </w:rPr>
          <w:tab/>
        </w:r>
        <w:r>
          <w:rPr>
            <w:noProof/>
            <w:webHidden/>
          </w:rPr>
          <w:fldChar w:fldCharType="begin"/>
        </w:r>
        <w:r>
          <w:rPr>
            <w:noProof/>
            <w:webHidden/>
          </w:rPr>
          <w:instrText xml:space="preserve"> PAGEREF _Toc12535871 \h </w:instrText>
        </w:r>
        <w:r>
          <w:rPr>
            <w:noProof/>
            <w:webHidden/>
          </w:rPr>
        </w:r>
        <w:r>
          <w:rPr>
            <w:noProof/>
            <w:webHidden/>
          </w:rPr>
          <w:fldChar w:fldCharType="separate"/>
        </w:r>
        <w:r>
          <w:rPr>
            <w:noProof/>
            <w:webHidden/>
          </w:rPr>
          <w:t>61</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2" w:history="1">
        <w:r w:rsidRPr="00B275F3">
          <w:rPr>
            <w:rStyle w:val="Kpr"/>
            <w:noProof/>
          </w:rPr>
          <w:t>Figure 2.1.5: Monthly Day-Ahead Market Trading Volume (MWh)</w:t>
        </w:r>
        <w:r>
          <w:rPr>
            <w:noProof/>
            <w:webHidden/>
          </w:rPr>
          <w:tab/>
        </w:r>
        <w:r>
          <w:rPr>
            <w:noProof/>
            <w:webHidden/>
          </w:rPr>
          <w:fldChar w:fldCharType="begin"/>
        </w:r>
        <w:r>
          <w:rPr>
            <w:noProof/>
            <w:webHidden/>
          </w:rPr>
          <w:instrText xml:space="preserve"> PAGEREF _Toc12535872 \h </w:instrText>
        </w:r>
        <w:r>
          <w:rPr>
            <w:noProof/>
            <w:webHidden/>
          </w:rPr>
        </w:r>
        <w:r>
          <w:rPr>
            <w:noProof/>
            <w:webHidden/>
          </w:rPr>
          <w:fldChar w:fldCharType="separate"/>
        </w:r>
        <w:r>
          <w:rPr>
            <w:noProof/>
            <w:webHidden/>
          </w:rPr>
          <w:t>62</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3" w:history="1">
        <w:r w:rsidRPr="00B275F3">
          <w:rPr>
            <w:rStyle w:val="Kpr"/>
            <w:noProof/>
          </w:rPr>
          <w:t>Figure 2.1.6: The Share of Top 10 Buyer Companies in Day-Ahead Market (%)</w:t>
        </w:r>
        <w:r>
          <w:rPr>
            <w:noProof/>
            <w:webHidden/>
          </w:rPr>
          <w:tab/>
        </w:r>
        <w:r>
          <w:rPr>
            <w:noProof/>
            <w:webHidden/>
          </w:rPr>
          <w:fldChar w:fldCharType="begin"/>
        </w:r>
        <w:r>
          <w:rPr>
            <w:noProof/>
            <w:webHidden/>
          </w:rPr>
          <w:instrText xml:space="preserve"> PAGEREF _Toc12535873 \h </w:instrText>
        </w:r>
        <w:r>
          <w:rPr>
            <w:noProof/>
            <w:webHidden/>
          </w:rPr>
        </w:r>
        <w:r>
          <w:rPr>
            <w:noProof/>
            <w:webHidden/>
          </w:rPr>
          <w:fldChar w:fldCharType="separate"/>
        </w:r>
        <w:r>
          <w:rPr>
            <w:noProof/>
            <w:webHidden/>
          </w:rPr>
          <w:t>62</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4" w:history="1">
        <w:r w:rsidRPr="00B275F3">
          <w:rPr>
            <w:rStyle w:val="Kpr"/>
            <w:noProof/>
          </w:rPr>
          <w:t>Figure 2.1.7: The Share of Top 10 Seller Companies in Balancing Power Market (%)</w:t>
        </w:r>
        <w:r>
          <w:rPr>
            <w:noProof/>
            <w:webHidden/>
          </w:rPr>
          <w:tab/>
        </w:r>
        <w:r>
          <w:rPr>
            <w:noProof/>
            <w:webHidden/>
          </w:rPr>
          <w:fldChar w:fldCharType="begin"/>
        </w:r>
        <w:r>
          <w:rPr>
            <w:noProof/>
            <w:webHidden/>
          </w:rPr>
          <w:instrText xml:space="preserve"> PAGEREF _Toc12535874 \h </w:instrText>
        </w:r>
        <w:r>
          <w:rPr>
            <w:noProof/>
            <w:webHidden/>
          </w:rPr>
        </w:r>
        <w:r>
          <w:rPr>
            <w:noProof/>
            <w:webHidden/>
          </w:rPr>
          <w:fldChar w:fldCharType="separate"/>
        </w:r>
        <w:r>
          <w:rPr>
            <w:noProof/>
            <w:webHidden/>
          </w:rPr>
          <w:t>63</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5" w:history="1">
        <w:r w:rsidRPr="00B275F3">
          <w:rPr>
            <w:rStyle w:val="Kpr"/>
            <w:noProof/>
          </w:rPr>
          <w:t>Figure.2.2.1: Per-Hour Based Development of System Marginal Price (TL/MWh)</w:t>
        </w:r>
        <w:r>
          <w:rPr>
            <w:noProof/>
            <w:webHidden/>
          </w:rPr>
          <w:tab/>
        </w:r>
        <w:r>
          <w:rPr>
            <w:noProof/>
            <w:webHidden/>
          </w:rPr>
          <w:fldChar w:fldCharType="begin"/>
        </w:r>
        <w:r>
          <w:rPr>
            <w:noProof/>
            <w:webHidden/>
          </w:rPr>
          <w:instrText xml:space="preserve"> PAGEREF _Toc12535875 \h </w:instrText>
        </w:r>
        <w:r>
          <w:rPr>
            <w:noProof/>
            <w:webHidden/>
          </w:rPr>
        </w:r>
        <w:r>
          <w:rPr>
            <w:noProof/>
            <w:webHidden/>
          </w:rPr>
          <w:fldChar w:fldCharType="separate"/>
        </w:r>
        <w:r>
          <w:rPr>
            <w:noProof/>
            <w:webHidden/>
          </w:rPr>
          <w:t>64</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6" w:history="1">
        <w:r w:rsidRPr="00B275F3">
          <w:rPr>
            <w:rStyle w:val="Kpr"/>
            <w:noProof/>
          </w:rPr>
          <w:t>Figure 2.2.2: Organized Sytem Marginal Price (TL/MWh)</w:t>
        </w:r>
        <w:r>
          <w:rPr>
            <w:noProof/>
            <w:webHidden/>
          </w:rPr>
          <w:tab/>
        </w:r>
        <w:r>
          <w:rPr>
            <w:noProof/>
            <w:webHidden/>
          </w:rPr>
          <w:fldChar w:fldCharType="begin"/>
        </w:r>
        <w:r>
          <w:rPr>
            <w:noProof/>
            <w:webHidden/>
          </w:rPr>
          <w:instrText xml:space="preserve"> PAGEREF _Toc12535876 \h </w:instrText>
        </w:r>
        <w:r>
          <w:rPr>
            <w:noProof/>
            <w:webHidden/>
          </w:rPr>
        </w:r>
        <w:r>
          <w:rPr>
            <w:noProof/>
            <w:webHidden/>
          </w:rPr>
          <w:fldChar w:fldCharType="separate"/>
        </w:r>
        <w:r>
          <w:rPr>
            <w:noProof/>
            <w:webHidden/>
          </w:rPr>
          <w:t>64</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7" w:history="1">
        <w:r w:rsidRPr="00B275F3">
          <w:rPr>
            <w:rStyle w:val="Kpr"/>
            <w:noProof/>
          </w:rPr>
          <w:t>Figure 2.2.3: Monthly Weighted Average Prices of the Last Two Years in Balancing Power Market (TL/MWh)</w:t>
        </w:r>
        <w:r>
          <w:rPr>
            <w:noProof/>
            <w:webHidden/>
          </w:rPr>
          <w:tab/>
        </w:r>
        <w:r>
          <w:rPr>
            <w:noProof/>
            <w:webHidden/>
          </w:rPr>
          <w:fldChar w:fldCharType="begin"/>
        </w:r>
        <w:r>
          <w:rPr>
            <w:noProof/>
            <w:webHidden/>
          </w:rPr>
          <w:instrText xml:space="preserve"> PAGEREF _Toc12535877 \h </w:instrText>
        </w:r>
        <w:r>
          <w:rPr>
            <w:noProof/>
            <w:webHidden/>
          </w:rPr>
        </w:r>
        <w:r>
          <w:rPr>
            <w:noProof/>
            <w:webHidden/>
          </w:rPr>
          <w:fldChar w:fldCharType="separate"/>
        </w:r>
        <w:r>
          <w:rPr>
            <w:noProof/>
            <w:webHidden/>
          </w:rPr>
          <w:t>65</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8" w:history="1">
        <w:r w:rsidRPr="00B275F3">
          <w:rPr>
            <w:rStyle w:val="Kpr"/>
            <w:noProof/>
          </w:rPr>
          <w:t>Figure 2.2.4: Monthly Trading Volumes in Balancing Power Market (MWh)</w:t>
        </w:r>
        <w:r>
          <w:rPr>
            <w:noProof/>
            <w:webHidden/>
          </w:rPr>
          <w:tab/>
        </w:r>
        <w:r>
          <w:rPr>
            <w:noProof/>
            <w:webHidden/>
          </w:rPr>
          <w:fldChar w:fldCharType="begin"/>
        </w:r>
        <w:r>
          <w:rPr>
            <w:noProof/>
            <w:webHidden/>
          </w:rPr>
          <w:instrText xml:space="preserve"> PAGEREF _Toc12535878 \h </w:instrText>
        </w:r>
        <w:r>
          <w:rPr>
            <w:noProof/>
            <w:webHidden/>
          </w:rPr>
        </w:r>
        <w:r>
          <w:rPr>
            <w:noProof/>
            <w:webHidden/>
          </w:rPr>
          <w:fldChar w:fldCharType="separate"/>
        </w:r>
        <w:r>
          <w:rPr>
            <w:noProof/>
            <w:webHidden/>
          </w:rPr>
          <w:t>66</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79" w:history="1">
        <w:r w:rsidRPr="00B275F3">
          <w:rPr>
            <w:rStyle w:val="Kpr"/>
            <w:noProof/>
          </w:rPr>
          <w:t>Figure 2.2.5: The Share of Top 10 Buyer Companies in Balancing Power Market (%)</w:t>
        </w:r>
        <w:r>
          <w:rPr>
            <w:noProof/>
            <w:webHidden/>
          </w:rPr>
          <w:tab/>
        </w:r>
        <w:r>
          <w:rPr>
            <w:noProof/>
            <w:webHidden/>
          </w:rPr>
          <w:fldChar w:fldCharType="begin"/>
        </w:r>
        <w:r>
          <w:rPr>
            <w:noProof/>
            <w:webHidden/>
          </w:rPr>
          <w:instrText xml:space="preserve"> PAGEREF _Toc12535879 \h </w:instrText>
        </w:r>
        <w:r>
          <w:rPr>
            <w:noProof/>
            <w:webHidden/>
          </w:rPr>
        </w:r>
        <w:r>
          <w:rPr>
            <w:noProof/>
            <w:webHidden/>
          </w:rPr>
          <w:fldChar w:fldCharType="separate"/>
        </w:r>
        <w:r>
          <w:rPr>
            <w:noProof/>
            <w:webHidden/>
          </w:rPr>
          <w:t>66</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0" w:history="1">
        <w:r w:rsidRPr="00B275F3">
          <w:rPr>
            <w:rStyle w:val="Kpr"/>
            <w:noProof/>
          </w:rPr>
          <w:t>Figure 2.2.6: The Share of Top 10 Seller Companies in Balancing Power Market</w:t>
        </w:r>
        <w:r>
          <w:rPr>
            <w:noProof/>
            <w:webHidden/>
          </w:rPr>
          <w:tab/>
        </w:r>
        <w:r>
          <w:rPr>
            <w:noProof/>
            <w:webHidden/>
          </w:rPr>
          <w:fldChar w:fldCharType="begin"/>
        </w:r>
        <w:r>
          <w:rPr>
            <w:noProof/>
            <w:webHidden/>
          </w:rPr>
          <w:instrText xml:space="preserve"> PAGEREF _Toc12535880 \h </w:instrText>
        </w:r>
        <w:r>
          <w:rPr>
            <w:noProof/>
            <w:webHidden/>
          </w:rPr>
        </w:r>
        <w:r>
          <w:rPr>
            <w:noProof/>
            <w:webHidden/>
          </w:rPr>
          <w:fldChar w:fldCharType="separate"/>
        </w:r>
        <w:r>
          <w:rPr>
            <w:noProof/>
            <w:webHidden/>
          </w:rPr>
          <w:t>67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1" w:history="1">
        <w:r w:rsidRPr="00B275F3">
          <w:rPr>
            <w:rStyle w:val="Kpr"/>
            <w:noProof/>
          </w:rPr>
          <w:t>Figure 2.2.7: Rates of Order Volumes Given in Balancing Power Market in 2018 (%)</w:t>
        </w:r>
        <w:r>
          <w:rPr>
            <w:noProof/>
            <w:webHidden/>
          </w:rPr>
          <w:tab/>
        </w:r>
        <w:r>
          <w:rPr>
            <w:noProof/>
            <w:webHidden/>
          </w:rPr>
          <w:fldChar w:fldCharType="begin"/>
        </w:r>
        <w:r>
          <w:rPr>
            <w:noProof/>
            <w:webHidden/>
          </w:rPr>
          <w:instrText xml:space="preserve"> PAGEREF _Toc12535881 \h </w:instrText>
        </w:r>
        <w:r>
          <w:rPr>
            <w:noProof/>
            <w:webHidden/>
          </w:rPr>
        </w:r>
        <w:r>
          <w:rPr>
            <w:noProof/>
            <w:webHidden/>
          </w:rPr>
          <w:fldChar w:fldCharType="separate"/>
        </w:r>
        <w:r>
          <w:rPr>
            <w:noProof/>
            <w:webHidden/>
          </w:rPr>
          <w:t>67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2" w:history="1">
        <w:r w:rsidRPr="00B275F3">
          <w:rPr>
            <w:rStyle w:val="Kpr"/>
            <w:noProof/>
          </w:rPr>
          <w:t>Figure 2.2.8: Distribution of the Orders Given in the Balancing Power Market by Hours in 2018 (MW)</w:t>
        </w:r>
        <w:r>
          <w:rPr>
            <w:noProof/>
            <w:webHidden/>
          </w:rPr>
          <w:tab/>
        </w:r>
        <w:r>
          <w:rPr>
            <w:noProof/>
            <w:webHidden/>
          </w:rPr>
          <w:fldChar w:fldCharType="begin"/>
        </w:r>
        <w:r>
          <w:rPr>
            <w:noProof/>
            <w:webHidden/>
          </w:rPr>
          <w:instrText xml:space="preserve"> PAGEREF _Toc12535882 \h </w:instrText>
        </w:r>
        <w:r>
          <w:rPr>
            <w:noProof/>
            <w:webHidden/>
          </w:rPr>
        </w:r>
        <w:r>
          <w:rPr>
            <w:noProof/>
            <w:webHidden/>
          </w:rPr>
          <w:fldChar w:fldCharType="separate"/>
        </w:r>
        <w:r>
          <w:rPr>
            <w:noProof/>
            <w:webHidden/>
          </w:rPr>
          <w:t>68</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3" w:history="1">
        <w:r w:rsidRPr="00B275F3">
          <w:rPr>
            <w:rStyle w:val="Kpr"/>
            <w:noProof/>
          </w:rPr>
          <w:t>Figure 2.2.9: Development of Additional Costs of Orders by Months in 2018 (Million TL)</w:t>
        </w:r>
        <w:r>
          <w:rPr>
            <w:noProof/>
            <w:webHidden/>
          </w:rPr>
          <w:tab/>
        </w:r>
        <w:r>
          <w:rPr>
            <w:noProof/>
            <w:webHidden/>
          </w:rPr>
          <w:fldChar w:fldCharType="begin"/>
        </w:r>
        <w:r>
          <w:rPr>
            <w:noProof/>
            <w:webHidden/>
          </w:rPr>
          <w:instrText xml:space="preserve"> PAGEREF _Toc12535883 \h </w:instrText>
        </w:r>
        <w:r>
          <w:rPr>
            <w:noProof/>
            <w:webHidden/>
          </w:rPr>
        </w:r>
        <w:r>
          <w:rPr>
            <w:noProof/>
            <w:webHidden/>
          </w:rPr>
          <w:fldChar w:fldCharType="separate"/>
        </w:r>
        <w:r>
          <w:rPr>
            <w:noProof/>
            <w:webHidden/>
          </w:rPr>
          <w:t>69</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4" w:history="1">
        <w:r w:rsidRPr="00B275F3">
          <w:rPr>
            <w:rStyle w:val="Kpr"/>
            <w:noProof/>
          </w:rPr>
          <w:t>Figure 2.2.10: Development of Zero Balance Adjustment Component by Years (TL)</w:t>
        </w:r>
        <w:r>
          <w:rPr>
            <w:noProof/>
            <w:webHidden/>
          </w:rPr>
          <w:tab/>
        </w:r>
        <w:r>
          <w:rPr>
            <w:noProof/>
            <w:webHidden/>
          </w:rPr>
          <w:fldChar w:fldCharType="begin"/>
        </w:r>
        <w:r>
          <w:rPr>
            <w:noProof/>
            <w:webHidden/>
          </w:rPr>
          <w:instrText xml:space="preserve"> PAGEREF _Toc12535884 \h </w:instrText>
        </w:r>
        <w:r>
          <w:rPr>
            <w:noProof/>
            <w:webHidden/>
          </w:rPr>
        </w:r>
        <w:r>
          <w:rPr>
            <w:noProof/>
            <w:webHidden/>
          </w:rPr>
          <w:fldChar w:fldCharType="separate"/>
        </w:r>
        <w:r>
          <w:rPr>
            <w:noProof/>
            <w:webHidden/>
          </w:rPr>
          <w:t>69</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5" w:history="1">
        <w:r w:rsidRPr="00B275F3">
          <w:rPr>
            <w:rStyle w:val="Kpr"/>
            <w:noProof/>
          </w:rPr>
          <w:t>Figure 2.3.1: Monthly Development of Trading Volume and Average Price in the Intra-Day Market (MWh - TL / MWh)</w:t>
        </w:r>
        <w:r>
          <w:rPr>
            <w:noProof/>
            <w:webHidden/>
          </w:rPr>
          <w:tab/>
        </w:r>
        <w:r>
          <w:rPr>
            <w:noProof/>
            <w:webHidden/>
          </w:rPr>
          <w:fldChar w:fldCharType="begin"/>
        </w:r>
        <w:r>
          <w:rPr>
            <w:noProof/>
            <w:webHidden/>
          </w:rPr>
          <w:instrText xml:space="preserve"> PAGEREF _Toc12535885 \h </w:instrText>
        </w:r>
        <w:r>
          <w:rPr>
            <w:noProof/>
            <w:webHidden/>
          </w:rPr>
        </w:r>
        <w:r>
          <w:rPr>
            <w:noProof/>
            <w:webHidden/>
          </w:rPr>
          <w:fldChar w:fldCharType="separate"/>
        </w:r>
        <w:r>
          <w:rPr>
            <w:noProof/>
            <w:webHidden/>
          </w:rPr>
          <w:t>70</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6" w:history="1">
        <w:r w:rsidRPr="00B275F3">
          <w:rPr>
            <w:rStyle w:val="Kpr"/>
            <w:noProof/>
          </w:rPr>
          <w:t>Figure 2.3.2: Distribution of Purchases of Intra-Day Market by Companies and the Share of Top 10 Companies (%)</w:t>
        </w:r>
        <w:r>
          <w:rPr>
            <w:noProof/>
            <w:webHidden/>
          </w:rPr>
          <w:tab/>
        </w:r>
        <w:r>
          <w:rPr>
            <w:noProof/>
            <w:webHidden/>
          </w:rPr>
          <w:fldChar w:fldCharType="begin"/>
        </w:r>
        <w:r>
          <w:rPr>
            <w:noProof/>
            <w:webHidden/>
          </w:rPr>
          <w:instrText xml:space="preserve"> PAGEREF _Toc12535886 \h </w:instrText>
        </w:r>
        <w:r>
          <w:rPr>
            <w:noProof/>
            <w:webHidden/>
          </w:rPr>
        </w:r>
        <w:r>
          <w:rPr>
            <w:noProof/>
            <w:webHidden/>
          </w:rPr>
          <w:fldChar w:fldCharType="separate"/>
        </w:r>
        <w:r>
          <w:rPr>
            <w:noProof/>
            <w:webHidden/>
          </w:rPr>
          <w:t>71</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7" w:history="1">
        <w:r w:rsidRPr="00B275F3">
          <w:rPr>
            <w:rStyle w:val="Kpr"/>
            <w:noProof/>
          </w:rPr>
          <w:t>Figure 2.3.3: Distribution of Sales in Intra-Day Market by Companies and the Share of Top 10 Companies (%)</w:t>
        </w:r>
        <w:r>
          <w:rPr>
            <w:noProof/>
            <w:webHidden/>
          </w:rPr>
          <w:tab/>
        </w:r>
        <w:r>
          <w:rPr>
            <w:noProof/>
            <w:webHidden/>
          </w:rPr>
          <w:fldChar w:fldCharType="begin"/>
        </w:r>
        <w:r>
          <w:rPr>
            <w:noProof/>
            <w:webHidden/>
          </w:rPr>
          <w:instrText xml:space="preserve"> PAGEREF _Toc12535887 \h </w:instrText>
        </w:r>
        <w:r>
          <w:rPr>
            <w:noProof/>
            <w:webHidden/>
          </w:rPr>
        </w:r>
        <w:r>
          <w:rPr>
            <w:noProof/>
            <w:webHidden/>
          </w:rPr>
          <w:fldChar w:fldCharType="separate"/>
        </w:r>
        <w:r>
          <w:rPr>
            <w:noProof/>
            <w:webHidden/>
          </w:rPr>
          <w:t>71</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8" w:history="1">
        <w:r w:rsidRPr="00B275F3">
          <w:rPr>
            <w:rStyle w:val="Kpr"/>
            <w:noProof/>
          </w:rPr>
          <w:t>Figure 2.4.1: Monthly Bilateral Agreement Volume by Years (MWh)</w:t>
        </w:r>
        <w:r>
          <w:rPr>
            <w:noProof/>
            <w:webHidden/>
          </w:rPr>
          <w:tab/>
        </w:r>
        <w:r>
          <w:rPr>
            <w:noProof/>
            <w:webHidden/>
          </w:rPr>
          <w:fldChar w:fldCharType="begin"/>
        </w:r>
        <w:r>
          <w:rPr>
            <w:noProof/>
            <w:webHidden/>
          </w:rPr>
          <w:instrText xml:space="preserve"> PAGEREF _Toc12535888 \h </w:instrText>
        </w:r>
        <w:r>
          <w:rPr>
            <w:noProof/>
            <w:webHidden/>
          </w:rPr>
        </w:r>
        <w:r>
          <w:rPr>
            <w:noProof/>
            <w:webHidden/>
          </w:rPr>
          <w:fldChar w:fldCharType="separate"/>
        </w:r>
        <w:r>
          <w:rPr>
            <w:noProof/>
            <w:webHidden/>
          </w:rPr>
          <w:t>72</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89" w:history="1">
        <w:r w:rsidRPr="00B275F3">
          <w:rPr>
            <w:rStyle w:val="Kpr"/>
            <w:noProof/>
          </w:rPr>
          <w:t>Figure 2.4.2: Distribution of Purchases of Bilateral Agreement by Companies and the Share of Top 10 Companies (%)</w:t>
        </w:r>
        <w:r>
          <w:rPr>
            <w:noProof/>
            <w:webHidden/>
          </w:rPr>
          <w:tab/>
        </w:r>
        <w:r>
          <w:rPr>
            <w:noProof/>
            <w:webHidden/>
          </w:rPr>
          <w:fldChar w:fldCharType="begin"/>
        </w:r>
        <w:r>
          <w:rPr>
            <w:noProof/>
            <w:webHidden/>
          </w:rPr>
          <w:instrText xml:space="preserve"> PAGEREF _Toc12535889 \h </w:instrText>
        </w:r>
        <w:r>
          <w:rPr>
            <w:noProof/>
            <w:webHidden/>
          </w:rPr>
        </w:r>
        <w:r>
          <w:rPr>
            <w:noProof/>
            <w:webHidden/>
          </w:rPr>
          <w:fldChar w:fldCharType="separate"/>
        </w:r>
        <w:r>
          <w:rPr>
            <w:noProof/>
            <w:webHidden/>
          </w:rPr>
          <w:t>73</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0" w:history="1">
        <w:r w:rsidRPr="00B275F3">
          <w:rPr>
            <w:rStyle w:val="Kpr"/>
            <w:noProof/>
          </w:rPr>
          <w:t>Figure 2.4.3: Distribution of Sales with Bilateral Agreement by Companies and the Share of Top 10 Companies (%)</w:t>
        </w:r>
        <w:r>
          <w:rPr>
            <w:noProof/>
            <w:webHidden/>
          </w:rPr>
          <w:tab/>
        </w:r>
        <w:r>
          <w:rPr>
            <w:noProof/>
            <w:webHidden/>
          </w:rPr>
          <w:fldChar w:fldCharType="begin"/>
        </w:r>
        <w:r>
          <w:rPr>
            <w:noProof/>
            <w:webHidden/>
          </w:rPr>
          <w:instrText xml:space="preserve"> PAGEREF _Toc12535890 \h </w:instrText>
        </w:r>
        <w:r>
          <w:rPr>
            <w:noProof/>
            <w:webHidden/>
          </w:rPr>
        </w:r>
        <w:r>
          <w:rPr>
            <w:noProof/>
            <w:webHidden/>
          </w:rPr>
          <w:fldChar w:fldCharType="separate"/>
        </w:r>
        <w:r>
          <w:rPr>
            <w:noProof/>
            <w:webHidden/>
          </w:rPr>
          <w:t>73</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1" w:history="1">
        <w:r w:rsidRPr="00B275F3">
          <w:rPr>
            <w:rStyle w:val="Kpr"/>
            <w:noProof/>
          </w:rPr>
          <w:t>Figure 2.4.4: TETAŞ Wholesale Prices Between 2011-2018 (kr / kWh)</w:t>
        </w:r>
        <w:r>
          <w:rPr>
            <w:noProof/>
            <w:webHidden/>
          </w:rPr>
          <w:tab/>
        </w:r>
        <w:r>
          <w:rPr>
            <w:noProof/>
            <w:webHidden/>
          </w:rPr>
          <w:fldChar w:fldCharType="begin"/>
        </w:r>
        <w:r>
          <w:rPr>
            <w:noProof/>
            <w:webHidden/>
          </w:rPr>
          <w:instrText xml:space="preserve"> PAGEREF _Toc12535891 \h </w:instrText>
        </w:r>
        <w:r>
          <w:rPr>
            <w:noProof/>
            <w:webHidden/>
          </w:rPr>
        </w:r>
        <w:r>
          <w:rPr>
            <w:noProof/>
            <w:webHidden/>
          </w:rPr>
          <w:fldChar w:fldCharType="separate"/>
        </w:r>
        <w:r>
          <w:rPr>
            <w:noProof/>
            <w:webHidden/>
          </w:rPr>
          <w:t>74</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2" w:history="1">
        <w:r w:rsidRPr="00B275F3">
          <w:rPr>
            <w:rStyle w:val="Kpr"/>
            <w:noProof/>
          </w:rPr>
          <w:t>Figure 2.5.1: Distribution of Installed Capacity by Sources in 2018 (%)</w:t>
        </w:r>
        <w:r>
          <w:rPr>
            <w:noProof/>
            <w:webHidden/>
          </w:rPr>
          <w:tab/>
        </w:r>
        <w:r>
          <w:rPr>
            <w:noProof/>
            <w:webHidden/>
          </w:rPr>
          <w:fldChar w:fldCharType="begin"/>
        </w:r>
        <w:r>
          <w:rPr>
            <w:noProof/>
            <w:webHidden/>
          </w:rPr>
          <w:instrText xml:space="preserve"> PAGEREF _Toc12535892 \h </w:instrText>
        </w:r>
        <w:r>
          <w:rPr>
            <w:noProof/>
            <w:webHidden/>
          </w:rPr>
        </w:r>
        <w:r>
          <w:rPr>
            <w:noProof/>
            <w:webHidden/>
          </w:rPr>
          <w:fldChar w:fldCharType="separate"/>
        </w:r>
        <w:r>
          <w:rPr>
            <w:noProof/>
            <w:webHidden/>
          </w:rPr>
          <w:t>76</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3" w:history="1">
        <w:r w:rsidRPr="00B275F3">
          <w:rPr>
            <w:rStyle w:val="Kpr"/>
            <w:noProof/>
          </w:rPr>
          <w:t>Figure 2.5.2: Distribution of Generation in RESSUM by Sources in 2018</w:t>
        </w:r>
        <w:r>
          <w:rPr>
            <w:noProof/>
            <w:webHidden/>
          </w:rPr>
          <w:tab/>
        </w:r>
        <w:r>
          <w:rPr>
            <w:noProof/>
            <w:webHidden/>
          </w:rPr>
          <w:fldChar w:fldCharType="begin"/>
        </w:r>
        <w:r>
          <w:rPr>
            <w:noProof/>
            <w:webHidden/>
          </w:rPr>
          <w:instrText xml:space="preserve"> PAGEREF _Toc12535893 \h </w:instrText>
        </w:r>
        <w:r>
          <w:rPr>
            <w:noProof/>
            <w:webHidden/>
          </w:rPr>
        </w:r>
        <w:r>
          <w:rPr>
            <w:noProof/>
            <w:webHidden/>
          </w:rPr>
          <w:fldChar w:fldCharType="separate"/>
        </w:r>
        <w:r>
          <w:rPr>
            <w:noProof/>
            <w:webHidden/>
          </w:rPr>
          <w:t>77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4" w:history="1">
        <w:r w:rsidRPr="00B275F3">
          <w:rPr>
            <w:rStyle w:val="Kpr"/>
            <w:noProof/>
          </w:rPr>
          <w:t>Figure 2.5.3: Monthly Development of RESSUM Generation in 2018 (MWh)</w:t>
        </w:r>
        <w:r>
          <w:rPr>
            <w:noProof/>
            <w:webHidden/>
          </w:rPr>
          <w:tab/>
        </w:r>
        <w:r>
          <w:rPr>
            <w:noProof/>
            <w:webHidden/>
          </w:rPr>
          <w:fldChar w:fldCharType="begin"/>
        </w:r>
        <w:r>
          <w:rPr>
            <w:noProof/>
            <w:webHidden/>
          </w:rPr>
          <w:instrText xml:space="preserve"> PAGEREF _Toc12535894 \h </w:instrText>
        </w:r>
        <w:r>
          <w:rPr>
            <w:noProof/>
            <w:webHidden/>
          </w:rPr>
        </w:r>
        <w:r>
          <w:rPr>
            <w:noProof/>
            <w:webHidden/>
          </w:rPr>
          <w:fldChar w:fldCharType="separate"/>
        </w:r>
        <w:r>
          <w:rPr>
            <w:noProof/>
            <w:webHidden/>
          </w:rPr>
          <w:t>77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5" w:history="1">
        <w:r w:rsidRPr="00B275F3">
          <w:rPr>
            <w:rStyle w:val="Kpr"/>
            <w:noProof/>
          </w:rPr>
          <w:t>Figure 2.5.4: Monthly Development of RESSUM Feed-in Tariffs and MCP in 2018 (MWh)</w:t>
        </w:r>
        <w:r>
          <w:rPr>
            <w:noProof/>
            <w:webHidden/>
          </w:rPr>
          <w:tab/>
        </w:r>
        <w:r>
          <w:rPr>
            <w:noProof/>
            <w:webHidden/>
          </w:rPr>
          <w:fldChar w:fldCharType="begin"/>
        </w:r>
        <w:r>
          <w:rPr>
            <w:noProof/>
            <w:webHidden/>
          </w:rPr>
          <w:instrText xml:space="preserve"> PAGEREF _Toc12535895 \h </w:instrText>
        </w:r>
        <w:r>
          <w:rPr>
            <w:noProof/>
            <w:webHidden/>
          </w:rPr>
        </w:r>
        <w:r>
          <w:rPr>
            <w:noProof/>
            <w:webHidden/>
          </w:rPr>
          <w:fldChar w:fldCharType="separate"/>
        </w:r>
        <w:r>
          <w:rPr>
            <w:noProof/>
            <w:webHidden/>
          </w:rPr>
          <w:t>78</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6" w:history="1">
        <w:r w:rsidRPr="00B275F3">
          <w:rPr>
            <w:rStyle w:val="Kpr"/>
            <w:noProof/>
          </w:rPr>
          <w:t>Figure 2.5.5: Average of RESSUM and MCP in 2018 (Kr./kWh)</w:t>
        </w:r>
        <w:r>
          <w:rPr>
            <w:noProof/>
            <w:webHidden/>
          </w:rPr>
          <w:tab/>
        </w:r>
        <w:r>
          <w:rPr>
            <w:noProof/>
            <w:webHidden/>
          </w:rPr>
          <w:fldChar w:fldCharType="begin"/>
        </w:r>
        <w:r>
          <w:rPr>
            <w:noProof/>
            <w:webHidden/>
          </w:rPr>
          <w:instrText xml:space="preserve"> PAGEREF _Toc12535896 \h </w:instrText>
        </w:r>
        <w:r>
          <w:rPr>
            <w:noProof/>
            <w:webHidden/>
          </w:rPr>
        </w:r>
        <w:r>
          <w:rPr>
            <w:noProof/>
            <w:webHidden/>
          </w:rPr>
          <w:fldChar w:fldCharType="separate"/>
        </w:r>
        <w:r>
          <w:rPr>
            <w:noProof/>
            <w:webHidden/>
          </w:rPr>
          <w:t>78</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7" w:history="1">
        <w:r w:rsidRPr="00B275F3">
          <w:rPr>
            <w:rStyle w:val="Kpr"/>
            <w:noProof/>
          </w:rPr>
          <w:t>Figure 2.5.6: Monthly Payments Made within the Scope of the RESSUM in 2018 (TL)</w:t>
        </w:r>
        <w:r>
          <w:rPr>
            <w:noProof/>
            <w:webHidden/>
          </w:rPr>
          <w:tab/>
        </w:r>
        <w:r>
          <w:rPr>
            <w:noProof/>
            <w:webHidden/>
          </w:rPr>
          <w:fldChar w:fldCharType="begin"/>
        </w:r>
        <w:r>
          <w:rPr>
            <w:noProof/>
            <w:webHidden/>
          </w:rPr>
          <w:instrText xml:space="preserve"> PAGEREF _Toc12535897 \h </w:instrText>
        </w:r>
        <w:r>
          <w:rPr>
            <w:noProof/>
            <w:webHidden/>
          </w:rPr>
        </w:r>
        <w:r>
          <w:rPr>
            <w:noProof/>
            <w:webHidden/>
          </w:rPr>
          <w:fldChar w:fldCharType="separate"/>
        </w:r>
        <w:r>
          <w:rPr>
            <w:noProof/>
            <w:webHidden/>
          </w:rPr>
          <w:t>78</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8" w:history="1">
        <w:r w:rsidRPr="00B275F3">
          <w:rPr>
            <w:rStyle w:val="Kpr"/>
            <w:noProof/>
          </w:rPr>
          <w:t>Figure 2.5.7 Monthly Improvement of Average RESSUM Additional Cost in 2018 (TL/MWh)</w:t>
        </w:r>
        <w:r>
          <w:rPr>
            <w:noProof/>
            <w:webHidden/>
          </w:rPr>
          <w:tab/>
        </w:r>
        <w:r>
          <w:rPr>
            <w:noProof/>
            <w:webHidden/>
          </w:rPr>
          <w:fldChar w:fldCharType="begin"/>
        </w:r>
        <w:r>
          <w:rPr>
            <w:noProof/>
            <w:webHidden/>
          </w:rPr>
          <w:instrText xml:space="preserve"> PAGEREF _Toc12535898 \h </w:instrText>
        </w:r>
        <w:r>
          <w:rPr>
            <w:noProof/>
            <w:webHidden/>
          </w:rPr>
        </w:r>
        <w:r>
          <w:rPr>
            <w:noProof/>
            <w:webHidden/>
          </w:rPr>
          <w:fldChar w:fldCharType="separate"/>
        </w:r>
        <w:r>
          <w:rPr>
            <w:noProof/>
            <w:webHidden/>
          </w:rPr>
          <w:t>79</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899" w:history="1">
        <w:r w:rsidRPr="00B275F3">
          <w:rPr>
            <w:rStyle w:val="Kpr"/>
            <w:noProof/>
            <w:lang w:val="de-DE"/>
          </w:rPr>
          <w:t>Figure</w:t>
        </w:r>
        <w:r w:rsidRPr="00B275F3">
          <w:rPr>
            <w:rStyle w:val="Kpr"/>
            <w:caps/>
            <w:noProof/>
            <w:lang w:val="de-DE"/>
          </w:rPr>
          <w:t xml:space="preserve"> 3.1: </w:t>
        </w:r>
        <w:r w:rsidRPr="00B275F3">
          <w:rPr>
            <w:rStyle w:val="Kpr"/>
            <w:noProof/>
            <w:lang w:val="de-DE"/>
          </w:rPr>
          <w:t>Eligible Consumer Limit and Market Openness Ratio by Years (kWh-%)</w:t>
        </w:r>
        <w:r>
          <w:rPr>
            <w:noProof/>
            <w:webHidden/>
          </w:rPr>
          <w:tab/>
        </w:r>
        <w:r>
          <w:rPr>
            <w:noProof/>
            <w:webHidden/>
          </w:rPr>
          <w:fldChar w:fldCharType="begin"/>
        </w:r>
        <w:r>
          <w:rPr>
            <w:noProof/>
            <w:webHidden/>
          </w:rPr>
          <w:instrText xml:space="preserve"> PAGEREF _Toc12535899 \h </w:instrText>
        </w:r>
        <w:r>
          <w:rPr>
            <w:noProof/>
            <w:webHidden/>
          </w:rPr>
        </w:r>
        <w:r>
          <w:rPr>
            <w:noProof/>
            <w:webHidden/>
          </w:rPr>
          <w:fldChar w:fldCharType="separate"/>
        </w:r>
        <w:r>
          <w:rPr>
            <w:noProof/>
            <w:webHidden/>
          </w:rPr>
          <w:t>85</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0" w:history="1">
        <w:r w:rsidRPr="00B275F3">
          <w:rPr>
            <w:rStyle w:val="Kpr"/>
            <w:noProof/>
          </w:rPr>
          <w:t>Figure 3.2: Number of Eligible Consumer by Months in 2018 (Number)</w:t>
        </w:r>
        <w:r>
          <w:rPr>
            <w:noProof/>
            <w:webHidden/>
          </w:rPr>
          <w:tab/>
        </w:r>
        <w:r>
          <w:rPr>
            <w:noProof/>
            <w:webHidden/>
          </w:rPr>
          <w:fldChar w:fldCharType="begin"/>
        </w:r>
        <w:r>
          <w:rPr>
            <w:noProof/>
            <w:webHidden/>
          </w:rPr>
          <w:instrText xml:space="preserve"> PAGEREF _Toc12535900 \h </w:instrText>
        </w:r>
        <w:r>
          <w:rPr>
            <w:noProof/>
            <w:webHidden/>
          </w:rPr>
        </w:r>
        <w:r>
          <w:rPr>
            <w:noProof/>
            <w:webHidden/>
          </w:rPr>
          <w:fldChar w:fldCharType="separate"/>
        </w:r>
        <w:r>
          <w:rPr>
            <w:noProof/>
            <w:webHidden/>
          </w:rPr>
          <w:t>85</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1" w:history="1">
        <w:r w:rsidRPr="00B275F3">
          <w:rPr>
            <w:rStyle w:val="Kpr"/>
            <w:noProof/>
          </w:rPr>
          <w:t>Figure 3.3: Distribution of Eligible Consumers by Distribution Regions by end of 2018</w:t>
        </w:r>
        <w:r>
          <w:rPr>
            <w:noProof/>
            <w:webHidden/>
          </w:rPr>
          <w:tab/>
        </w:r>
        <w:r>
          <w:rPr>
            <w:noProof/>
            <w:webHidden/>
          </w:rPr>
          <w:fldChar w:fldCharType="begin"/>
        </w:r>
        <w:r>
          <w:rPr>
            <w:noProof/>
            <w:webHidden/>
          </w:rPr>
          <w:instrText xml:space="preserve"> PAGEREF _Toc12535901 \h </w:instrText>
        </w:r>
        <w:r>
          <w:rPr>
            <w:noProof/>
            <w:webHidden/>
          </w:rPr>
        </w:r>
        <w:r>
          <w:rPr>
            <w:noProof/>
            <w:webHidden/>
          </w:rPr>
          <w:fldChar w:fldCharType="separate"/>
        </w:r>
        <w:r>
          <w:rPr>
            <w:noProof/>
            <w:webHidden/>
          </w:rPr>
          <w:t>86</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2" w:history="1">
        <w:r w:rsidRPr="00B275F3">
          <w:rPr>
            <w:rStyle w:val="Kpr"/>
            <w:noProof/>
          </w:rPr>
          <w:t>Figure 3.4: Distribution of Eligible Consumer Consumption by Suppliers Type (%)</w:t>
        </w:r>
        <w:r>
          <w:rPr>
            <w:noProof/>
            <w:webHidden/>
          </w:rPr>
          <w:tab/>
        </w:r>
        <w:r>
          <w:rPr>
            <w:noProof/>
            <w:webHidden/>
          </w:rPr>
          <w:fldChar w:fldCharType="begin"/>
        </w:r>
        <w:r>
          <w:rPr>
            <w:noProof/>
            <w:webHidden/>
          </w:rPr>
          <w:instrText xml:space="preserve"> PAGEREF _Toc12535902 \h </w:instrText>
        </w:r>
        <w:r>
          <w:rPr>
            <w:noProof/>
            <w:webHidden/>
          </w:rPr>
        </w:r>
        <w:r>
          <w:rPr>
            <w:noProof/>
            <w:webHidden/>
          </w:rPr>
          <w:fldChar w:fldCharType="separate"/>
        </w:r>
        <w:r>
          <w:rPr>
            <w:noProof/>
            <w:webHidden/>
          </w:rPr>
          <w:t>87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3" w:history="1">
        <w:r w:rsidRPr="00B275F3">
          <w:rPr>
            <w:rStyle w:val="Kpr"/>
            <w:noProof/>
          </w:rPr>
          <w:t>Figure 3.5: Monthly Changes in Number and Consumptions of Eligible Consumers Switching Their Supplier (Number-MWh)</w:t>
        </w:r>
        <w:r>
          <w:rPr>
            <w:noProof/>
            <w:webHidden/>
          </w:rPr>
          <w:tab/>
        </w:r>
        <w:r>
          <w:rPr>
            <w:noProof/>
            <w:webHidden/>
          </w:rPr>
          <w:fldChar w:fldCharType="begin"/>
        </w:r>
        <w:r>
          <w:rPr>
            <w:noProof/>
            <w:webHidden/>
          </w:rPr>
          <w:instrText xml:space="preserve"> PAGEREF _Toc12535903 \h </w:instrText>
        </w:r>
        <w:r>
          <w:rPr>
            <w:noProof/>
            <w:webHidden/>
          </w:rPr>
        </w:r>
        <w:r>
          <w:rPr>
            <w:noProof/>
            <w:webHidden/>
          </w:rPr>
          <w:fldChar w:fldCharType="separate"/>
        </w:r>
        <w:r>
          <w:rPr>
            <w:noProof/>
            <w:webHidden/>
          </w:rPr>
          <w:t>87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4" w:history="1">
        <w:r w:rsidRPr="00B275F3">
          <w:rPr>
            <w:rStyle w:val="Kpr"/>
            <w:noProof/>
          </w:rPr>
          <w:t>Figure</w:t>
        </w:r>
        <w:r w:rsidRPr="00B275F3">
          <w:rPr>
            <w:rStyle w:val="Kpr"/>
            <w:caps/>
            <w:noProof/>
          </w:rPr>
          <w:t xml:space="preserve"> 4.1</w:t>
        </w:r>
        <w:r w:rsidRPr="00B275F3">
          <w:rPr>
            <w:rStyle w:val="Kpr"/>
            <w:noProof/>
          </w:rPr>
          <w:t>: Changes in TEİAŞ Transmission Line Lengths by Years (km)</w:t>
        </w:r>
        <w:r>
          <w:rPr>
            <w:noProof/>
            <w:webHidden/>
          </w:rPr>
          <w:tab/>
        </w:r>
        <w:r>
          <w:rPr>
            <w:noProof/>
            <w:webHidden/>
          </w:rPr>
          <w:fldChar w:fldCharType="begin"/>
        </w:r>
        <w:r>
          <w:rPr>
            <w:noProof/>
            <w:webHidden/>
          </w:rPr>
          <w:instrText xml:space="preserve"> PAGEREF _Toc12535904 \h </w:instrText>
        </w:r>
        <w:r>
          <w:rPr>
            <w:noProof/>
            <w:webHidden/>
          </w:rPr>
        </w:r>
        <w:r>
          <w:rPr>
            <w:noProof/>
            <w:webHidden/>
          </w:rPr>
          <w:fldChar w:fldCharType="separate"/>
        </w:r>
        <w:r>
          <w:rPr>
            <w:noProof/>
            <w:webHidden/>
          </w:rPr>
          <w:t>89</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5" w:history="1">
        <w:r w:rsidRPr="00B275F3">
          <w:rPr>
            <w:rStyle w:val="Kpr"/>
            <w:noProof/>
          </w:rPr>
          <w:t>Figure 4.2:</w:t>
        </w:r>
        <w:r w:rsidRPr="00B275F3">
          <w:rPr>
            <w:rStyle w:val="Kpr"/>
            <w:caps/>
            <w:noProof/>
          </w:rPr>
          <w:t xml:space="preserve"> </w:t>
        </w:r>
        <w:r w:rsidRPr="00B275F3">
          <w:rPr>
            <w:rStyle w:val="Kpr"/>
            <w:noProof/>
          </w:rPr>
          <w:t xml:space="preserve"> System Usage and System Operation Tariffs (TL/MW-Year)</w:t>
        </w:r>
        <w:r>
          <w:rPr>
            <w:noProof/>
            <w:webHidden/>
          </w:rPr>
          <w:tab/>
        </w:r>
        <w:r>
          <w:rPr>
            <w:noProof/>
            <w:webHidden/>
          </w:rPr>
          <w:fldChar w:fldCharType="begin"/>
        </w:r>
        <w:r>
          <w:rPr>
            <w:noProof/>
            <w:webHidden/>
          </w:rPr>
          <w:instrText xml:space="preserve"> PAGEREF _Toc12535905 \h </w:instrText>
        </w:r>
        <w:r>
          <w:rPr>
            <w:noProof/>
            <w:webHidden/>
          </w:rPr>
        </w:r>
        <w:r>
          <w:rPr>
            <w:noProof/>
            <w:webHidden/>
          </w:rPr>
          <w:fldChar w:fldCharType="separate"/>
        </w:r>
        <w:r>
          <w:rPr>
            <w:noProof/>
            <w:webHidden/>
          </w:rPr>
          <w:t>92</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6" w:history="1">
        <w:r w:rsidRPr="00B275F3">
          <w:rPr>
            <w:rStyle w:val="Kpr"/>
            <w:noProof/>
          </w:rPr>
          <w:t>Figure 4.3:</w:t>
        </w:r>
        <w:r w:rsidRPr="00B275F3">
          <w:rPr>
            <w:rStyle w:val="Kpr"/>
            <w:caps/>
            <w:noProof/>
          </w:rPr>
          <w:t xml:space="preserve"> </w:t>
        </w:r>
        <w:r w:rsidRPr="00B275F3">
          <w:rPr>
            <w:rStyle w:val="Kpr"/>
            <w:noProof/>
          </w:rPr>
          <w:t xml:space="preserve"> Transmission System Losses (GWh-%)</w:t>
        </w:r>
        <w:r>
          <w:rPr>
            <w:noProof/>
            <w:webHidden/>
          </w:rPr>
          <w:tab/>
        </w:r>
        <w:r>
          <w:rPr>
            <w:noProof/>
            <w:webHidden/>
          </w:rPr>
          <w:fldChar w:fldCharType="begin"/>
        </w:r>
        <w:r>
          <w:rPr>
            <w:noProof/>
            <w:webHidden/>
          </w:rPr>
          <w:instrText xml:space="preserve"> PAGEREF _Toc12535906 \h </w:instrText>
        </w:r>
        <w:r>
          <w:rPr>
            <w:noProof/>
            <w:webHidden/>
          </w:rPr>
        </w:r>
        <w:r>
          <w:rPr>
            <w:noProof/>
            <w:webHidden/>
          </w:rPr>
          <w:fldChar w:fldCharType="separate"/>
        </w:r>
        <w:r>
          <w:rPr>
            <w:noProof/>
            <w:webHidden/>
          </w:rPr>
          <w:t>93</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7" w:history="1">
        <w:r w:rsidRPr="00B275F3">
          <w:rPr>
            <w:rStyle w:val="Kpr"/>
            <w:noProof/>
          </w:rPr>
          <w:t>Figure 4.4:  Transmission System Losses by Hour (%)</w:t>
        </w:r>
        <w:r>
          <w:rPr>
            <w:noProof/>
            <w:webHidden/>
          </w:rPr>
          <w:tab/>
        </w:r>
        <w:r>
          <w:rPr>
            <w:noProof/>
            <w:webHidden/>
          </w:rPr>
          <w:fldChar w:fldCharType="begin"/>
        </w:r>
        <w:r>
          <w:rPr>
            <w:noProof/>
            <w:webHidden/>
          </w:rPr>
          <w:instrText xml:space="preserve"> PAGEREF _Toc12535907 \h </w:instrText>
        </w:r>
        <w:r>
          <w:rPr>
            <w:noProof/>
            <w:webHidden/>
          </w:rPr>
        </w:r>
        <w:r>
          <w:rPr>
            <w:noProof/>
            <w:webHidden/>
          </w:rPr>
          <w:fldChar w:fldCharType="separate"/>
        </w:r>
        <w:r>
          <w:rPr>
            <w:noProof/>
            <w:webHidden/>
          </w:rPr>
          <w:t>93</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8" w:history="1">
        <w:r w:rsidRPr="00B275F3">
          <w:rPr>
            <w:rStyle w:val="Kpr"/>
            <w:noProof/>
          </w:rPr>
          <w:t>Figure 5.1: Number and Consumption of Consumers</w:t>
        </w:r>
        <w:r w:rsidRPr="00B275F3">
          <w:rPr>
            <w:rStyle w:val="Kpr"/>
            <w:rFonts w:eastAsia="Times New Roman"/>
            <w:noProof/>
            <w:lang w:eastAsia="tr-TR"/>
          </w:rPr>
          <w:t xml:space="preserve"> (Number- MWh)</w:t>
        </w:r>
        <w:r>
          <w:rPr>
            <w:noProof/>
            <w:webHidden/>
          </w:rPr>
          <w:tab/>
        </w:r>
        <w:r>
          <w:rPr>
            <w:noProof/>
            <w:webHidden/>
          </w:rPr>
          <w:fldChar w:fldCharType="begin"/>
        </w:r>
        <w:r>
          <w:rPr>
            <w:noProof/>
            <w:webHidden/>
          </w:rPr>
          <w:instrText xml:space="preserve"> PAGEREF _Toc12535908 \h </w:instrText>
        </w:r>
        <w:r>
          <w:rPr>
            <w:noProof/>
            <w:webHidden/>
          </w:rPr>
        </w:r>
        <w:r>
          <w:rPr>
            <w:noProof/>
            <w:webHidden/>
          </w:rPr>
          <w:fldChar w:fldCharType="separate"/>
        </w:r>
        <w:r>
          <w:rPr>
            <w:noProof/>
            <w:webHidden/>
          </w:rPr>
          <w:t>95</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09" w:history="1">
        <w:r w:rsidRPr="00B275F3">
          <w:rPr>
            <w:rStyle w:val="Kpr"/>
            <w:noProof/>
          </w:rPr>
          <w:t>Figure 5.2: Real and Target Loss Rates in 2018 (%)</w:t>
        </w:r>
        <w:r>
          <w:rPr>
            <w:noProof/>
            <w:webHidden/>
          </w:rPr>
          <w:tab/>
        </w:r>
        <w:r>
          <w:rPr>
            <w:noProof/>
            <w:webHidden/>
          </w:rPr>
          <w:fldChar w:fldCharType="begin"/>
        </w:r>
        <w:r>
          <w:rPr>
            <w:noProof/>
            <w:webHidden/>
          </w:rPr>
          <w:instrText xml:space="preserve"> PAGEREF _Toc12535909 \h </w:instrText>
        </w:r>
        <w:r>
          <w:rPr>
            <w:noProof/>
            <w:webHidden/>
          </w:rPr>
        </w:r>
        <w:r>
          <w:rPr>
            <w:noProof/>
            <w:webHidden/>
          </w:rPr>
          <w:fldChar w:fldCharType="separate"/>
        </w:r>
        <w:r>
          <w:rPr>
            <w:noProof/>
            <w:webHidden/>
          </w:rPr>
          <w:t>97</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0" w:history="1">
        <w:r w:rsidRPr="00B275F3">
          <w:rPr>
            <w:rStyle w:val="Kpr"/>
            <w:noProof/>
          </w:rPr>
          <w:t>Figure 5.3: Number of Employees of Distribution Companies by Year 2018</w:t>
        </w:r>
        <w:r>
          <w:rPr>
            <w:noProof/>
            <w:webHidden/>
          </w:rPr>
          <w:tab/>
        </w:r>
        <w:r>
          <w:rPr>
            <w:noProof/>
            <w:webHidden/>
          </w:rPr>
          <w:fldChar w:fldCharType="begin"/>
        </w:r>
        <w:r>
          <w:rPr>
            <w:noProof/>
            <w:webHidden/>
          </w:rPr>
          <w:instrText xml:space="preserve"> PAGEREF _Toc12535910 \h </w:instrText>
        </w:r>
        <w:r>
          <w:rPr>
            <w:noProof/>
            <w:webHidden/>
          </w:rPr>
        </w:r>
        <w:r>
          <w:rPr>
            <w:noProof/>
            <w:webHidden/>
          </w:rPr>
          <w:fldChar w:fldCharType="separate"/>
        </w:r>
        <w:r>
          <w:rPr>
            <w:noProof/>
            <w:webHidden/>
          </w:rPr>
          <w:t>99</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1" w:history="1">
        <w:r w:rsidRPr="00B275F3">
          <w:rPr>
            <w:rStyle w:val="Kpr"/>
            <w:noProof/>
          </w:rPr>
          <w:t>Figure 5.4: Line Lengths and Transformer Capacities on the Basis of</w:t>
        </w:r>
        <w:r>
          <w:rPr>
            <w:noProof/>
            <w:webHidden/>
          </w:rPr>
          <w:tab/>
        </w:r>
        <w:r>
          <w:rPr>
            <w:noProof/>
            <w:webHidden/>
          </w:rPr>
          <w:fldChar w:fldCharType="begin"/>
        </w:r>
        <w:r>
          <w:rPr>
            <w:noProof/>
            <w:webHidden/>
          </w:rPr>
          <w:instrText xml:space="preserve"> PAGEREF _Toc12535911 \h </w:instrText>
        </w:r>
        <w:r>
          <w:rPr>
            <w:noProof/>
            <w:webHidden/>
          </w:rPr>
        </w:r>
        <w:r>
          <w:rPr>
            <w:noProof/>
            <w:webHidden/>
          </w:rPr>
          <w:fldChar w:fldCharType="separate"/>
        </w:r>
        <w:r>
          <w:rPr>
            <w:noProof/>
            <w:webHidden/>
          </w:rPr>
          <w:t>101</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2" w:history="1">
        <w:r w:rsidRPr="00B275F3">
          <w:rPr>
            <w:rStyle w:val="Kpr"/>
            <w:noProof/>
          </w:rPr>
          <w:t>Distribution Companies at the end of 2018 (Km-MVA)</w:t>
        </w:r>
        <w:r>
          <w:rPr>
            <w:noProof/>
            <w:webHidden/>
          </w:rPr>
          <w:tab/>
        </w:r>
        <w:r>
          <w:rPr>
            <w:noProof/>
            <w:webHidden/>
          </w:rPr>
          <w:fldChar w:fldCharType="begin"/>
        </w:r>
        <w:r>
          <w:rPr>
            <w:noProof/>
            <w:webHidden/>
          </w:rPr>
          <w:instrText xml:space="preserve"> PAGEREF _Toc12535912 \h </w:instrText>
        </w:r>
        <w:r>
          <w:rPr>
            <w:noProof/>
            <w:webHidden/>
          </w:rPr>
        </w:r>
        <w:r>
          <w:rPr>
            <w:noProof/>
            <w:webHidden/>
          </w:rPr>
          <w:fldChar w:fldCharType="separate"/>
        </w:r>
        <w:r>
          <w:rPr>
            <w:noProof/>
            <w:webHidden/>
          </w:rPr>
          <w:t>101</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3" w:history="1">
        <w:r w:rsidRPr="00B275F3">
          <w:rPr>
            <w:rStyle w:val="Kpr"/>
            <w:noProof/>
          </w:rPr>
          <w:t>Figure 5.5: The Length of Lines on the Basis of Distribution Companies at the end of 2018(Km)</w:t>
        </w:r>
        <w:r>
          <w:rPr>
            <w:noProof/>
            <w:webHidden/>
          </w:rPr>
          <w:tab/>
        </w:r>
        <w:r>
          <w:rPr>
            <w:noProof/>
            <w:webHidden/>
          </w:rPr>
          <w:fldChar w:fldCharType="begin"/>
        </w:r>
        <w:r>
          <w:rPr>
            <w:noProof/>
            <w:webHidden/>
          </w:rPr>
          <w:instrText xml:space="preserve"> PAGEREF _Toc12535913 \h </w:instrText>
        </w:r>
        <w:r>
          <w:rPr>
            <w:noProof/>
            <w:webHidden/>
          </w:rPr>
        </w:r>
        <w:r>
          <w:rPr>
            <w:noProof/>
            <w:webHidden/>
          </w:rPr>
          <w:fldChar w:fldCharType="separate"/>
        </w:r>
        <w:r>
          <w:rPr>
            <w:noProof/>
            <w:webHidden/>
          </w:rPr>
          <w:t>102</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4" w:history="1">
        <w:r w:rsidRPr="00B275F3">
          <w:rPr>
            <w:rStyle w:val="Kpr"/>
            <w:rFonts w:eastAsia="Times New Roman"/>
            <w:noProof/>
            <w:lang w:val="en" w:eastAsia="tr-TR"/>
          </w:rPr>
          <w:t>Figure 5.6 Investment Amounts of Dıstribution Companies in 2018(Current Prices-TL)</w:t>
        </w:r>
        <w:r>
          <w:rPr>
            <w:noProof/>
            <w:webHidden/>
          </w:rPr>
          <w:tab/>
        </w:r>
        <w:r>
          <w:rPr>
            <w:noProof/>
            <w:webHidden/>
          </w:rPr>
          <w:fldChar w:fldCharType="begin"/>
        </w:r>
        <w:r>
          <w:rPr>
            <w:noProof/>
            <w:webHidden/>
          </w:rPr>
          <w:instrText xml:space="preserve"> PAGEREF _Toc12535914 \h </w:instrText>
        </w:r>
        <w:r>
          <w:rPr>
            <w:noProof/>
            <w:webHidden/>
          </w:rPr>
        </w:r>
        <w:r>
          <w:rPr>
            <w:noProof/>
            <w:webHidden/>
          </w:rPr>
          <w:fldChar w:fldCharType="separate"/>
        </w:r>
        <w:r>
          <w:rPr>
            <w:noProof/>
            <w:webHidden/>
          </w:rPr>
          <w:t>110</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5" w:history="1">
        <w:r w:rsidRPr="00B275F3">
          <w:rPr>
            <w:rStyle w:val="Kpr"/>
            <w:rFonts w:cs="Times New Roman"/>
            <w:noProof/>
          </w:rPr>
          <w:t>Figure 6.1: Change in Retail Electric Energy Prices in the Last Five Years (Kr/kWh)</w:t>
        </w:r>
        <w:r>
          <w:rPr>
            <w:noProof/>
            <w:webHidden/>
          </w:rPr>
          <w:tab/>
        </w:r>
        <w:r>
          <w:rPr>
            <w:noProof/>
            <w:webHidden/>
          </w:rPr>
          <w:fldChar w:fldCharType="begin"/>
        </w:r>
        <w:r>
          <w:rPr>
            <w:noProof/>
            <w:webHidden/>
          </w:rPr>
          <w:instrText xml:space="preserve"> PAGEREF _Toc12535915 \h </w:instrText>
        </w:r>
        <w:r>
          <w:rPr>
            <w:noProof/>
            <w:webHidden/>
          </w:rPr>
        </w:r>
        <w:r>
          <w:rPr>
            <w:noProof/>
            <w:webHidden/>
          </w:rPr>
          <w:fldChar w:fldCharType="separate"/>
        </w:r>
        <w:r>
          <w:rPr>
            <w:noProof/>
            <w:webHidden/>
          </w:rPr>
          <w:t>112</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6" w:history="1">
        <w:r w:rsidRPr="00B275F3">
          <w:rPr>
            <w:rStyle w:val="Kpr"/>
            <w:rFonts w:cs="Times New Roman"/>
            <w:noProof/>
          </w:rPr>
          <w:t>Figure 6.2: Change in Network Costs (Distribution, Transmission and Loss) by Years (Kr / kWh)</w:t>
        </w:r>
        <w:r>
          <w:rPr>
            <w:noProof/>
            <w:webHidden/>
          </w:rPr>
          <w:tab/>
        </w:r>
        <w:r>
          <w:rPr>
            <w:noProof/>
            <w:webHidden/>
          </w:rPr>
          <w:fldChar w:fldCharType="begin"/>
        </w:r>
        <w:r>
          <w:rPr>
            <w:noProof/>
            <w:webHidden/>
          </w:rPr>
          <w:instrText xml:space="preserve"> PAGEREF _Toc12535916 \h </w:instrText>
        </w:r>
        <w:r>
          <w:rPr>
            <w:noProof/>
            <w:webHidden/>
          </w:rPr>
        </w:r>
        <w:r>
          <w:rPr>
            <w:noProof/>
            <w:webHidden/>
          </w:rPr>
          <w:fldChar w:fldCharType="separate"/>
        </w:r>
        <w:r>
          <w:rPr>
            <w:noProof/>
            <w:webHidden/>
          </w:rPr>
          <w:t>112</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7" w:history="1">
        <w:r w:rsidRPr="00B275F3">
          <w:rPr>
            <w:rStyle w:val="Kpr"/>
            <w:noProof/>
          </w:rPr>
          <w:t>Figure 6.3:</w:t>
        </w:r>
        <w:r w:rsidRPr="00B275F3">
          <w:rPr>
            <w:rStyle w:val="Kpr"/>
            <w:i/>
            <w:iCs/>
            <w:noProof/>
          </w:rPr>
          <w:t xml:space="preserve"> </w:t>
        </w:r>
        <w:r w:rsidRPr="00B275F3">
          <w:rPr>
            <w:rStyle w:val="Kpr"/>
            <w:noProof/>
          </w:rPr>
          <w:t>Change in Electricity Tariffs before Taxes and Funds by Years (kr / kWh)</w:t>
        </w:r>
        <w:r>
          <w:rPr>
            <w:noProof/>
            <w:webHidden/>
          </w:rPr>
          <w:tab/>
        </w:r>
        <w:r>
          <w:rPr>
            <w:noProof/>
            <w:webHidden/>
          </w:rPr>
          <w:fldChar w:fldCharType="begin"/>
        </w:r>
        <w:r>
          <w:rPr>
            <w:noProof/>
            <w:webHidden/>
          </w:rPr>
          <w:instrText xml:space="preserve"> PAGEREF _Toc12535917 \h </w:instrText>
        </w:r>
        <w:r>
          <w:rPr>
            <w:noProof/>
            <w:webHidden/>
          </w:rPr>
        </w:r>
        <w:r>
          <w:rPr>
            <w:noProof/>
            <w:webHidden/>
          </w:rPr>
          <w:fldChar w:fldCharType="separate"/>
        </w:r>
        <w:r>
          <w:rPr>
            <w:noProof/>
            <w:webHidden/>
          </w:rPr>
          <w:t>113</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8" w:history="1">
        <w:r w:rsidRPr="00B275F3">
          <w:rPr>
            <w:rStyle w:val="Kpr"/>
            <w:noProof/>
          </w:rPr>
          <w:t>Figure 6.4: Share of Items on Residence Electricity Invoice in 2018 (%)</w:t>
        </w:r>
        <w:r>
          <w:rPr>
            <w:noProof/>
            <w:webHidden/>
          </w:rPr>
          <w:tab/>
        </w:r>
        <w:r>
          <w:rPr>
            <w:noProof/>
            <w:webHidden/>
          </w:rPr>
          <w:fldChar w:fldCharType="begin"/>
        </w:r>
        <w:r>
          <w:rPr>
            <w:noProof/>
            <w:webHidden/>
          </w:rPr>
          <w:instrText xml:space="preserve"> PAGEREF _Toc12535918 \h </w:instrText>
        </w:r>
        <w:r>
          <w:rPr>
            <w:noProof/>
            <w:webHidden/>
          </w:rPr>
        </w:r>
        <w:r>
          <w:rPr>
            <w:noProof/>
            <w:webHidden/>
          </w:rPr>
          <w:fldChar w:fldCharType="separate"/>
        </w:r>
        <w:r>
          <w:rPr>
            <w:noProof/>
            <w:webHidden/>
          </w:rPr>
          <w:t>113</w:t>
        </w:r>
        <w:r>
          <w:rPr>
            <w:noProof/>
            <w:webHidden/>
          </w:rPr>
          <w:fldChar w:fldCharType="end"/>
        </w:r>
      </w:hyperlink>
    </w:p>
    <w:p w:rsidR="0056743C" w:rsidRDefault="0056743C">
      <w:pPr>
        <w:pStyle w:val="ekillerTablosu"/>
        <w:tabs>
          <w:tab w:val="right" w:leader="dot" w:pos="9062"/>
        </w:tabs>
        <w:rPr>
          <w:rFonts w:asciiTheme="minorHAnsi" w:eastAsiaTheme="minorEastAsia" w:hAnsiTheme="minorHAnsi" w:cstheme="minorBidi"/>
          <w:noProof/>
          <w:lang w:bidi="ar-SA"/>
        </w:rPr>
      </w:pPr>
      <w:hyperlink w:anchor="_Toc12535919" w:history="1">
        <w:r w:rsidRPr="00B275F3">
          <w:rPr>
            <w:rStyle w:val="Kpr"/>
            <w:noProof/>
          </w:rPr>
          <w:t>Figure 6.5: Share of Items on Industry Electricity Invoice in 2018 (%)</w:t>
        </w:r>
        <w:r>
          <w:rPr>
            <w:noProof/>
            <w:webHidden/>
          </w:rPr>
          <w:tab/>
        </w:r>
        <w:r>
          <w:rPr>
            <w:noProof/>
            <w:webHidden/>
          </w:rPr>
          <w:fldChar w:fldCharType="begin"/>
        </w:r>
        <w:r>
          <w:rPr>
            <w:noProof/>
            <w:webHidden/>
          </w:rPr>
          <w:instrText xml:space="preserve"> PAGEREF _Toc12535919 \h </w:instrText>
        </w:r>
        <w:r>
          <w:rPr>
            <w:noProof/>
            <w:webHidden/>
          </w:rPr>
        </w:r>
        <w:r>
          <w:rPr>
            <w:noProof/>
            <w:webHidden/>
          </w:rPr>
          <w:fldChar w:fldCharType="separate"/>
        </w:r>
        <w:r>
          <w:rPr>
            <w:noProof/>
            <w:webHidden/>
          </w:rPr>
          <w:t>114</w:t>
        </w:r>
        <w:r>
          <w:rPr>
            <w:noProof/>
            <w:webHidden/>
          </w:rPr>
          <w:fldChar w:fldCharType="end"/>
        </w:r>
      </w:hyperlink>
    </w:p>
    <w:p w:rsidR="0099399A" w:rsidRPr="00422D1D" w:rsidRDefault="0067774B" w:rsidP="0099399A">
      <w:pPr>
        <w:jc w:val="both"/>
        <w:rPr>
          <w:rFonts w:ascii="Times New Roman" w:hAnsi="Times New Roman" w:cs="Times New Roman"/>
          <w:bCs/>
          <w:sz w:val="24"/>
          <w:szCs w:val="24"/>
        </w:rPr>
      </w:pPr>
      <w:r>
        <w:rPr>
          <w:rFonts w:ascii="Times New Roman" w:hAnsi="Times New Roman" w:cs="Times New Roman"/>
          <w:bCs/>
          <w:sz w:val="24"/>
          <w:szCs w:val="24"/>
        </w:rPr>
        <w:fldChar w:fldCharType="end"/>
      </w:r>
    </w:p>
    <w:p w:rsidR="0099399A" w:rsidRPr="00422D1D" w:rsidRDefault="0099399A" w:rsidP="0099399A">
      <w:pPr>
        <w:spacing w:line="240" w:lineRule="auto"/>
        <w:jc w:val="both"/>
        <w:rPr>
          <w:rFonts w:ascii="Times New Roman" w:hAnsi="Times New Roman" w:cs="Times New Roman"/>
          <w:bCs/>
          <w:sz w:val="24"/>
          <w:szCs w:val="24"/>
        </w:rPr>
      </w:pPr>
    </w:p>
    <w:p w:rsidR="0099399A" w:rsidRPr="00422D1D" w:rsidRDefault="0099399A" w:rsidP="0099399A">
      <w:pPr>
        <w:jc w:val="both"/>
        <w:rPr>
          <w:rFonts w:ascii="Times New Roman" w:hAnsi="Times New Roman" w:cs="Times New Roman"/>
          <w:bCs/>
          <w:sz w:val="24"/>
          <w:szCs w:val="24"/>
        </w:rPr>
      </w:pPr>
      <w:r w:rsidRPr="00422D1D">
        <w:rPr>
          <w:rFonts w:ascii="Times New Roman" w:hAnsi="Times New Roman" w:cs="Times New Roman"/>
          <w:bCs/>
          <w:sz w:val="24"/>
          <w:szCs w:val="24"/>
        </w:rPr>
        <w:br w:type="page"/>
      </w:r>
    </w:p>
    <w:p w:rsidR="0099399A" w:rsidRPr="00422D1D" w:rsidRDefault="0099399A" w:rsidP="0099399A">
      <w:pPr>
        <w:jc w:val="both"/>
        <w:rPr>
          <w:rFonts w:ascii="Times New Roman" w:hAnsi="Times New Roman" w:cs="Times New Roman"/>
          <w:b/>
          <w:sz w:val="24"/>
        </w:rPr>
      </w:pPr>
    </w:p>
    <w:p w:rsidR="0099399A" w:rsidRPr="00422D1D" w:rsidRDefault="0099399A" w:rsidP="0099399A">
      <w:pPr>
        <w:jc w:val="both"/>
        <w:rPr>
          <w:rFonts w:ascii="Times New Roman" w:hAnsi="Times New Roman" w:cs="Times New Roman"/>
          <w:b/>
          <w:sz w:val="24"/>
        </w:rPr>
      </w:pPr>
      <w:r w:rsidRPr="00422D1D">
        <w:rPr>
          <w:rFonts w:ascii="Times New Roman" w:hAnsi="Times New Roman" w:cs="Times New Roman"/>
          <w:b/>
          <w:sz w:val="24"/>
        </w:rPr>
        <w:t>ABBREVIATIONS</w:t>
      </w:r>
    </w:p>
    <w:p w:rsidR="0099399A" w:rsidRPr="00422D1D" w:rsidRDefault="0099399A" w:rsidP="0099399A">
      <w:pPr>
        <w:spacing w:line="360" w:lineRule="auto"/>
        <w:jc w:val="both"/>
        <w:rPr>
          <w:rFonts w:ascii="Times New Roman" w:hAnsi="Times New Roman" w:cs="Times New Roman"/>
          <w:sz w:val="24"/>
          <w:szCs w:val="24"/>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BPM</w:t>
      </w:r>
      <w:r w:rsidRPr="00422D1D">
        <w:rPr>
          <w:rFonts w:ascii="Times New Roman" w:hAnsi="Times New Roman" w:cs="Times New Roman"/>
          <w:b/>
          <w:sz w:val="24"/>
          <w:szCs w:val="24"/>
        </w:rPr>
        <w:tab/>
      </w:r>
      <w:r w:rsidRPr="00422D1D">
        <w:rPr>
          <w:rFonts w:ascii="Times New Roman" w:hAnsi="Times New Roman" w:cs="Times New Roman"/>
          <w:sz w:val="24"/>
          <w:szCs w:val="24"/>
        </w:rPr>
        <w:tab/>
        <w:t>: Balancing Power Market</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EMRA</w:t>
      </w:r>
      <w:r w:rsidRPr="00422D1D">
        <w:rPr>
          <w:rFonts w:ascii="Times New Roman" w:hAnsi="Times New Roman" w:cs="Times New Roman"/>
          <w:sz w:val="24"/>
          <w:szCs w:val="24"/>
        </w:rPr>
        <w:tab/>
        <w:t>: Energy Market Regulatory Authority</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 xml:space="preserve">EXIST </w:t>
      </w:r>
      <w:r w:rsidRPr="00422D1D">
        <w:rPr>
          <w:rFonts w:ascii="Times New Roman" w:hAnsi="Times New Roman" w:cs="Times New Roman"/>
          <w:sz w:val="24"/>
          <w:szCs w:val="24"/>
        </w:rPr>
        <w:tab/>
        <w:t xml:space="preserve">: Energy Exchange Istanbul </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EÜAŞ</w:t>
      </w:r>
      <w:r w:rsidRPr="00422D1D">
        <w:rPr>
          <w:rFonts w:ascii="Times New Roman" w:hAnsi="Times New Roman" w:cs="Times New Roman"/>
          <w:b/>
          <w:sz w:val="24"/>
          <w:szCs w:val="24"/>
        </w:rPr>
        <w:tab/>
      </w:r>
      <w:r w:rsidRPr="00422D1D">
        <w:rPr>
          <w:rFonts w:ascii="Times New Roman" w:hAnsi="Times New Roman" w:cs="Times New Roman"/>
          <w:sz w:val="24"/>
          <w:szCs w:val="24"/>
        </w:rPr>
        <w:tab/>
        <w:t>: Electricity Generation Company</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IDM</w:t>
      </w:r>
      <w:r w:rsidRPr="00422D1D">
        <w:rPr>
          <w:rFonts w:ascii="Times New Roman" w:hAnsi="Times New Roman" w:cs="Times New Roman"/>
          <w:sz w:val="24"/>
          <w:szCs w:val="24"/>
        </w:rPr>
        <w:tab/>
      </w:r>
      <w:r w:rsidRPr="00422D1D">
        <w:rPr>
          <w:rFonts w:ascii="Times New Roman" w:hAnsi="Times New Roman" w:cs="Times New Roman"/>
          <w:sz w:val="24"/>
          <w:szCs w:val="24"/>
        </w:rPr>
        <w:tab/>
        <w:t>: Intra-Day Market</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DAM</w:t>
      </w:r>
      <w:r w:rsidRPr="00422D1D">
        <w:rPr>
          <w:rFonts w:ascii="Times New Roman" w:hAnsi="Times New Roman" w:cs="Times New Roman"/>
          <w:sz w:val="24"/>
          <w:szCs w:val="24"/>
        </w:rPr>
        <w:tab/>
      </w:r>
      <w:r w:rsidRPr="00422D1D">
        <w:rPr>
          <w:rFonts w:ascii="Times New Roman" w:hAnsi="Times New Roman" w:cs="Times New Roman"/>
          <w:sz w:val="24"/>
          <w:szCs w:val="24"/>
        </w:rPr>
        <w:tab/>
        <w:t>: Day-Ahead Market</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MCP</w:t>
      </w:r>
      <w:r w:rsidRPr="00422D1D">
        <w:rPr>
          <w:rFonts w:ascii="Times New Roman" w:hAnsi="Times New Roman" w:cs="Times New Roman"/>
          <w:sz w:val="24"/>
          <w:szCs w:val="24"/>
        </w:rPr>
        <w:tab/>
      </w:r>
      <w:r w:rsidRPr="00422D1D">
        <w:rPr>
          <w:rFonts w:ascii="Times New Roman" w:hAnsi="Times New Roman" w:cs="Times New Roman"/>
          <w:sz w:val="24"/>
          <w:szCs w:val="24"/>
        </w:rPr>
        <w:tab/>
        <w:t>: Market Clearing Price (Day-Ahead Price)</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MFSC</w:t>
      </w:r>
      <w:r w:rsidRPr="00422D1D">
        <w:rPr>
          <w:rFonts w:ascii="Times New Roman" w:hAnsi="Times New Roman" w:cs="Times New Roman"/>
          <w:b/>
          <w:sz w:val="24"/>
          <w:szCs w:val="24"/>
        </w:rPr>
        <w:tab/>
      </w:r>
      <w:r w:rsidRPr="00422D1D">
        <w:rPr>
          <w:rFonts w:ascii="Times New Roman" w:hAnsi="Times New Roman" w:cs="Times New Roman"/>
          <w:b/>
          <w:sz w:val="24"/>
          <w:szCs w:val="24"/>
        </w:rPr>
        <w:tab/>
      </w:r>
      <w:r w:rsidRPr="00422D1D">
        <w:rPr>
          <w:rFonts w:ascii="Times New Roman" w:hAnsi="Times New Roman" w:cs="Times New Roman"/>
          <w:sz w:val="24"/>
          <w:szCs w:val="24"/>
        </w:rPr>
        <w:t xml:space="preserve">: Market Financial Settlement Center </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SMP</w:t>
      </w:r>
      <w:r w:rsidRPr="00422D1D">
        <w:rPr>
          <w:rFonts w:ascii="Times New Roman" w:hAnsi="Times New Roman" w:cs="Times New Roman"/>
          <w:b/>
          <w:sz w:val="24"/>
          <w:szCs w:val="24"/>
        </w:rPr>
        <w:tab/>
      </w:r>
      <w:r w:rsidRPr="00422D1D">
        <w:rPr>
          <w:rFonts w:ascii="Times New Roman" w:hAnsi="Times New Roman" w:cs="Times New Roman"/>
          <w:sz w:val="24"/>
          <w:szCs w:val="24"/>
        </w:rPr>
        <w:tab/>
        <w:t>: System Marginal Price (Real Time Price)</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BO</w:t>
      </w:r>
      <w:r w:rsidRPr="00422D1D">
        <w:rPr>
          <w:rFonts w:ascii="Times New Roman" w:hAnsi="Times New Roman" w:cs="Times New Roman"/>
          <w:sz w:val="24"/>
          <w:szCs w:val="24"/>
        </w:rPr>
        <w:tab/>
      </w:r>
      <w:r w:rsidRPr="00422D1D">
        <w:rPr>
          <w:rFonts w:ascii="Times New Roman" w:hAnsi="Times New Roman" w:cs="Times New Roman"/>
          <w:sz w:val="24"/>
          <w:szCs w:val="24"/>
        </w:rPr>
        <w:tab/>
        <w:t>: Build Operate</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BOT</w:t>
      </w:r>
      <w:r w:rsidRPr="00422D1D">
        <w:rPr>
          <w:rFonts w:ascii="Times New Roman" w:hAnsi="Times New Roman" w:cs="Times New Roman"/>
          <w:sz w:val="24"/>
          <w:szCs w:val="24"/>
        </w:rPr>
        <w:tab/>
      </w:r>
      <w:r w:rsidRPr="00422D1D">
        <w:rPr>
          <w:rFonts w:ascii="Times New Roman" w:hAnsi="Times New Roman" w:cs="Times New Roman"/>
          <w:sz w:val="24"/>
          <w:szCs w:val="24"/>
        </w:rPr>
        <w:tab/>
        <w:t>: Build Operate Transfer</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TOR</w:t>
      </w:r>
      <w:r w:rsidRPr="00422D1D">
        <w:rPr>
          <w:rFonts w:ascii="Times New Roman" w:hAnsi="Times New Roman" w:cs="Times New Roman"/>
          <w:sz w:val="24"/>
          <w:szCs w:val="24"/>
        </w:rPr>
        <w:tab/>
      </w:r>
      <w:r w:rsidRPr="00422D1D">
        <w:rPr>
          <w:rFonts w:ascii="Times New Roman" w:hAnsi="Times New Roman" w:cs="Times New Roman"/>
          <w:sz w:val="24"/>
          <w:szCs w:val="24"/>
        </w:rPr>
        <w:tab/>
        <w:t>: Transfer of Operating Rights</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TEİAŞ</w:t>
      </w:r>
      <w:r w:rsidRPr="00422D1D">
        <w:rPr>
          <w:rFonts w:ascii="Times New Roman" w:hAnsi="Times New Roman" w:cs="Times New Roman"/>
          <w:b/>
          <w:sz w:val="24"/>
          <w:szCs w:val="24"/>
        </w:rPr>
        <w:tab/>
      </w:r>
      <w:r w:rsidRPr="00422D1D">
        <w:rPr>
          <w:rFonts w:ascii="Times New Roman" w:hAnsi="Times New Roman" w:cs="Times New Roman"/>
          <w:sz w:val="24"/>
          <w:szCs w:val="24"/>
        </w:rPr>
        <w:t>: Turkish Electricity Transmission Company</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b/>
          <w:sz w:val="24"/>
          <w:szCs w:val="24"/>
        </w:rPr>
        <w:t>TETAŞ</w:t>
      </w:r>
      <w:r w:rsidRPr="00422D1D">
        <w:rPr>
          <w:rFonts w:ascii="Times New Roman" w:hAnsi="Times New Roman" w:cs="Times New Roman"/>
          <w:sz w:val="24"/>
          <w:szCs w:val="24"/>
        </w:rPr>
        <w:tab/>
        <w:t xml:space="preserve">: </w:t>
      </w:r>
      <w:hyperlink r:id="rId13" w:history="1">
        <w:r w:rsidRPr="00422D1D">
          <w:rPr>
            <w:rFonts w:ascii="Times New Roman" w:hAnsi="Times New Roman" w:cs="Times New Roman"/>
            <w:sz w:val="24"/>
            <w:szCs w:val="24"/>
          </w:rPr>
          <w:t>Turkish Electricity Trading and Contracting Company</w:t>
        </w:r>
      </w:hyperlink>
    </w:p>
    <w:p w:rsidR="0099399A" w:rsidRPr="00422D1D" w:rsidRDefault="00944835" w:rsidP="00130808">
      <w:pPr>
        <w:spacing w:line="360" w:lineRule="auto"/>
        <w:rPr>
          <w:rFonts w:ascii="Times New Roman" w:hAnsi="Times New Roman" w:cs="Times New Roman"/>
          <w:sz w:val="24"/>
          <w:szCs w:val="24"/>
        </w:rPr>
        <w:sectPr w:rsidR="0099399A" w:rsidRPr="00422D1D" w:rsidSect="0067774B">
          <w:headerReference w:type="default" r:id="rId14"/>
          <w:footerReference w:type="default" r:id="rId15"/>
          <w:headerReference w:type="first" r:id="rId16"/>
          <w:type w:val="continuous"/>
          <w:pgSz w:w="11906" w:h="16838"/>
          <w:pgMar w:top="961" w:right="1417" w:bottom="1417" w:left="1417" w:header="709" w:footer="592" w:gutter="0"/>
          <w:pgNumType w:fmt="lowerRoman"/>
          <w:cols w:space="708"/>
          <w:titlePg/>
          <w:docGrid w:linePitch="360"/>
        </w:sectPr>
      </w:pPr>
      <w:r>
        <w:rPr>
          <w:rFonts w:ascii="Times New Roman" w:hAnsi="Times New Roman" w:cs="Times New Roman"/>
          <w:b/>
          <w:sz w:val="24"/>
          <w:szCs w:val="24"/>
        </w:rPr>
        <w:t>RESSUM</w:t>
      </w:r>
      <w:r w:rsidR="00F678BD" w:rsidRPr="00F678BD">
        <w:rPr>
          <w:rFonts w:ascii="Times New Roman" w:hAnsi="Times New Roman" w:cs="Times New Roman"/>
          <w:b/>
          <w:sz w:val="24"/>
          <w:szCs w:val="24"/>
        </w:rPr>
        <w:tab/>
        <w:t xml:space="preserve">: </w:t>
      </w:r>
      <w:r w:rsidR="00F678BD" w:rsidRPr="00F678BD">
        <w:rPr>
          <w:rFonts w:ascii="Times New Roman" w:hAnsi="Times New Roman" w:cs="Times New Roman"/>
          <w:sz w:val="24"/>
          <w:szCs w:val="24"/>
        </w:rPr>
        <w:t>Renew</w:t>
      </w:r>
      <w:r w:rsidR="00130808">
        <w:rPr>
          <w:rFonts w:ascii="Times New Roman" w:hAnsi="Times New Roman" w:cs="Times New Roman"/>
          <w:sz w:val="24"/>
          <w:szCs w:val="24"/>
        </w:rPr>
        <w:t xml:space="preserve">able </w:t>
      </w:r>
      <w:r w:rsidR="00F678BD" w:rsidRPr="00F678BD">
        <w:rPr>
          <w:rFonts w:ascii="Times New Roman" w:hAnsi="Times New Roman" w:cs="Times New Roman"/>
          <w:sz w:val="24"/>
          <w:szCs w:val="24"/>
        </w:rPr>
        <w:t>Energy Sources Support Mechanism</w:t>
      </w:r>
      <w:bookmarkStart w:id="30" w:name="_GoBack"/>
      <w:bookmarkEnd w:id="30"/>
    </w:p>
    <w:p w:rsidR="0099399A" w:rsidRPr="00B572B4" w:rsidRDefault="0099399A" w:rsidP="00B572B4">
      <w:pPr>
        <w:pStyle w:val="BALIKLAR"/>
      </w:pPr>
      <w:bookmarkStart w:id="31" w:name="_Toc494982781"/>
      <w:bookmarkStart w:id="32" w:name="_Toc520821999"/>
      <w:bookmarkStart w:id="33" w:name="_Ref404345433"/>
      <w:bookmarkStart w:id="34" w:name="_Toc432165775"/>
      <w:bookmarkStart w:id="35" w:name="_Toc450300294"/>
      <w:bookmarkStart w:id="36" w:name="_Toc450309950"/>
      <w:bookmarkStart w:id="37" w:name="_Toc12528932"/>
      <w:r w:rsidRPr="00B572B4">
        <w:lastRenderedPageBreak/>
        <w:t>1. LICENSED GENERATION AND INSTALLED CAPACITY, UNLICENSED GENERATION, CONSUMPTION, IMPORT AND EXPORT</w:t>
      </w:r>
      <w:bookmarkEnd w:id="31"/>
      <w:bookmarkEnd w:id="32"/>
      <w:bookmarkEnd w:id="37"/>
    </w:p>
    <w:p w:rsidR="0099399A" w:rsidRPr="00422D1D" w:rsidRDefault="00B572B4" w:rsidP="00B572B4">
      <w:pPr>
        <w:tabs>
          <w:tab w:val="left" w:pos="2612"/>
        </w:tabs>
        <w:jc w:val="both"/>
        <w:rPr>
          <w:rFonts w:ascii="Times New Roman" w:hAnsi="Times New Roman" w:cs="Times New Roman"/>
        </w:rPr>
      </w:pPr>
      <w:r>
        <w:rPr>
          <w:rFonts w:ascii="Times New Roman" w:hAnsi="Times New Roman" w:cs="Times New Roman"/>
        </w:rPr>
        <w:tab/>
      </w:r>
    </w:p>
    <w:p w:rsidR="0099399A" w:rsidRPr="0099399A"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 xml:space="preserve">This section shall examine, licensed electricity generation and installed capacity, unlicensed electricity generation, consumption, export and import data for the year 2018. In addition, interpretations and comparisons shall be expressed according to the previous years. </w:t>
      </w:r>
      <w:bookmarkStart w:id="38" w:name="_Toc326855603"/>
      <w:bookmarkStart w:id="39" w:name="_Toc326855648"/>
      <w:bookmarkStart w:id="40" w:name="_Toc326855695"/>
      <w:bookmarkStart w:id="41" w:name="_Toc326855741"/>
      <w:bookmarkStart w:id="42" w:name="_Toc326855785"/>
      <w:bookmarkStart w:id="43" w:name="_Toc326855862"/>
      <w:bookmarkStart w:id="44" w:name="_Toc326855906"/>
      <w:bookmarkStart w:id="45" w:name="_Toc326856037"/>
      <w:bookmarkStart w:id="46" w:name="_Toc326856095"/>
      <w:bookmarkStart w:id="47" w:name="_Toc326856169"/>
      <w:bookmarkStart w:id="48" w:name="_Toc326856226"/>
      <w:bookmarkStart w:id="49" w:name="_Toc326856359"/>
      <w:bookmarkStart w:id="50" w:name="_Toc327285607"/>
      <w:bookmarkStart w:id="51" w:name="_Toc327285644"/>
      <w:bookmarkStart w:id="52" w:name="_Toc327285682"/>
      <w:bookmarkStart w:id="53" w:name="_Toc332123271"/>
      <w:bookmarkStart w:id="54" w:name="_Toc333488646"/>
      <w:bookmarkStart w:id="55" w:name="_Toc333488775"/>
      <w:bookmarkStart w:id="56" w:name="_Toc333488848"/>
      <w:bookmarkStart w:id="57" w:name="_Toc333488894"/>
      <w:bookmarkStart w:id="58" w:name="_Toc333488963"/>
      <w:bookmarkStart w:id="59" w:name="_Toc333501271"/>
      <w:bookmarkStart w:id="60" w:name="_Toc335986556"/>
      <w:bookmarkStart w:id="61" w:name="_Toc336004552"/>
      <w:bookmarkStart w:id="62" w:name="_Toc400527909"/>
      <w:bookmarkStart w:id="63" w:name="_Toc400527968"/>
      <w:bookmarkStart w:id="64" w:name="_Toc401766141"/>
      <w:bookmarkStart w:id="65" w:name="_Toc401766196"/>
      <w:bookmarkStart w:id="66" w:name="_Toc402451205"/>
      <w:bookmarkStart w:id="67" w:name="_Toc402512335"/>
      <w:bookmarkStart w:id="68" w:name="_Toc402512375"/>
      <w:bookmarkStart w:id="69" w:name="_Toc402770661"/>
      <w:bookmarkStart w:id="70" w:name="_Toc402780563"/>
      <w:bookmarkStart w:id="71" w:name="_Toc402796262"/>
      <w:bookmarkStart w:id="72" w:name="_Toc402798356"/>
      <w:bookmarkStart w:id="73" w:name="_Toc402798409"/>
      <w:bookmarkStart w:id="74" w:name="_Toc404347592"/>
      <w:bookmarkStart w:id="75" w:name="_Toc404588131"/>
      <w:bookmarkStart w:id="76" w:name="_Toc404863956"/>
      <w:bookmarkStart w:id="77" w:name="_Toc404864360"/>
      <w:bookmarkStart w:id="78" w:name="_Toc404864515"/>
      <w:bookmarkStart w:id="79" w:name="_Toc404864625"/>
      <w:bookmarkStart w:id="80" w:name="_Toc404865474"/>
      <w:bookmarkStart w:id="81" w:name="_Toc405476945"/>
      <w:bookmarkStart w:id="82" w:name="_Toc405817120"/>
      <w:bookmarkStart w:id="83" w:name="_Toc423946978"/>
      <w:bookmarkStart w:id="84" w:name="_Toc428360319"/>
      <w:bookmarkStart w:id="85" w:name="_Toc428422422"/>
      <w:bookmarkStart w:id="86" w:name="_Toc428456302"/>
      <w:bookmarkStart w:id="87" w:name="_Toc428709031"/>
      <w:bookmarkStart w:id="88" w:name="_Toc428709072"/>
      <w:bookmarkStart w:id="89" w:name="_Toc428709703"/>
      <w:bookmarkStart w:id="90" w:name="_Toc428716815"/>
      <w:bookmarkStart w:id="91" w:name="_Toc428716849"/>
      <w:bookmarkStart w:id="92" w:name="_Toc428786931"/>
      <w:bookmarkStart w:id="93" w:name="_Toc429402375"/>
      <w:bookmarkStart w:id="94" w:name="_Toc429469218"/>
      <w:bookmarkStart w:id="95" w:name="_Toc429475737"/>
      <w:bookmarkStart w:id="96" w:name="_Toc432164540"/>
      <w:bookmarkStart w:id="97" w:name="_Toc450223260"/>
      <w:bookmarkStart w:id="98" w:name="_Toc450300221"/>
      <w:bookmarkStart w:id="99" w:name="_Toc450300260"/>
      <w:bookmarkStart w:id="100" w:name="_Toc450309717"/>
      <w:bookmarkStart w:id="101" w:name="_Toc450309792"/>
      <w:bookmarkStart w:id="102" w:name="_Toc450309905"/>
      <w:bookmarkStart w:id="103" w:name="_Toc450314123"/>
      <w:bookmarkStart w:id="104" w:name="_Toc450319850"/>
      <w:bookmarkStart w:id="105" w:name="_Toc450555894"/>
      <w:bookmarkStart w:id="106" w:name="_Toc452044453"/>
      <w:bookmarkStart w:id="107" w:name="_Toc452044867"/>
      <w:bookmarkStart w:id="108" w:name="_Toc452106897"/>
      <w:bookmarkStart w:id="109" w:name="_Toc452111697"/>
      <w:bookmarkStart w:id="110" w:name="_Toc480375578"/>
      <w:bookmarkStart w:id="111" w:name="_Toc480451658"/>
      <w:bookmarkStart w:id="112" w:name="_Toc480534978"/>
      <w:bookmarkStart w:id="113" w:name="_Toc480899341"/>
      <w:bookmarkStart w:id="114" w:name="_Toc480991753"/>
      <w:bookmarkStart w:id="115" w:name="_Toc481497624"/>
      <w:bookmarkStart w:id="116" w:name="_Toc482801110"/>
      <w:bookmarkStart w:id="117" w:name="_Toc483791427"/>
      <w:bookmarkStart w:id="118" w:name="_Toc483791680"/>
      <w:bookmarkStart w:id="119" w:name="_Toc483831840"/>
      <w:bookmarkStart w:id="120" w:name="_Toc493845816"/>
      <w:bookmarkStart w:id="121" w:name="_Toc493846126"/>
      <w:bookmarkStart w:id="122" w:name="_Toc493859509"/>
      <w:bookmarkStart w:id="123" w:name="_Toc493859625"/>
      <w:bookmarkStart w:id="124" w:name="_Toc493859664"/>
      <w:bookmarkStart w:id="125" w:name="_Toc493859989"/>
      <w:bookmarkStart w:id="126" w:name="_Toc494106934"/>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rsidR="0099399A" w:rsidRPr="002876A2" w:rsidRDefault="002876A2" w:rsidP="002876A2">
      <w:pPr>
        <w:pStyle w:val="BALIKLAR"/>
      </w:pPr>
      <w:bookmarkStart w:id="127" w:name="_Toc494982782"/>
      <w:bookmarkStart w:id="128" w:name="_Toc520822000"/>
      <w:bookmarkStart w:id="129" w:name="_Toc12528933"/>
      <w:r>
        <w:t xml:space="preserve">1.1 </w:t>
      </w:r>
      <w:r w:rsidR="0099399A" w:rsidRPr="00B572B4">
        <w:rPr>
          <w:rStyle w:val="11ilebalayanlarChar"/>
          <w:b/>
        </w:rPr>
        <w:t>Overview</w:t>
      </w:r>
      <w:bookmarkEnd w:id="127"/>
      <w:bookmarkEnd w:id="128"/>
      <w:bookmarkEnd w:id="129"/>
    </w:p>
    <w:p w:rsidR="00F678BD" w:rsidRPr="00422D1D" w:rsidRDefault="00F678BD" w:rsidP="00F678BD">
      <w:pPr>
        <w:pStyle w:val="BALIKLAR"/>
        <w:ind w:left="360"/>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 xml:space="preserve">Table 1.1 shows licensed and unlicensed installed capacity, peak demand, licensed and unlicensed electricity generation, consumption, import and export data by the end of 2018, combined with previous years’ data. </w:t>
      </w:r>
    </w:p>
    <w:p w:rsidR="0099399A" w:rsidRPr="00422D1D" w:rsidRDefault="0099399A" w:rsidP="0099399A">
      <w:pPr>
        <w:pStyle w:val="Balk1"/>
      </w:pPr>
      <w:bookmarkStart w:id="130" w:name="_Toc494982821"/>
      <w:bookmarkStart w:id="131" w:name="_Toc520822037"/>
      <w:bookmarkStart w:id="132" w:name="_Toc10123811"/>
      <w:bookmarkStart w:id="133" w:name="_Toc10191417"/>
      <w:bookmarkStart w:id="134" w:name="_Toc12459096"/>
      <w:bookmarkStart w:id="135" w:name="_Toc12526186"/>
      <w:bookmarkEnd w:id="33"/>
      <w:bookmarkEnd w:id="34"/>
      <w:bookmarkEnd w:id="35"/>
      <w:bookmarkEnd w:id="36"/>
      <w:r>
        <w:t xml:space="preserve">Table </w:t>
      </w:r>
      <w:r w:rsidRPr="00422D1D">
        <w:fldChar w:fldCharType="begin"/>
      </w:r>
      <w:r w:rsidRPr="00422D1D">
        <w:instrText xml:space="preserve"> SEQ Tablo \* ARABIC \s 1 </w:instrText>
      </w:r>
      <w:r w:rsidRPr="00422D1D">
        <w:fldChar w:fldCharType="separate"/>
      </w:r>
      <w:r w:rsidRPr="00422D1D">
        <w:rPr>
          <w:noProof/>
        </w:rPr>
        <w:t>1</w:t>
      </w:r>
      <w:r w:rsidRPr="00422D1D">
        <w:fldChar w:fldCharType="end"/>
      </w:r>
      <w:r w:rsidRPr="00422D1D">
        <w:t xml:space="preserve">.1: </w:t>
      </w:r>
      <w:r w:rsidRPr="00422D1D">
        <w:rPr>
          <w:rFonts w:eastAsia="Times New Roman"/>
        </w:rPr>
        <w:t xml:space="preserve">Licensed and Unlicensed </w:t>
      </w:r>
      <w:r w:rsidRPr="00422D1D">
        <w:t>Installed</w:t>
      </w:r>
      <w:r w:rsidRPr="00422D1D">
        <w:rPr>
          <w:rFonts w:eastAsia="Times New Roman"/>
        </w:rPr>
        <w:t xml:space="preserve"> Capacity, Peak Demand, Licensed and Unlicensed Electricity Generation, Consumption, Import and Export Data</w:t>
      </w:r>
      <w:bookmarkEnd w:id="130"/>
      <w:bookmarkEnd w:id="131"/>
      <w:bookmarkEnd w:id="132"/>
      <w:bookmarkEnd w:id="133"/>
      <w:bookmarkEnd w:id="134"/>
      <w:bookmarkEnd w:id="135"/>
    </w:p>
    <w:tbl>
      <w:tblPr>
        <w:tblW w:w="9796" w:type="dxa"/>
        <w:jc w:val="center"/>
        <w:tblCellMar>
          <w:left w:w="70" w:type="dxa"/>
          <w:right w:w="70" w:type="dxa"/>
        </w:tblCellMar>
        <w:tblLook w:val="04A0" w:firstRow="1" w:lastRow="0" w:firstColumn="1" w:lastColumn="0" w:noHBand="0" w:noVBand="1"/>
      </w:tblPr>
      <w:tblGrid>
        <w:gridCol w:w="1858"/>
        <w:gridCol w:w="851"/>
        <w:gridCol w:w="1134"/>
        <w:gridCol w:w="1134"/>
        <w:gridCol w:w="1134"/>
        <w:gridCol w:w="1275"/>
        <w:gridCol w:w="1134"/>
        <w:gridCol w:w="1276"/>
      </w:tblGrid>
      <w:tr w:rsidR="0099399A" w:rsidRPr="00422D1D" w:rsidTr="0099399A">
        <w:trPr>
          <w:trHeight w:val="900"/>
          <w:jc w:val="center"/>
        </w:trPr>
        <w:tc>
          <w:tcPr>
            <w:tcW w:w="1858" w:type="dxa"/>
            <w:tcBorders>
              <w:top w:val="single" w:sz="8" w:space="0" w:color="auto"/>
              <w:left w:val="single" w:sz="8" w:space="0" w:color="auto"/>
              <w:bottom w:val="nil"/>
              <w:right w:val="single" w:sz="8" w:space="0" w:color="auto"/>
            </w:tcBorders>
            <w:shd w:val="clear" w:color="000000" w:fill="FF000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 </w:t>
            </w:r>
          </w:p>
        </w:tc>
        <w:tc>
          <w:tcPr>
            <w:tcW w:w="851" w:type="dxa"/>
            <w:tcBorders>
              <w:top w:val="single" w:sz="8" w:space="0" w:color="auto"/>
              <w:left w:val="nil"/>
              <w:bottom w:val="nil"/>
              <w:right w:val="single" w:sz="8" w:space="0" w:color="auto"/>
            </w:tcBorders>
            <w:shd w:val="clear" w:color="000000" w:fill="FF0000"/>
            <w:noWrap/>
            <w:vAlign w:val="center"/>
            <w:hideMark/>
          </w:tcPr>
          <w:p w:rsidR="0099399A" w:rsidRPr="00422D1D" w:rsidRDefault="0099399A" w:rsidP="0067774B">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Unit</w:t>
            </w:r>
          </w:p>
        </w:tc>
        <w:tc>
          <w:tcPr>
            <w:tcW w:w="1134" w:type="dxa"/>
            <w:tcBorders>
              <w:top w:val="single" w:sz="8" w:space="0" w:color="auto"/>
              <w:left w:val="nil"/>
              <w:bottom w:val="nil"/>
              <w:right w:val="single" w:sz="8" w:space="0" w:color="auto"/>
            </w:tcBorders>
            <w:shd w:val="clear" w:color="000000" w:fill="FF0000"/>
            <w:vAlign w:val="center"/>
            <w:hideMark/>
          </w:tcPr>
          <w:p w:rsidR="0099399A" w:rsidRPr="00422D1D" w:rsidRDefault="0099399A" w:rsidP="0067774B">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2015</w:t>
            </w:r>
          </w:p>
        </w:tc>
        <w:tc>
          <w:tcPr>
            <w:tcW w:w="1134" w:type="dxa"/>
            <w:tcBorders>
              <w:top w:val="single" w:sz="8" w:space="0" w:color="auto"/>
              <w:left w:val="nil"/>
              <w:bottom w:val="nil"/>
              <w:right w:val="single" w:sz="8" w:space="0" w:color="auto"/>
            </w:tcBorders>
            <w:shd w:val="clear" w:color="000000" w:fill="FF0000"/>
            <w:vAlign w:val="center"/>
            <w:hideMark/>
          </w:tcPr>
          <w:p w:rsidR="0099399A" w:rsidRPr="00422D1D" w:rsidRDefault="0099399A" w:rsidP="0067774B">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2016</w:t>
            </w:r>
          </w:p>
        </w:tc>
        <w:tc>
          <w:tcPr>
            <w:tcW w:w="1134" w:type="dxa"/>
            <w:tcBorders>
              <w:top w:val="single" w:sz="8" w:space="0" w:color="auto"/>
              <w:left w:val="nil"/>
              <w:bottom w:val="nil"/>
              <w:right w:val="single" w:sz="8" w:space="0" w:color="auto"/>
            </w:tcBorders>
            <w:shd w:val="clear" w:color="000000" w:fill="FF0000"/>
            <w:vAlign w:val="center"/>
            <w:hideMark/>
          </w:tcPr>
          <w:p w:rsidR="0099399A" w:rsidRPr="00422D1D" w:rsidRDefault="0099399A" w:rsidP="0067774B">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2017</w:t>
            </w:r>
          </w:p>
        </w:tc>
        <w:tc>
          <w:tcPr>
            <w:tcW w:w="1275" w:type="dxa"/>
            <w:tcBorders>
              <w:top w:val="single" w:sz="8" w:space="0" w:color="auto"/>
              <w:left w:val="nil"/>
              <w:bottom w:val="nil"/>
              <w:right w:val="single" w:sz="8" w:space="0" w:color="auto"/>
            </w:tcBorders>
            <w:shd w:val="clear" w:color="000000" w:fill="FF0000"/>
            <w:vAlign w:val="center"/>
            <w:hideMark/>
          </w:tcPr>
          <w:p w:rsidR="0099399A" w:rsidRPr="00422D1D" w:rsidRDefault="0099399A" w:rsidP="0067774B">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Change (%) 2016→2017</w:t>
            </w:r>
          </w:p>
        </w:tc>
        <w:tc>
          <w:tcPr>
            <w:tcW w:w="1134" w:type="dxa"/>
            <w:tcBorders>
              <w:top w:val="single" w:sz="8" w:space="0" w:color="auto"/>
              <w:left w:val="nil"/>
              <w:bottom w:val="nil"/>
              <w:right w:val="single" w:sz="8" w:space="0" w:color="auto"/>
            </w:tcBorders>
            <w:shd w:val="clear" w:color="000000" w:fill="FF0000"/>
            <w:vAlign w:val="center"/>
            <w:hideMark/>
          </w:tcPr>
          <w:p w:rsidR="0099399A" w:rsidRPr="00422D1D" w:rsidRDefault="0099399A" w:rsidP="0067774B">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2018</w:t>
            </w:r>
          </w:p>
        </w:tc>
        <w:tc>
          <w:tcPr>
            <w:tcW w:w="1276" w:type="dxa"/>
            <w:tcBorders>
              <w:top w:val="single" w:sz="8" w:space="0" w:color="auto"/>
              <w:left w:val="nil"/>
              <w:bottom w:val="nil"/>
              <w:right w:val="single" w:sz="8" w:space="0" w:color="auto"/>
            </w:tcBorders>
            <w:shd w:val="clear" w:color="000000" w:fill="FF0000"/>
            <w:vAlign w:val="center"/>
            <w:hideMark/>
          </w:tcPr>
          <w:p w:rsidR="0099399A" w:rsidRPr="00422D1D" w:rsidRDefault="0099399A" w:rsidP="0067774B">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Change (%) 2017→2018</w:t>
            </w:r>
          </w:p>
        </w:tc>
      </w:tr>
      <w:tr w:rsidR="0099399A" w:rsidRPr="00422D1D" w:rsidTr="0099399A">
        <w:trPr>
          <w:trHeight w:val="315"/>
          <w:jc w:val="center"/>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Licensed Installed Capacity</w:t>
            </w:r>
          </w:p>
        </w:tc>
        <w:tc>
          <w:tcPr>
            <w:tcW w:w="85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MW</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73.146,90</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77.563,44</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81.506,42</w:t>
            </w:r>
          </w:p>
        </w:tc>
        <w:tc>
          <w:tcPr>
            <w:tcW w:w="1275"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5,08</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83.187,05</w:t>
            </w:r>
          </w:p>
        </w:tc>
        <w:tc>
          <w:tcPr>
            <w:tcW w:w="1276"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2,06</w:t>
            </w:r>
          </w:p>
        </w:tc>
      </w:tr>
      <w:tr w:rsidR="0099399A" w:rsidRPr="00422D1D" w:rsidTr="0099399A">
        <w:trPr>
          <w:trHeight w:val="315"/>
          <w:jc w:val="center"/>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 xml:space="preserve">Unlicensed Installed Capacity </w:t>
            </w:r>
          </w:p>
        </w:tc>
        <w:tc>
          <w:tcPr>
            <w:tcW w:w="85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MW</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359,04</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1.048,21</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3.173,32</w:t>
            </w:r>
          </w:p>
        </w:tc>
        <w:tc>
          <w:tcPr>
            <w:tcW w:w="1275"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202,74</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5.310,57</w:t>
            </w:r>
          </w:p>
        </w:tc>
        <w:tc>
          <w:tcPr>
            <w:tcW w:w="1276"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67,35</w:t>
            </w:r>
          </w:p>
        </w:tc>
      </w:tr>
      <w:tr w:rsidR="0099399A" w:rsidRPr="00422D1D" w:rsidTr="0099399A">
        <w:trPr>
          <w:trHeight w:val="315"/>
          <w:jc w:val="center"/>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Peak Demand</w:t>
            </w:r>
          </w:p>
        </w:tc>
        <w:tc>
          <w:tcPr>
            <w:tcW w:w="85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MW</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43.289,00</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44.733,98</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47.659,65</w:t>
            </w:r>
          </w:p>
        </w:tc>
        <w:tc>
          <w:tcPr>
            <w:tcW w:w="1275"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6,54</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46.159,55</w:t>
            </w:r>
          </w:p>
        </w:tc>
        <w:tc>
          <w:tcPr>
            <w:tcW w:w="1276"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-3,15</w:t>
            </w:r>
          </w:p>
        </w:tc>
      </w:tr>
      <w:tr w:rsidR="0099399A" w:rsidRPr="00422D1D" w:rsidTr="0099399A">
        <w:trPr>
          <w:trHeight w:val="315"/>
          <w:jc w:val="center"/>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Licensed Generation</w:t>
            </w:r>
          </w:p>
        </w:tc>
        <w:tc>
          <w:tcPr>
            <w:tcW w:w="85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GWh</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261.783,30</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272.563,63</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292.595,42</w:t>
            </w:r>
          </w:p>
        </w:tc>
        <w:tc>
          <w:tcPr>
            <w:tcW w:w="1275"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7,35</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295.442,15</w:t>
            </w:r>
          </w:p>
        </w:tc>
        <w:tc>
          <w:tcPr>
            <w:tcW w:w="1276"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0,97</w:t>
            </w:r>
          </w:p>
        </w:tc>
      </w:tr>
      <w:tr w:rsidR="0099399A" w:rsidRPr="00422D1D" w:rsidTr="0099399A">
        <w:trPr>
          <w:trHeight w:val="315"/>
          <w:jc w:val="center"/>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Unlicensed Generation</w:t>
            </w:r>
          </w:p>
        </w:tc>
        <w:tc>
          <w:tcPr>
            <w:tcW w:w="85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GWh</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222,72</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1.137,87</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3.031,33</w:t>
            </w:r>
          </w:p>
        </w:tc>
        <w:tc>
          <w:tcPr>
            <w:tcW w:w="1275"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166,40</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8.212,41</w:t>
            </w:r>
          </w:p>
        </w:tc>
        <w:tc>
          <w:tcPr>
            <w:tcW w:w="1276"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170,92</w:t>
            </w:r>
          </w:p>
        </w:tc>
      </w:tr>
      <w:tr w:rsidR="0099399A" w:rsidRPr="00422D1D" w:rsidTr="0099399A">
        <w:trPr>
          <w:trHeight w:val="315"/>
          <w:jc w:val="center"/>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Consumption</w:t>
            </w:r>
          </w:p>
        </w:tc>
        <w:tc>
          <w:tcPr>
            <w:tcW w:w="85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GWh</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265.724,40</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277.522,01</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292.003,54</w:t>
            </w:r>
          </w:p>
        </w:tc>
        <w:tc>
          <w:tcPr>
            <w:tcW w:w="1275"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5,22</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302.772,30</w:t>
            </w:r>
          </w:p>
        </w:tc>
        <w:tc>
          <w:tcPr>
            <w:tcW w:w="1276"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3,69</w:t>
            </w:r>
          </w:p>
        </w:tc>
      </w:tr>
      <w:tr w:rsidR="0099399A" w:rsidRPr="00422D1D" w:rsidTr="0099399A">
        <w:trPr>
          <w:trHeight w:val="315"/>
          <w:jc w:val="center"/>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Import</w:t>
            </w:r>
          </w:p>
        </w:tc>
        <w:tc>
          <w:tcPr>
            <w:tcW w:w="85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GWh</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7.411,10</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6.400,13</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2.729,06</w:t>
            </w:r>
          </w:p>
        </w:tc>
        <w:tc>
          <w:tcPr>
            <w:tcW w:w="1275"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-57,36</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2.466,01</w:t>
            </w:r>
          </w:p>
        </w:tc>
        <w:tc>
          <w:tcPr>
            <w:tcW w:w="1276"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-9,64</w:t>
            </w:r>
          </w:p>
        </w:tc>
      </w:tr>
      <w:tr w:rsidR="0099399A" w:rsidRPr="00422D1D" w:rsidTr="0099399A">
        <w:trPr>
          <w:trHeight w:val="315"/>
          <w:jc w:val="center"/>
        </w:trPr>
        <w:tc>
          <w:tcPr>
            <w:tcW w:w="1858"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Export</w:t>
            </w:r>
          </w:p>
        </w:tc>
        <w:tc>
          <w:tcPr>
            <w:tcW w:w="85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GWh</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2.964,60</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1.442,08</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3.300,10</w:t>
            </w:r>
          </w:p>
        </w:tc>
        <w:tc>
          <w:tcPr>
            <w:tcW w:w="1275"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128,84</w:t>
            </w:r>
          </w:p>
        </w:tc>
        <w:tc>
          <w:tcPr>
            <w:tcW w:w="1134"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3.073,60</w:t>
            </w:r>
          </w:p>
        </w:tc>
        <w:tc>
          <w:tcPr>
            <w:tcW w:w="1276" w:type="dxa"/>
            <w:tcBorders>
              <w:top w:val="nil"/>
              <w:left w:val="nil"/>
              <w:bottom w:val="single" w:sz="8" w:space="0" w:color="auto"/>
              <w:right w:val="single" w:sz="8" w:space="0" w:color="auto"/>
            </w:tcBorders>
            <w:shd w:val="clear" w:color="auto" w:fill="auto"/>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-6,86</w:t>
            </w:r>
          </w:p>
        </w:tc>
      </w:tr>
    </w:tbl>
    <w:p w:rsidR="0099399A" w:rsidRPr="00422D1D" w:rsidRDefault="0099399A" w:rsidP="0099399A">
      <w:pPr>
        <w:spacing w:line="360" w:lineRule="auto"/>
        <w:ind w:firstLine="708"/>
        <w:jc w:val="both"/>
        <w:rPr>
          <w:rFonts w:ascii="Times New Roman" w:hAnsi="Times New Roman" w:cs="Times New Roman"/>
          <w:sz w:val="24"/>
          <w:szCs w:val="24"/>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As can be seen from the Table, consumption, licensed generation and licensed installed capacity in 2018 increased by 3,69 %, 0,97 % and 2,06% respectively and peak demand decreased by 3,15 % compared to 2017. Unlicensed installed capacity and electricity generation had been growing rapidly by %</w:t>
      </w:r>
      <w:r w:rsidR="000345C2">
        <w:rPr>
          <w:rFonts w:ascii="Times New Roman" w:hAnsi="Times New Roman" w:cs="Times New Roman"/>
          <w:sz w:val="24"/>
          <w:szCs w:val="24"/>
        </w:rPr>
        <w:t xml:space="preserve">67,35 </w:t>
      </w:r>
      <w:r w:rsidRPr="00422D1D">
        <w:rPr>
          <w:rFonts w:ascii="Times New Roman" w:hAnsi="Times New Roman" w:cs="Times New Roman"/>
          <w:sz w:val="24"/>
          <w:szCs w:val="24"/>
        </w:rPr>
        <w:t>and %</w:t>
      </w:r>
      <w:r w:rsidR="000345C2">
        <w:rPr>
          <w:rFonts w:ascii="Times New Roman" w:hAnsi="Times New Roman" w:cs="Times New Roman"/>
          <w:sz w:val="24"/>
          <w:szCs w:val="24"/>
        </w:rPr>
        <w:t>170,92</w:t>
      </w:r>
      <w:r w:rsidRPr="00422D1D">
        <w:rPr>
          <w:rFonts w:ascii="Times New Roman" w:hAnsi="Times New Roman" w:cs="Times New Roman"/>
          <w:sz w:val="24"/>
          <w:szCs w:val="24"/>
        </w:rPr>
        <w:t xml:space="preserve"> sequentially.  </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lastRenderedPageBreak/>
        <w:t xml:space="preserve">Compared to the previous year, imports decreased 9,64 % which ended up as 2,47 TWh. On the other hand, exports ended up as 3,07 TWh by decreasing 6,86 %. The ratio between exports and imports was 120,92 % in 2017 whereas in 2018 it increased to 124,64%. </w:t>
      </w:r>
    </w:p>
    <w:p w:rsidR="0099399A" w:rsidRPr="00422D1D" w:rsidRDefault="0099399A" w:rsidP="0099399A">
      <w:pPr>
        <w:pStyle w:val="11ilebalayanlar"/>
        <w:spacing w:before="0" w:after="200" w:line="360" w:lineRule="auto"/>
        <w:jc w:val="both"/>
      </w:pPr>
      <w:bookmarkStart w:id="136" w:name="_Toc520822001"/>
      <w:bookmarkStart w:id="137" w:name="_Toc12528934"/>
      <w:r w:rsidRPr="00422D1D">
        <w:t xml:space="preserve">1.2 </w:t>
      </w:r>
      <w:r w:rsidRPr="00B572B4">
        <w:t>Licensed Generation</w:t>
      </w:r>
      <w:bookmarkEnd w:id="136"/>
      <w:bookmarkEnd w:id="137"/>
      <w:r w:rsidRPr="00422D1D">
        <w:t xml:space="preserve"> </w:t>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Figure 1.1 shows the electricity demand and rate of its increase by years. As seen in the figure, demand for electric energy had increased steadily since 2009, with a decrease especially in the rate of increase from 2011 to 2013. In 2018, electrical energy demand increased by 3.69% compared to the previous year.</w:t>
      </w:r>
    </w:p>
    <w:p w:rsidR="0099399A" w:rsidRPr="00422D1D" w:rsidRDefault="0099399A" w:rsidP="0099399A">
      <w:pPr>
        <w:pStyle w:val="Balk2"/>
      </w:pPr>
      <w:bookmarkStart w:id="138" w:name="_Ref416358746"/>
      <w:bookmarkStart w:id="139" w:name="_Toc432165724"/>
      <w:bookmarkStart w:id="140" w:name="_Toc450306991"/>
      <w:bookmarkStart w:id="141" w:name="_Toc450307102"/>
      <w:bookmarkStart w:id="142" w:name="_Toc450307908"/>
      <w:bookmarkStart w:id="143" w:name="_Toc520822078"/>
      <w:bookmarkStart w:id="144" w:name="_Toc10123813"/>
      <w:bookmarkStart w:id="145" w:name="_Toc12459098"/>
      <w:bookmarkStart w:id="146" w:name="_Toc12526188"/>
      <w:bookmarkStart w:id="147" w:name="_Toc12535845"/>
      <w:r>
        <w:t>Figure</w:t>
      </w:r>
      <w:r w:rsidRPr="00422D1D">
        <w:fldChar w:fldCharType="begin"/>
      </w:r>
      <w:r w:rsidRPr="00422D1D">
        <w:instrText xml:space="preserve"> STYLEREF 1 \s </w:instrText>
      </w:r>
      <w:r w:rsidRPr="00422D1D">
        <w:fldChar w:fldCharType="separate"/>
      </w:r>
      <w:r w:rsidRPr="00422D1D">
        <w:t>1</w:t>
      </w:r>
      <w:r w:rsidRPr="00422D1D">
        <w:fldChar w:fldCharType="end"/>
      </w:r>
      <w:r w:rsidRPr="00422D1D">
        <w:t>.</w:t>
      </w:r>
      <w:r w:rsidRPr="00422D1D">
        <w:fldChar w:fldCharType="begin"/>
      </w:r>
      <w:r w:rsidRPr="00422D1D">
        <w:instrText xml:space="preserve"> SEQ Şekil \* ARABIC \s 1 </w:instrText>
      </w:r>
      <w:r w:rsidRPr="00422D1D">
        <w:fldChar w:fldCharType="separate"/>
      </w:r>
      <w:r w:rsidRPr="00422D1D">
        <w:t>1</w:t>
      </w:r>
      <w:r w:rsidRPr="00422D1D">
        <w:fldChar w:fldCharType="end"/>
      </w:r>
      <w:bookmarkEnd w:id="138"/>
      <w:r w:rsidRPr="00422D1D">
        <w:t xml:space="preserve">: </w:t>
      </w:r>
      <w:bookmarkEnd w:id="139"/>
      <w:bookmarkEnd w:id="140"/>
      <w:bookmarkEnd w:id="141"/>
      <w:bookmarkEnd w:id="142"/>
      <w:r w:rsidRPr="00422D1D">
        <w:t>Electric Energy Demand and Rate of Increase by Years (GWh-%)</w:t>
      </w:r>
      <w:bookmarkEnd w:id="143"/>
      <w:bookmarkEnd w:id="144"/>
      <w:bookmarkEnd w:id="145"/>
      <w:bookmarkEnd w:id="146"/>
      <w:bookmarkEnd w:id="147"/>
    </w:p>
    <w:p w:rsidR="0099399A" w:rsidRPr="00422D1D" w:rsidRDefault="00376EFD" w:rsidP="0099399A">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ar-SA"/>
        </w:rPr>
        <w:drawing>
          <wp:inline distT="0" distB="0" distL="0" distR="0" wp14:anchorId="4DE04BF8" wp14:editId="30CF5092">
            <wp:extent cx="5429250" cy="3676650"/>
            <wp:effectExtent l="0" t="0" r="0" b="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37667" cy="3682350"/>
                    </a:xfrm>
                    <a:prstGeom prst="rect">
                      <a:avLst/>
                    </a:prstGeom>
                    <a:noFill/>
                    <a:ln>
                      <a:noFill/>
                    </a:ln>
                  </pic:spPr>
                </pic:pic>
              </a:graphicData>
            </a:graphic>
          </wp:inline>
        </w:drawing>
      </w:r>
    </w:p>
    <w:p w:rsidR="004C7560" w:rsidRDefault="004C7560" w:rsidP="0099399A">
      <w:pPr>
        <w:spacing w:line="360" w:lineRule="auto"/>
        <w:jc w:val="both"/>
        <w:rPr>
          <w:rFonts w:ascii="Times New Roman" w:hAnsi="Times New Roman" w:cs="Times New Roman"/>
          <w:sz w:val="24"/>
          <w:szCs w:val="24"/>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The development of peak demand and its rate of increase are provided in Figure 1.2.  The change of peak demand is generally seen as it is in energy demand Figure 1.1, but it is more variable. In 2018, peak demand decreased by 3.15% compared to the previous year.</w:t>
      </w:r>
    </w:p>
    <w:p w:rsidR="0099399A" w:rsidRPr="00422D1D" w:rsidRDefault="0099399A" w:rsidP="0099399A">
      <w:pPr>
        <w:spacing w:line="360" w:lineRule="auto"/>
        <w:ind w:firstLine="708"/>
        <w:jc w:val="both"/>
        <w:rPr>
          <w:rFonts w:ascii="Times New Roman" w:hAnsi="Times New Roman" w:cs="Times New Roman"/>
          <w:sz w:val="24"/>
          <w:szCs w:val="24"/>
        </w:rPr>
      </w:pPr>
    </w:p>
    <w:p w:rsidR="0099399A" w:rsidRPr="00422D1D" w:rsidRDefault="0099399A" w:rsidP="0099399A">
      <w:pPr>
        <w:spacing w:line="360" w:lineRule="auto"/>
        <w:ind w:firstLine="708"/>
        <w:jc w:val="both"/>
        <w:rPr>
          <w:rFonts w:ascii="Times New Roman" w:hAnsi="Times New Roman" w:cs="Times New Roman"/>
          <w:sz w:val="24"/>
          <w:szCs w:val="24"/>
        </w:rPr>
      </w:pPr>
    </w:p>
    <w:p w:rsidR="0099399A" w:rsidRDefault="0099399A" w:rsidP="0099399A">
      <w:pPr>
        <w:pStyle w:val="AralkYok"/>
        <w:spacing w:after="200"/>
        <w:jc w:val="both"/>
        <w:rPr>
          <w:rFonts w:cs="Times New Roman"/>
        </w:rPr>
      </w:pPr>
      <w:bookmarkStart w:id="148" w:name="_Toc520822079"/>
    </w:p>
    <w:p w:rsidR="0099399A" w:rsidRDefault="0099399A" w:rsidP="0099399A">
      <w:pPr>
        <w:pStyle w:val="AralkYok"/>
        <w:spacing w:after="200"/>
        <w:jc w:val="both"/>
        <w:rPr>
          <w:rFonts w:cs="Times New Roman"/>
        </w:rPr>
      </w:pPr>
    </w:p>
    <w:p w:rsidR="0099399A" w:rsidRPr="0099399A" w:rsidRDefault="0099399A" w:rsidP="0099399A">
      <w:pPr>
        <w:pStyle w:val="Balk2"/>
      </w:pPr>
      <w:bookmarkStart w:id="149" w:name="_Toc10123814"/>
      <w:bookmarkStart w:id="150" w:name="_Toc12459099"/>
      <w:bookmarkStart w:id="151" w:name="_Toc12526189"/>
      <w:bookmarkStart w:id="152" w:name="_Toc12535846"/>
      <w:r w:rsidRPr="0099399A">
        <w:t>Figure</w:t>
      </w:r>
      <w:r>
        <w:t xml:space="preserve"> </w:t>
      </w:r>
      <w:r w:rsidRPr="0099399A">
        <w:fldChar w:fldCharType="begin"/>
      </w:r>
      <w:r w:rsidRPr="0099399A">
        <w:instrText xml:space="preserve"> STYLEREF 1 \s </w:instrText>
      </w:r>
      <w:r w:rsidRPr="0099399A">
        <w:fldChar w:fldCharType="end"/>
      </w:r>
      <w:r w:rsidRPr="0099399A">
        <w:t>1.</w:t>
      </w:r>
      <w:r w:rsidRPr="0099399A">
        <w:fldChar w:fldCharType="begin"/>
      </w:r>
      <w:r w:rsidRPr="0099399A">
        <w:instrText xml:space="preserve"> SEQ Şekil \* ARABIC \s 1 </w:instrText>
      </w:r>
      <w:r w:rsidRPr="0099399A">
        <w:fldChar w:fldCharType="separate"/>
      </w:r>
      <w:r w:rsidRPr="0099399A">
        <w:t>2</w:t>
      </w:r>
      <w:r w:rsidRPr="0099399A">
        <w:fldChar w:fldCharType="end"/>
      </w:r>
      <w:r w:rsidRPr="0099399A">
        <w:t>: Peak Demand and Rate of Increase by Years (MW-%)</w:t>
      </w:r>
      <w:bookmarkEnd w:id="148"/>
      <w:bookmarkEnd w:id="149"/>
      <w:bookmarkEnd w:id="150"/>
      <w:bookmarkEnd w:id="151"/>
      <w:bookmarkEnd w:id="152"/>
    </w:p>
    <w:p w:rsidR="0099399A" w:rsidRPr="00422D1D" w:rsidRDefault="00376EFD" w:rsidP="0099399A">
      <w:pPr>
        <w:spacing w:line="360" w:lineRule="auto"/>
        <w:jc w:val="center"/>
        <w:rPr>
          <w:rFonts w:ascii="Times New Roman" w:hAnsi="Times New Roman" w:cs="Times New Roman"/>
        </w:rPr>
      </w:pPr>
      <w:r>
        <w:rPr>
          <w:rFonts w:ascii="Times New Roman" w:hAnsi="Times New Roman" w:cs="Times New Roman"/>
          <w:noProof/>
          <w:lang w:bidi="ar-SA"/>
        </w:rPr>
        <w:drawing>
          <wp:inline distT="0" distB="0" distL="0" distR="0" wp14:anchorId="1C52C4F6" wp14:editId="2E5AD5A1">
            <wp:extent cx="5669280" cy="3383280"/>
            <wp:effectExtent l="0" t="0" r="7620" b="7620"/>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9280" cy="3383280"/>
                    </a:xfrm>
                    <a:prstGeom prst="rect">
                      <a:avLst/>
                    </a:prstGeom>
                    <a:noFill/>
                    <a:ln>
                      <a:noFill/>
                    </a:ln>
                  </pic:spPr>
                </pic:pic>
              </a:graphicData>
            </a:graphic>
          </wp:inline>
        </w:drawing>
      </w:r>
    </w:p>
    <w:p w:rsidR="0099399A" w:rsidRPr="00422D1D" w:rsidRDefault="0099399A" w:rsidP="0099399A">
      <w:pPr>
        <w:jc w:val="both"/>
        <w:rPr>
          <w:rFonts w:ascii="Times New Roman" w:hAnsi="Times New Roman" w:cs="Times New Roman"/>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 xml:space="preserve">In Figure 1.3, peak demand and its relations with electric energy demand are given. </w:t>
      </w:r>
      <w:r w:rsidR="000345C2">
        <w:rPr>
          <w:rFonts w:ascii="Times New Roman" w:hAnsi="Times New Roman" w:cs="Times New Roman"/>
          <w:sz w:val="24"/>
          <w:szCs w:val="24"/>
        </w:rPr>
        <w:t>T</w:t>
      </w:r>
      <w:r w:rsidRPr="00422D1D">
        <w:rPr>
          <w:rFonts w:ascii="Times New Roman" w:hAnsi="Times New Roman" w:cs="Times New Roman"/>
          <w:sz w:val="24"/>
          <w:szCs w:val="24"/>
        </w:rPr>
        <w:t xml:space="preserve">he rate of increase/decrease of electric energy demand and peak demand were happened to be close to each other. </w:t>
      </w:r>
    </w:p>
    <w:p w:rsidR="0099399A" w:rsidRPr="00422D1D" w:rsidRDefault="0099399A" w:rsidP="0099399A">
      <w:pPr>
        <w:pStyle w:val="Balk2"/>
      </w:pPr>
      <w:bookmarkStart w:id="153" w:name="_Ref416359260"/>
      <w:bookmarkStart w:id="154" w:name="_Toc432165726"/>
      <w:bookmarkStart w:id="155" w:name="_Toc450306993"/>
      <w:bookmarkStart w:id="156" w:name="_Toc450307104"/>
      <w:bookmarkStart w:id="157" w:name="_Toc450307910"/>
      <w:bookmarkStart w:id="158" w:name="_Toc494988612"/>
      <w:bookmarkStart w:id="159" w:name="_Toc520822080"/>
      <w:bookmarkStart w:id="160" w:name="_Toc10123815"/>
      <w:bookmarkStart w:id="161" w:name="_Toc12459100"/>
      <w:bookmarkStart w:id="162" w:name="_Toc12526190"/>
      <w:bookmarkStart w:id="163" w:name="_Toc12535847"/>
      <w:r w:rsidRPr="00422D1D">
        <w:t>Figure 1.</w:t>
      </w:r>
      <w:r w:rsidRPr="00422D1D">
        <w:rPr>
          <w:noProof/>
        </w:rPr>
        <w:fldChar w:fldCharType="begin"/>
      </w:r>
      <w:r w:rsidRPr="00422D1D">
        <w:rPr>
          <w:noProof/>
        </w:rPr>
        <w:instrText xml:space="preserve"> SEQ Şekil \* ARABIC \s 1 </w:instrText>
      </w:r>
      <w:r w:rsidRPr="00422D1D">
        <w:rPr>
          <w:noProof/>
        </w:rPr>
        <w:fldChar w:fldCharType="separate"/>
      </w:r>
      <w:r w:rsidRPr="00422D1D">
        <w:rPr>
          <w:noProof/>
        </w:rPr>
        <w:t>3</w:t>
      </w:r>
      <w:r w:rsidRPr="00422D1D">
        <w:rPr>
          <w:noProof/>
        </w:rPr>
        <w:fldChar w:fldCharType="end"/>
      </w:r>
      <w:bookmarkEnd w:id="153"/>
      <w:r w:rsidRPr="00422D1D">
        <w:t>: Rate of Increase of Demand and Peak Demand by Year (%)</w:t>
      </w:r>
      <w:bookmarkEnd w:id="154"/>
      <w:bookmarkEnd w:id="155"/>
      <w:bookmarkEnd w:id="156"/>
      <w:bookmarkEnd w:id="157"/>
      <w:bookmarkEnd w:id="158"/>
      <w:bookmarkEnd w:id="159"/>
      <w:bookmarkEnd w:id="160"/>
      <w:bookmarkEnd w:id="161"/>
      <w:bookmarkEnd w:id="162"/>
      <w:bookmarkEnd w:id="163"/>
    </w:p>
    <w:p w:rsidR="0099399A" w:rsidRDefault="00376EFD" w:rsidP="0099399A">
      <w:pPr>
        <w:spacing w:line="360" w:lineRule="auto"/>
        <w:jc w:val="center"/>
        <w:rPr>
          <w:rFonts w:ascii="Times New Roman" w:hAnsi="Times New Roman" w:cs="Times New Roman"/>
          <w:sz w:val="24"/>
          <w:szCs w:val="24"/>
        </w:rPr>
      </w:pPr>
      <w:bookmarkStart w:id="164" w:name="_Ref404345466"/>
      <w:bookmarkStart w:id="165" w:name="_Ref404345458"/>
      <w:bookmarkStart w:id="166" w:name="_Toc432165727"/>
      <w:bookmarkStart w:id="167" w:name="_Toc450306994"/>
      <w:bookmarkStart w:id="168" w:name="_Toc450307105"/>
      <w:bookmarkStart w:id="169" w:name="_Toc450307911"/>
      <w:r>
        <w:rPr>
          <w:rFonts w:ascii="Times New Roman" w:hAnsi="Times New Roman" w:cs="Times New Roman"/>
          <w:noProof/>
          <w:sz w:val="24"/>
          <w:szCs w:val="24"/>
          <w:lang w:bidi="ar-SA"/>
        </w:rPr>
        <w:drawing>
          <wp:inline distT="0" distB="0" distL="0" distR="0" wp14:anchorId="6DC2472B" wp14:editId="513139FA">
            <wp:extent cx="5756910" cy="2999105"/>
            <wp:effectExtent l="0" t="0" r="0" b="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6910" cy="2999105"/>
                    </a:xfrm>
                    <a:prstGeom prst="rect">
                      <a:avLst/>
                    </a:prstGeom>
                    <a:noFill/>
                    <a:ln>
                      <a:noFill/>
                    </a:ln>
                  </pic:spPr>
                </pic:pic>
              </a:graphicData>
            </a:graphic>
          </wp:inline>
        </w:drawing>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lastRenderedPageBreak/>
        <w:t>In Figure 1.4, monthly changes of licensed electricity generation and electric consumption are represented. The highest points of generation and consumption were achieved in July.</w:t>
      </w:r>
    </w:p>
    <w:p w:rsidR="004C7560" w:rsidRDefault="004C7560" w:rsidP="0099399A">
      <w:pPr>
        <w:pStyle w:val="Balk2"/>
      </w:pPr>
      <w:bookmarkStart w:id="170" w:name="_Toc494988613"/>
      <w:bookmarkStart w:id="171" w:name="_Toc520822081"/>
      <w:bookmarkStart w:id="172" w:name="_Toc10123816"/>
      <w:bookmarkStart w:id="173" w:name="_Toc12459101"/>
    </w:p>
    <w:p w:rsidR="0099399A" w:rsidRPr="00422D1D" w:rsidRDefault="0099399A" w:rsidP="0099399A">
      <w:pPr>
        <w:pStyle w:val="Balk2"/>
      </w:pPr>
      <w:bookmarkStart w:id="174" w:name="_Toc12526191"/>
      <w:bookmarkStart w:id="175" w:name="_Toc12535848"/>
      <w:r w:rsidRPr="00422D1D">
        <w:t>Figure 1.</w:t>
      </w:r>
      <w:r w:rsidRPr="00422D1D">
        <w:fldChar w:fldCharType="begin"/>
      </w:r>
      <w:r w:rsidRPr="00422D1D">
        <w:instrText xml:space="preserve"> SEQ Şekil \* ARABIC \s 1 </w:instrText>
      </w:r>
      <w:r w:rsidRPr="00422D1D">
        <w:fldChar w:fldCharType="separate"/>
      </w:r>
      <w:r w:rsidRPr="00422D1D">
        <w:rPr>
          <w:noProof/>
        </w:rPr>
        <w:t>4</w:t>
      </w:r>
      <w:r w:rsidRPr="00422D1D">
        <w:fldChar w:fldCharType="end"/>
      </w:r>
      <w:r w:rsidRPr="00422D1D">
        <w:t>: Monthly Distribution of Licensed Electricity Generation and Consumption in 2018 (GWh)</w:t>
      </w:r>
      <w:bookmarkEnd w:id="170"/>
      <w:bookmarkEnd w:id="171"/>
      <w:bookmarkEnd w:id="172"/>
      <w:bookmarkEnd w:id="173"/>
      <w:bookmarkEnd w:id="174"/>
      <w:bookmarkEnd w:id="175"/>
    </w:p>
    <w:bookmarkEnd w:id="164"/>
    <w:bookmarkEnd w:id="165"/>
    <w:bookmarkEnd w:id="166"/>
    <w:bookmarkEnd w:id="167"/>
    <w:bookmarkEnd w:id="168"/>
    <w:bookmarkEnd w:id="169"/>
    <w:p w:rsidR="0099399A" w:rsidRPr="00422D1D" w:rsidRDefault="00376EFD" w:rsidP="0099399A">
      <w:pPr>
        <w:tabs>
          <w:tab w:val="left" w:pos="1842"/>
        </w:tabs>
        <w:jc w:val="both"/>
        <w:rPr>
          <w:rFonts w:ascii="Times New Roman" w:hAnsi="Times New Roman" w:cs="Times New Roman"/>
        </w:rPr>
      </w:pPr>
      <w:r>
        <w:rPr>
          <w:rFonts w:ascii="Times New Roman" w:hAnsi="Times New Roman" w:cs="Times New Roman"/>
          <w:noProof/>
          <w:lang w:bidi="ar-SA"/>
        </w:rPr>
        <w:drawing>
          <wp:inline distT="0" distB="0" distL="0" distR="0" wp14:anchorId="688A0150" wp14:editId="11613D92">
            <wp:extent cx="5667375" cy="3495675"/>
            <wp:effectExtent l="0" t="0" r="9525" b="9525"/>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69280" cy="3496850"/>
                    </a:xfrm>
                    <a:prstGeom prst="rect">
                      <a:avLst/>
                    </a:prstGeom>
                    <a:noFill/>
                    <a:ln>
                      <a:noFill/>
                    </a:ln>
                  </pic:spPr>
                </pic:pic>
              </a:graphicData>
            </a:graphic>
          </wp:inline>
        </w:drawing>
      </w:r>
    </w:p>
    <w:p w:rsidR="0099399A" w:rsidRPr="00422D1D" w:rsidRDefault="0099399A" w:rsidP="0099399A">
      <w:pPr>
        <w:jc w:val="both"/>
        <w:rPr>
          <w:rFonts w:ascii="Times New Roman" w:hAnsi="Times New Roman" w:cs="Times New Roman"/>
        </w:rPr>
      </w:pPr>
    </w:p>
    <w:p w:rsidR="0099399A" w:rsidRPr="00422D1D" w:rsidRDefault="0099399A" w:rsidP="0099399A">
      <w:pPr>
        <w:ind w:firstLine="720"/>
        <w:jc w:val="both"/>
        <w:rPr>
          <w:rFonts w:ascii="Times New Roman" w:hAnsi="Times New Roman" w:cs="Times New Roman"/>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The distribution of licensed electricity generation to companies in 2018 is shown in Figure 1.5. The biggest share in generation belongs to independent power producers with 68,23 %. The share of the power plants of EÜAŞ was 15,49 % and the power plants that were operated under the existing contracts had the share of 16,28 % in the total generation.</w:t>
      </w:r>
    </w:p>
    <w:p w:rsidR="0099399A" w:rsidRPr="00422D1D" w:rsidRDefault="0099399A" w:rsidP="00B25F9A">
      <w:bookmarkStart w:id="176" w:name="_Toc494988614"/>
      <w:bookmarkStart w:id="177" w:name="_Toc520822082"/>
      <w:bookmarkStart w:id="178" w:name="_Toc10123817"/>
      <w:bookmarkStart w:id="179" w:name="_Toc12459102"/>
      <w:bookmarkStart w:id="180" w:name="_Toc12526192"/>
      <w:bookmarkStart w:id="181" w:name="_Toc12535849"/>
      <w:r w:rsidRPr="00944835">
        <w:rPr>
          <w:rStyle w:val="Balk2Char"/>
        </w:rPr>
        <w:lastRenderedPageBreak/>
        <w:t>Figure 1.</w:t>
      </w:r>
      <w:r w:rsidRPr="00944835">
        <w:rPr>
          <w:rStyle w:val="Balk2Char"/>
        </w:rPr>
        <w:fldChar w:fldCharType="begin"/>
      </w:r>
      <w:r w:rsidRPr="00944835">
        <w:rPr>
          <w:rStyle w:val="Balk2Char"/>
        </w:rPr>
        <w:instrText xml:space="preserve"> SEQ Şekil \* ARABIC \s 1 </w:instrText>
      </w:r>
      <w:r w:rsidRPr="00944835">
        <w:rPr>
          <w:rStyle w:val="Balk2Char"/>
        </w:rPr>
        <w:fldChar w:fldCharType="separate"/>
      </w:r>
      <w:r w:rsidRPr="00944835">
        <w:rPr>
          <w:rStyle w:val="Balk2Char"/>
        </w:rPr>
        <w:t>5</w:t>
      </w:r>
      <w:r w:rsidRPr="00944835">
        <w:rPr>
          <w:rStyle w:val="Balk2Char"/>
        </w:rPr>
        <w:fldChar w:fldCharType="end"/>
      </w:r>
      <w:r w:rsidRPr="00944835">
        <w:rPr>
          <w:rStyle w:val="Balk2Char"/>
        </w:rPr>
        <w:t>: Distribution of Licensed Electricity Generation in 2018 by Corporations (%)</w:t>
      </w:r>
      <w:bookmarkEnd w:id="176"/>
      <w:bookmarkEnd w:id="177"/>
      <w:bookmarkEnd w:id="178"/>
      <w:bookmarkEnd w:id="181"/>
      <w:r w:rsidR="00376EFD">
        <w:rPr>
          <w:noProof/>
          <w:lang w:bidi="ar-SA"/>
        </w:rPr>
        <w:drawing>
          <wp:inline distT="0" distB="0" distL="0" distR="0" wp14:anchorId="5A83C5E8" wp14:editId="0C4C3425">
            <wp:extent cx="5760720" cy="3108960"/>
            <wp:effectExtent l="0" t="0" r="0" b="0"/>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3108960"/>
                    </a:xfrm>
                    <a:prstGeom prst="rect">
                      <a:avLst/>
                    </a:prstGeom>
                    <a:noFill/>
                    <a:ln>
                      <a:noFill/>
                    </a:ln>
                  </pic:spPr>
                </pic:pic>
              </a:graphicData>
            </a:graphic>
          </wp:inline>
        </w:drawing>
      </w:r>
      <w:bookmarkEnd w:id="179"/>
      <w:bookmarkEnd w:id="180"/>
    </w:p>
    <w:p w:rsidR="0099399A" w:rsidRPr="00422D1D" w:rsidRDefault="0099399A" w:rsidP="0099399A">
      <w:pPr>
        <w:spacing w:line="360" w:lineRule="auto"/>
        <w:ind w:firstLine="708"/>
        <w:jc w:val="both"/>
        <w:rPr>
          <w:rFonts w:ascii="Times New Roman" w:hAnsi="Times New Roman" w:cs="Times New Roman"/>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The distribution of licensed electricity generation under private, public and existing contracts are given in Figure 1.6. In 2017 the share of public in generation (including existing contracts) was 34.32%, whereas in 2018 it decreased to 31.77 %. Similarly, in 2017 the share of independent generation was 65.68 % which in 2018 increased to 68.23 %.</w:t>
      </w:r>
    </w:p>
    <w:p w:rsidR="0099399A" w:rsidRPr="00422D1D" w:rsidRDefault="0099399A" w:rsidP="0099399A">
      <w:pPr>
        <w:pStyle w:val="Balk2"/>
      </w:pPr>
      <w:bookmarkStart w:id="182" w:name="_Toc494988615"/>
      <w:bookmarkStart w:id="183" w:name="_Toc520822083"/>
      <w:bookmarkStart w:id="184" w:name="_Toc10123818"/>
      <w:bookmarkStart w:id="185" w:name="_Toc12459103"/>
      <w:bookmarkStart w:id="186" w:name="_Toc12526193"/>
      <w:bookmarkStart w:id="187" w:name="_Toc12535850"/>
      <w:r w:rsidRPr="00422D1D">
        <w:t>Figure 1.</w:t>
      </w:r>
      <w:r w:rsidRPr="00422D1D">
        <w:fldChar w:fldCharType="begin"/>
      </w:r>
      <w:r w:rsidRPr="00422D1D">
        <w:instrText xml:space="preserve"> SEQ Şekil \* ARABIC \s 1 </w:instrText>
      </w:r>
      <w:r w:rsidRPr="00422D1D">
        <w:fldChar w:fldCharType="separate"/>
      </w:r>
      <w:r w:rsidRPr="00422D1D">
        <w:rPr>
          <w:noProof/>
        </w:rPr>
        <w:t>6</w:t>
      </w:r>
      <w:r w:rsidRPr="00422D1D">
        <w:fldChar w:fldCharType="end"/>
      </w:r>
      <w:r w:rsidRPr="00422D1D">
        <w:t>: The Change of Licensed Electricity Generation as Public-Private by Years (%)</w:t>
      </w:r>
      <w:bookmarkEnd w:id="182"/>
      <w:bookmarkEnd w:id="183"/>
      <w:bookmarkEnd w:id="184"/>
      <w:bookmarkEnd w:id="185"/>
      <w:bookmarkEnd w:id="186"/>
      <w:bookmarkEnd w:id="187"/>
    </w:p>
    <w:p w:rsidR="0099399A" w:rsidRPr="00422D1D" w:rsidRDefault="00376EFD" w:rsidP="0099399A">
      <w:pPr>
        <w:tabs>
          <w:tab w:val="left" w:pos="3600"/>
        </w:tabs>
        <w:jc w:val="center"/>
        <w:rPr>
          <w:rFonts w:ascii="Times New Roman" w:hAnsi="Times New Roman" w:cs="Times New Roman"/>
        </w:rPr>
      </w:pPr>
      <w:r>
        <w:rPr>
          <w:rFonts w:ascii="Times New Roman" w:hAnsi="Times New Roman" w:cs="Times New Roman"/>
          <w:noProof/>
          <w:lang w:bidi="ar-SA"/>
        </w:rPr>
        <w:drawing>
          <wp:inline distT="0" distB="0" distL="0" distR="0" wp14:anchorId="62792144" wp14:editId="5BFE25E3">
            <wp:extent cx="5610860" cy="3072130"/>
            <wp:effectExtent l="0" t="0" r="8890" b="0"/>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0860" cy="3072130"/>
                    </a:xfrm>
                    <a:prstGeom prst="rect">
                      <a:avLst/>
                    </a:prstGeom>
                    <a:noFill/>
                    <a:ln>
                      <a:noFill/>
                    </a:ln>
                  </pic:spPr>
                </pic:pic>
              </a:graphicData>
            </a:graphic>
          </wp:inline>
        </w:drawing>
      </w:r>
    </w:p>
    <w:p w:rsidR="0099399A" w:rsidRPr="00422D1D" w:rsidRDefault="0099399A" w:rsidP="0099399A">
      <w:pPr>
        <w:jc w:val="both"/>
        <w:rPr>
          <w:rFonts w:ascii="Times New Roman" w:hAnsi="Times New Roman" w:cs="Times New Roman"/>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lastRenderedPageBreak/>
        <w:t>Figure 1.6 reflects the fact that the share of independent generation was still increasing. There are two reasons behind this increment. Firstly, most of the new investments were done by independent power producers. Secondly, due to privatization, the ownership of the existing public power plants was going under private sector.</w:t>
      </w:r>
    </w:p>
    <w:p w:rsidR="0099399A" w:rsidRPr="00422D1D" w:rsidRDefault="0099399A" w:rsidP="0099399A">
      <w:pPr>
        <w:spacing w:line="360" w:lineRule="auto"/>
        <w:jc w:val="both"/>
        <w:rPr>
          <w:rFonts w:ascii="Times New Roman" w:hAnsi="Times New Roman" w:cs="Times New Roman"/>
        </w:rPr>
      </w:pPr>
      <w:r w:rsidRPr="00422D1D">
        <w:rPr>
          <w:rFonts w:ascii="Times New Roman" w:hAnsi="Times New Roman" w:cs="Times New Roman"/>
          <w:sz w:val="24"/>
          <w:szCs w:val="24"/>
        </w:rPr>
        <w:t>The distribution of licensed electricity generation by resources is sho</w:t>
      </w:r>
      <w:r w:rsidR="000345C2">
        <w:rPr>
          <w:rFonts w:ascii="Times New Roman" w:hAnsi="Times New Roman" w:cs="Times New Roman"/>
          <w:sz w:val="24"/>
          <w:szCs w:val="24"/>
        </w:rPr>
        <w:t>wn in Figure 1.7.While t</w:t>
      </w:r>
      <w:r w:rsidRPr="00422D1D">
        <w:rPr>
          <w:rFonts w:ascii="Times New Roman" w:hAnsi="Times New Roman" w:cs="Times New Roman"/>
          <w:sz w:val="24"/>
          <w:szCs w:val="24"/>
        </w:rPr>
        <w:t>he share of natural gas-fired power plants in licensed electricity generat</w:t>
      </w:r>
      <w:r w:rsidR="000345C2">
        <w:rPr>
          <w:rFonts w:ascii="Times New Roman" w:hAnsi="Times New Roman" w:cs="Times New Roman"/>
          <w:sz w:val="24"/>
          <w:szCs w:val="24"/>
        </w:rPr>
        <w:t>ion was 37,18%,it decreased to 30.88% in 2018.</w:t>
      </w:r>
      <w:r w:rsidRPr="00422D1D">
        <w:rPr>
          <w:rFonts w:ascii="Times New Roman" w:hAnsi="Times New Roman" w:cs="Times New Roman"/>
          <w:sz w:val="24"/>
          <w:szCs w:val="24"/>
        </w:rPr>
        <w:t xml:space="preserve"> On the other hand,</w:t>
      </w:r>
      <w:r w:rsidR="000345C2">
        <w:rPr>
          <w:rFonts w:ascii="Times New Roman" w:hAnsi="Times New Roman" w:cs="Times New Roman"/>
          <w:sz w:val="24"/>
          <w:szCs w:val="24"/>
        </w:rPr>
        <w:t xml:space="preserve"> while</w:t>
      </w:r>
      <w:r w:rsidRPr="00422D1D">
        <w:rPr>
          <w:rFonts w:ascii="Times New Roman" w:hAnsi="Times New Roman" w:cs="Times New Roman"/>
          <w:sz w:val="24"/>
          <w:szCs w:val="24"/>
        </w:rPr>
        <w:t xml:space="preserve"> the share of hydroelectric power plants was 19.96% in 2017, </w:t>
      </w:r>
      <w:r w:rsidR="000345C2">
        <w:rPr>
          <w:rFonts w:ascii="Times New Roman" w:hAnsi="Times New Roman" w:cs="Times New Roman"/>
          <w:sz w:val="24"/>
          <w:szCs w:val="24"/>
        </w:rPr>
        <w:t xml:space="preserve">it has been </w:t>
      </w:r>
      <w:r w:rsidR="00BA74EA">
        <w:rPr>
          <w:rFonts w:ascii="Times New Roman" w:hAnsi="Times New Roman" w:cs="Times New Roman"/>
          <w:sz w:val="24"/>
          <w:szCs w:val="24"/>
        </w:rPr>
        <w:t>20, 28. W</w:t>
      </w:r>
      <w:r w:rsidRPr="00422D1D">
        <w:rPr>
          <w:rFonts w:ascii="Times New Roman" w:hAnsi="Times New Roman" w:cs="Times New Roman"/>
          <w:sz w:val="24"/>
          <w:szCs w:val="24"/>
        </w:rPr>
        <w:t>hile the share of wind power plants was 6.10%,</w:t>
      </w:r>
      <w:r w:rsidR="00BA74EA" w:rsidRPr="00BA74EA">
        <w:rPr>
          <w:rFonts w:ascii="Times New Roman" w:hAnsi="Times New Roman" w:cs="Times New Roman"/>
          <w:sz w:val="24"/>
          <w:szCs w:val="24"/>
        </w:rPr>
        <w:t xml:space="preserve"> </w:t>
      </w:r>
      <w:r w:rsidR="00BA74EA">
        <w:rPr>
          <w:rFonts w:ascii="Times New Roman" w:hAnsi="Times New Roman" w:cs="Times New Roman"/>
          <w:sz w:val="24"/>
          <w:szCs w:val="24"/>
        </w:rPr>
        <w:t>it has been</w:t>
      </w:r>
      <w:r w:rsidRPr="00422D1D">
        <w:rPr>
          <w:rFonts w:ascii="Times New Roman" w:hAnsi="Times New Roman" w:cs="Times New Roman"/>
          <w:sz w:val="24"/>
          <w:szCs w:val="24"/>
        </w:rPr>
        <w:t xml:space="preserve"> 6.73%, while the share of geo</w:t>
      </w:r>
      <w:r w:rsidR="00BA74EA">
        <w:rPr>
          <w:rFonts w:ascii="Times New Roman" w:hAnsi="Times New Roman" w:cs="Times New Roman"/>
          <w:sz w:val="24"/>
          <w:szCs w:val="24"/>
        </w:rPr>
        <w:t>thermal power plants was 2.04%,</w:t>
      </w:r>
      <w:r w:rsidR="00BA74EA" w:rsidRPr="00BA74EA">
        <w:rPr>
          <w:rFonts w:ascii="Times New Roman" w:hAnsi="Times New Roman" w:cs="Times New Roman"/>
          <w:sz w:val="24"/>
          <w:szCs w:val="24"/>
        </w:rPr>
        <w:t xml:space="preserve"> </w:t>
      </w:r>
      <w:r w:rsidR="00BA74EA">
        <w:rPr>
          <w:rFonts w:ascii="Times New Roman" w:hAnsi="Times New Roman" w:cs="Times New Roman"/>
          <w:sz w:val="24"/>
          <w:szCs w:val="24"/>
        </w:rPr>
        <w:t>it has been</w:t>
      </w:r>
      <w:r w:rsidRPr="00422D1D">
        <w:rPr>
          <w:rFonts w:ascii="Times New Roman" w:hAnsi="Times New Roman" w:cs="Times New Roman"/>
          <w:sz w:val="24"/>
          <w:szCs w:val="24"/>
        </w:rPr>
        <w:t xml:space="preserve"> 2.58%,. while the share of domestic coal (lignite, coal and asphaltite) plants was 15,86%,</w:t>
      </w:r>
      <w:r w:rsidR="00BA74EA" w:rsidRPr="00BA74EA">
        <w:rPr>
          <w:rFonts w:ascii="Times New Roman" w:hAnsi="Times New Roman" w:cs="Times New Roman"/>
          <w:sz w:val="24"/>
          <w:szCs w:val="24"/>
        </w:rPr>
        <w:t xml:space="preserve"> </w:t>
      </w:r>
      <w:r w:rsidR="00BA74EA">
        <w:rPr>
          <w:rFonts w:ascii="Times New Roman" w:hAnsi="Times New Roman" w:cs="Times New Roman"/>
          <w:sz w:val="24"/>
          <w:szCs w:val="24"/>
        </w:rPr>
        <w:t>it has been 17,06%,</w:t>
      </w:r>
      <w:r w:rsidRPr="00422D1D">
        <w:rPr>
          <w:rFonts w:ascii="Times New Roman" w:hAnsi="Times New Roman" w:cs="Times New Roman"/>
          <w:sz w:val="24"/>
          <w:szCs w:val="24"/>
        </w:rPr>
        <w:t xml:space="preserve"> while the share of imported coal plants was 17,49%, it increased to 21,31%.</w:t>
      </w:r>
    </w:p>
    <w:p w:rsidR="0099731C" w:rsidRDefault="0099731C" w:rsidP="00C76A11">
      <w:bookmarkStart w:id="188" w:name="_Toc494988616"/>
      <w:bookmarkStart w:id="189" w:name="_Toc520822084"/>
      <w:bookmarkStart w:id="190" w:name="_Toc10123819"/>
    </w:p>
    <w:p w:rsidR="0099731C" w:rsidRDefault="0099731C" w:rsidP="00C76A11"/>
    <w:p w:rsidR="0099399A" w:rsidRPr="00422D1D" w:rsidRDefault="0099399A" w:rsidP="0099399A">
      <w:pPr>
        <w:pStyle w:val="Balk2"/>
      </w:pPr>
      <w:bookmarkStart w:id="191" w:name="_Toc12459104"/>
      <w:bookmarkStart w:id="192" w:name="_Toc12526194"/>
      <w:bookmarkStart w:id="193" w:name="_Toc12535851"/>
      <w:r w:rsidRPr="00422D1D">
        <w:t>Figure 1.</w:t>
      </w:r>
      <w:r w:rsidRPr="00422D1D">
        <w:fldChar w:fldCharType="begin"/>
      </w:r>
      <w:r w:rsidRPr="00422D1D">
        <w:instrText xml:space="preserve"> SEQ Şekil \* ARABIC \s 1 </w:instrText>
      </w:r>
      <w:r w:rsidRPr="00422D1D">
        <w:fldChar w:fldCharType="separate"/>
      </w:r>
      <w:r w:rsidRPr="00422D1D">
        <w:t>7</w:t>
      </w:r>
      <w:r w:rsidRPr="00422D1D">
        <w:fldChar w:fldCharType="end"/>
      </w:r>
      <w:r w:rsidRPr="00422D1D">
        <w:t>: The Distribution of Licensed Electricity Generation by Sources in 2018 (%)</w:t>
      </w:r>
      <w:bookmarkEnd w:id="188"/>
      <w:bookmarkEnd w:id="189"/>
      <w:bookmarkEnd w:id="190"/>
      <w:bookmarkEnd w:id="191"/>
      <w:bookmarkEnd w:id="192"/>
      <w:bookmarkEnd w:id="193"/>
    </w:p>
    <w:p w:rsidR="0099399A" w:rsidRPr="00422D1D" w:rsidRDefault="0099399A" w:rsidP="0099399A">
      <w:pPr>
        <w:jc w:val="both"/>
        <w:rPr>
          <w:rFonts w:ascii="Times New Roman" w:hAnsi="Times New Roman" w:cs="Times New Roman"/>
        </w:rPr>
      </w:pPr>
    </w:p>
    <w:p w:rsidR="0099399A" w:rsidRPr="00422D1D" w:rsidRDefault="00376EFD" w:rsidP="0099399A">
      <w:pPr>
        <w:jc w:val="both"/>
        <w:rPr>
          <w:rFonts w:ascii="Times New Roman" w:hAnsi="Times New Roman" w:cs="Times New Roman"/>
        </w:rPr>
      </w:pPr>
      <w:r>
        <w:rPr>
          <w:rFonts w:ascii="Times New Roman" w:hAnsi="Times New Roman" w:cs="Times New Roman"/>
          <w:noProof/>
          <w:lang w:bidi="ar-SA"/>
        </w:rPr>
        <w:drawing>
          <wp:inline distT="0" distB="0" distL="0" distR="0" wp14:anchorId="40005CCB" wp14:editId="68F49DBA">
            <wp:extent cx="5762625" cy="3324225"/>
            <wp:effectExtent l="0" t="0" r="9525" b="9525"/>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3323126"/>
                    </a:xfrm>
                    <a:prstGeom prst="rect">
                      <a:avLst/>
                    </a:prstGeom>
                    <a:noFill/>
                    <a:ln>
                      <a:noFill/>
                    </a:ln>
                  </pic:spPr>
                </pic:pic>
              </a:graphicData>
            </a:graphic>
          </wp:inline>
        </w:drawing>
      </w:r>
    </w:p>
    <w:p w:rsidR="0099399A" w:rsidRPr="00422D1D" w:rsidRDefault="0099399A" w:rsidP="0099399A">
      <w:pPr>
        <w:jc w:val="both"/>
        <w:rPr>
          <w:rFonts w:ascii="Times New Roman" w:hAnsi="Times New Roman" w:cs="Times New Roman"/>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The development of licensed electricity generation on the basis of resources since 1990 is shown in Figure 1.8. As can be seen from the figure, the share in electricity generation of resources like geothermal, wind, solar and biomass had increased every year.</w:t>
      </w:r>
    </w:p>
    <w:p w:rsidR="0099399A" w:rsidRPr="00422D1D" w:rsidRDefault="0099399A" w:rsidP="0099399A">
      <w:pPr>
        <w:pStyle w:val="Balk2"/>
      </w:pPr>
      <w:bookmarkStart w:id="194" w:name="_Toc494988617"/>
      <w:bookmarkStart w:id="195" w:name="_Toc520822085"/>
      <w:bookmarkStart w:id="196" w:name="_Toc10123820"/>
      <w:bookmarkStart w:id="197" w:name="_Toc12459105"/>
      <w:bookmarkStart w:id="198" w:name="_Toc12526195"/>
      <w:bookmarkStart w:id="199" w:name="_Toc12535852"/>
      <w:r w:rsidRPr="00422D1D">
        <w:lastRenderedPageBreak/>
        <w:t>Figure 1.8: Source-Based Development of Licensed Electricity Generation by Years (GWh)</w:t>
      </w:r>
      <w:bookmarkEnd w:id="194"/>
      <w:bookmarkEnd w:id="195"/>
      <w:bookmarkEnd w:id="196"/>
      <w:bookmarkEnd w:id="197"/>
      <w:bookmarkEnd w:id="198"/>
      <w:bookmarkEnd w:id="199"/>
      <w:r w:rsidRPr="00422D1D">
        <w:t xml:space="preserve"> </w:t>
      </w:r>
    </w:p>
    <w:p w:rsidR="0099399A" w:rsidRPr="00422D1D" w:rsidRDefault="0099399A" w:rsidP="0099399A">
      <w:pPr>
        <w:jc w:val="center"/>
        <w:rPr>
          <w:rFonts w:ascii="Times New Roman" w:hAnsi="Times New Roman" w:cs="Times New Roman"/>
        </w:rPr>
      </w:pPr>
      <w:r w:rsidRPr="00422D1D">
        <w:rPr>
          <w:rFonts w:ascii="Times New Roman" w:hAnsi="Times New Roman" w:cs="Times New Roman"/>
          <w:noProof/>
          <w:lang w:bidi="ar-SA"/>
        </w:rPr>
        <w:drawing>
          <wp:inline distT="0" distB="0" distL="0" distR="0" wp14:anchorId="0B53DB70" wp14:editId="2B161CA0">
            <wp:extent cx="5972175" cy="2867025"/>
            <wp:effectExtent l="0" t="0" r="9525" b="9525"/>
            <wp:docPr id="51" name="Grafik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9399A" w:rsidRPr="00422D1D" w:rsidRDefault="0099399A" w:rsidP="0099399A">
      <w:pPr>
        <w:jc w:val="both"/>
        <w:rPr>
          <w:rFonts w:ascii="Times New Roman" w:hAnsi="Times New Roman" w:cs="Times New Roman"/>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Day-based development of licensed electricity generation in Turkey is shown in Figure 1.9. Licensed electricity generation was at its highest point in August and lowest in June. Considering day-based chart, the highest electricity generation occurred on 2 August 2018, lowest on 16 June 2018.</w:t>
      </w:r>
    </w:p>
    <w:p w:rsidR="0099399A" w:rsidRPr="00422D1D" w:rsidRDefault="0099399A" w:rsidP="0099399A">
      <w:pPr>
        <w:pStyle w:val="AralkYok"/>
        <w:spacing w:after="200"/>
        <w:jc w:val="both"/>
        <w:rPr>
          <w:rFonts w:cs="Times New Roman"/>
        </w:rPr>
      </w:pPr>
      <w:bookmarkStart w:id="200" w:name="_Toc494988618"/>
      <w:bookmarkStart w:id="201" w:name="_Toc520822086"/>
    </w:p>
    <w:p w:rsidR="0099399A" w:rsidRPr="00422D1D" w:rsidRDefault="0099399A" w:rsidP="0099399A">
      <w:pPr>
        <w:pStyle w:val="Balk2"/>
      </w:pPr>
      <w:bookmarkStart w:id="202" w:name="_Toc10123821"/>
      <w:bookmarkStart w:id="203" w:name="_Toc12459106"/>
      <w:bookmarkStart w:id="204" w:name="_Toc12526196"/>
      <w:bookmarkStart w:id="205" w:name="_Toc12535853"/>
      <w:r w:rsidRPr="00422D1D">
        <w:t>Figure 1.9: Daily Licensed Electricity Generation in 2018 (MWh)</w:t>
      </w:r>
      <w:bookmarkEnd w:id="200"/>
      <w:bookmarkEnd w:id="201"/>
      <w:bookmarkEnd w:id="202"/>
      <w:bookmarkEnd w:id="203"/>
      <w:bookmarkEnd w:id="204"/>
      <w:bookmarkEnd w:id="205"/>
    </w:p>
    <w:p w:rsidR="0099399A" w:rsidRPr="00422D1D" w:rsidRDefault="0099399A" w:rsidP="0099399A">
      <w:pPr>
        <w:tabs>
          <w:tab w:val="left" w:pos="4035"/>
        </w:tabs>
        <w:jc w:val="center"/>
        <w:rPr>
          <w:rFonts w:ascii="Times New Roman" w:hAnsi="Times New Roman" w:cs="Times New Roman"/>
        </w:rPr>
      </w:pPr>
      <w:r w:rsidRPr="00422D1D">
        <w:rPr>
          <w:rFonts w:ascii="Times New Roman" w:hAnsi="Times New Roman" w:cs="Times New Roman"/>
          <w:noProof/>
          <w:sz w:val="24"/>
          <w:szCs w:val="24"/>
          <w:lang w:bidi="ar-SA"/>
        </w:rPr>
        <w:drawing>
          <wp:inline distT="0" distB="0" distL="0" distR="0" wp14:anchorId="0A54DDCD" wp14:editId="74CDB35F">
            <wp:extent cx="5362575" cy="2819400"/>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68048" cy="2822278"/>
                    </a:xfrm>
                    <a:prstGeom prst="rect">
                      <a:avLst/>
                    </a:prstGeom>
                    <a:noFill/>
                  </pic:spPr>
                </pic:pic>
              </a:graphicData>
            </a:graphic>
          </wp:inline>
        </w:drawing>
      </w:r>
    </w:p>
    <w:p w:rsidR="0099399A" w:rsidRPr="00422D1D" w:rsidRDefault="0099399A" w:rsidP="0099399A">
      <w:pPr>
        <w:jc w:val="both"/>
        <w:rPr>
          <w:rFonts w:ascii="Times New Roman" w:hAnsi="Times New Roman" w:cs="Times New Roman"/>
        </w:rPr>
      </w:pP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 xml:space="preserve">Hour-based licensed electricity generation in Turkey is shown at Figure 1.10. The highest generation was at 19:00 o’clock and the lowest was at 05:00 o’clock.  </w:t>
      </w:r>
    </w:p>
    <w:p w:rsidR="0099399A" w:rsidRPr="00422D1D" w:rsidRDefault="0099399A" w:rsidP="0099399A">
      <w:pPr>
        <w:pStyle w:val="Balk2"/>
      </w:pPr>
      <w:bookmarkStart w:id="206" w:name="_Toc494988619"/>
      <w:bookmarkStart w:id="207" w:name="_Toc520822087"/>
      <w:bookmarkStart w:id="208" w:name="_Toc10123822"/>
      <w:bookmarkStart w:id="209" w:name="_Toc12459107"/>
      <w:bookmarkStart w:id="210" w:name="_Toc12526197"/>
      <w:bookmarkStart w:id="211" w:name="_Toc12535854"/>
      <w:r w:rsidRPr="00422D1D">
        <w:lastRenderedPageBreak/>
        <w:t>Figure 1.10: Hour-Based Electricity Generation in 2018 (MWh)</w:t>
      </w:r>
      <w:bookmarkEnd w:id="206"/>
      <w:bookmarkEnd w:id="207"/>
      <w:bookmarkEnd w:id="208"/>
      <w:bookmarkEnd w:id="209"/>
      <w:bookmarkEnd w:id="210"/>
      <w:bookmarkEnd w:id="211"/>
    </w:p>
    <w:p w:rsidR="0099399A" w:rsidRPr="00422D1D" w:rsidRDefault="0099399A" w:rsidP="0099399A">
      <w:pPr>
        <w:jc w:val="both"/>
        <w:rPr>
          <w:rFonts w:ascii="Times New Roman" w:hAnsi="Times New Roman" w:cs="Times New Roman"/>
        </w:rPr>
      </w:pPr>
      <w:r w:rsidRPr="00422D1D">
        <w:rPr>
          <w:rFonts w:ascii="Times New Roman" w:hAnsi="Times New Roman" w:cs="Times New Roman"/>
          <w:noProof/>
          <w:sz w:val="24"/>
          <w:szCs w:val="24"/>
          <w:lang w:bidi="ar-SA"/>
        </w:rPr>
        <w:drawing>
          <wp:inline distT="0" distB="0" distL="0" distR="0" wp14:anchorId="126742AB" wp14:editId="1E75570A">
            <wp:extent cx="5817903" cy="2667000"/>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23396" cy="2669518"/>
                    </a:xfrm>
                    <a:prstGeom prst="rect">
                      <a:avLst/>
                    </a:prstGeom>
                    <a:noFill/>
                  </pic:spPr>
                </pic:pic>
              </a:graphicData>
            </a:graphic>
          </wp:inline>
        </w:drawing>
      </w:r>
    </w:p>
    <w:p w:rsidR="0099399A" w:rsidRPr="00422D1D" w:rsidRDefault="0099399A" w:rsidP="0099399A">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The distribution of licensed electricity generation by provinces is given in Table 1.2. The highest electricity generation in 2018 was in Çanakkale, Zonguldak, İzmir,  Adana, Hatay and Sakarya provinces, the lowest was in Ağrı, Yozgat, Niğde, Mardin and Bartın provinces respectively.</w:t>
      </w:r>
    </w:p>
    <w:p w:rsidR="0099399A" w:rsidRPr="00422D1D" w:rsidRDefault="00264A67" w:rsidP="0099399A">
      <w:pPr>
        <w:pStyle w:val="Balk1"/>
      </w:pPr>
      <w:bookmarkStart w:id="212" w:name="_Toc494982822"/>
      <w:bookmarkStart w:id="213" w:name="_Toc520822038"/>
      <w:bookmarkStart w:id="214" w:name="_Toc10123823"/>
      <w:bookmarkStart w:id="215" w:name="_Toc10191418"/>
      <w:bookmarkStart w:id="216" w:name="_Toc12459108"/>
      <w:bookmarkStart w:id="217" w:name="_Toc12526198"/>
      <w:r>
        <w:t xml:space="preserve">Table </w:t>
      </w:r>
      <w:r w:rsidR="0099399A" w:rsidRPr="00422D1D">
        <w:t>1.2: Distribution of Licensed Electricty Generation by Provinces</w:t>
      </w:r>
      <w:r>
        <w:t xml:space="preserve"> </w:t>
      </w:r>
      <w:r w:rsidR="0099399A" w:rsidRPr="00422D1D">
        <w:t>(MWh-%)</w:t>
      </w:r>
      <w:bookmarkEnd w:id="212"/>
      <w:bookmarkEnd w:id="213"/>
      <w:bookmarkEnd w:id="214"/>
      <w:bookmarkEnd w:id="215"/>
      <w:bookmarkEnd w:id="216"/>
      <w:bookmarkEnd w:id="217"/>
    </w:p>
    <w:tbl>
      <w:tblPr>
        <w:tblW w:w="9356" w:type="dxa"/>
        <w:tblInd w:w="-72" w:type="dxa"/>
        <w:tblCellMar>
          <w:left w:w="70" w:type="dxa"/>
          <w:right w:w="70" w:type="dxa"/>
        </w:tblCellMar>
        <w:tblLook w:val="04A0" w:firstRow="1" w:lastRow="0" w:firstColumn="1" w:lastColumn="0" w:noHBand="0" w:noVBand="1"/>
      </w:tblPr>
      <w:tblGrid>
        <w:gridCol w:w="2309"/>
        <w:gridCol w:w="1485"/>
        <w:gridCol w:w="834"/>
        <w:gridCol w:w="2182"/>
        <w:gridCol w:w="1515"/>
        <w:gridCol w:w="1048"/>
      </w:tblGrid>
      <w:tr w:rsidR="0099399A" w:rsidRPr="00422D1D" w:rsidTr="00502FAE">
        <w:trPr>
          <w:trHeight w:val="536"/>
          <w:tblHeader/>
        </w:trPr>
        <w:tc>
          <w:tcPr>
            <w:tcW w:w="23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PROVINCE</w:t>
            </w:r>
          </w:p>
        </w:tc>
        <w:tc>
          <w:tcPr>
            <w:tcW w:w="1485"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Generation (MWh)</w:t>
            </w:r>
          </w:p>
        </w:tc>
        <w:tc>
          <w:tcPr>
            <w:tcW w:w="834"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Share (%)</w:t>
            </w:r>
          </w:p>
        </w:tc>
        <w:tc>
          <w:tcPr>
            <w:tcW w:w="2172"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PROVINCE</w:t>
            </w:r>
          </w:p>
        </w:tc>
        <w:tc>
          <w:tcPr>
            <w:tcW w:w="1508"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Generation (MWh)</w:t>
            </w:r>
          </w:p>
        </w:tc>
        <w:tc>
          <w:tcPr>
            <w:tcW w:w="1048"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Share (%)</w:t>
            </w:r>
          </w:p>
        </w:tc>
      </w:tr>
      <w:tr w:rsidR="0099399A" w:rsidRPr="00422D1D" w:rsidTr="00502FAE">
        <w:trPr>
          <w:trHeight w:val="79"/>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ÇANAKKALE</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26.310.222,71</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8,91</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RİZE</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1.057.145,32</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0,36</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ZONGULDAK</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19.568.880,74</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6,62</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ERZİNCAN</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883.307,01</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0,30</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İZMİR</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18.306.204,58</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6,20</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ESKİŞEHİR</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769.799,68</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0,26</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ADANA</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18.134.222,89</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6,14</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SİİRT</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763.380,90</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0,26</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HATAY</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14.963.201,68</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5,06</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GAZİANTEP</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721.285,99</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0,24</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SAKARYA</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14.277.593,26</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4,83</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AFYONKARAHİSAR</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677.202,51</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0,23</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MUĞLA</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11.459.060,59</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3,88</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AMASYA</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668.596,49</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0,23</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ANKARA</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11.377.492,65</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3,85</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YALOVA</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652.008,37</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0,22</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BALIKESİR</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10.819.862,08</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3,66</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KARABÜK</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624.396,84</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0,21</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MANİSA</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9.081.420,87</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3,07</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ADIYAMAN</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580.267,71</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0,20</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KAHRAMANMARAŞ</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8.760.201,26</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2,97</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ISPARTA</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550.446,67</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0,19</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BURSA</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8.640.282,37</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2,92</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ÇORUM</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550.395,25</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0,19</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İSTANBUL</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8.411.190,21</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2,85</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KIRŞEHİR</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533.400,85</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0,18</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lastRenderedPageBreak/>
              <w:t>KIRIKKALE</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7.617.501,60</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2,58</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EDİRNE</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532.846,73</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0,18</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SAMSUN</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6.968.643,88</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2,36</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ARDAHAN</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510.899,03</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0,17</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KÜTAHYA</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6.767.896,44</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2,29</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SİNOP</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490.054,44</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0,17</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KIRKLARELİ</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6.617.658,69</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2,24</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MUŞ</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451.217,08</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0,15</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KOCAELİ</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6.032.348,67</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2,04</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KARS</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369.630,55</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0,13</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ARTVİN</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5.763.737,33</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1,95</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TUNCELİ</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332.675,19</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0,11</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DENİZLİ</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5.607.379,65</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1,90</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KONYA</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268.607,59</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0,09</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AYDIN</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5.454.038,33</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1,85</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DÜZCE</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265.019,24</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0,09</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ELAZIĞ</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5.453.218,41</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1,85</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NEVŞEHİR</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193.152,10</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0,07</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ŞANLIURFA</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5.389.108,60</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1,82</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VAN</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170.891,44</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0,06</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DİYARBAKIR</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4.689.420,84</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1,59</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BİLECİK</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159.052,92</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ANTALYA</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4.560.242,68</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1,54</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MALATYA</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153.682,26</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SİVAS</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3.953.887,62</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1,34</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BURDUR</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151.091,64</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MERSİN</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3.335.544,76</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1,13</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KASTAMONU</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149.490,93</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TEKİRDAĞ</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2.830.882,19</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0,96</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BATMAN</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140.073,76</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OSMANİYE</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2.591.669,07</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0,88</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HAKKARİ</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127.859,05</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0,04</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ŞIRNAK</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2.331.294,78</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0,79</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UŞAK</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119.022,47</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0,04</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BOLU</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2.305.716,93</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0,78</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ÇANKIRI</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110.930,05</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0,04</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GİRESUN</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2.129.058,80</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0,72</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BAYBURT</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96.574,07</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GÜMÜŞHANE</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1.539.218,00</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0,52</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BİTLİS</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65.992,25</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TOKAT</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1.522.663,69</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0,52</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IĞDIR</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58.829,25</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TRABZON</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1.488.515,28</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0,50</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AKSARAY</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46.306,20</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KARAMAN</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1.369.964,64</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0,46</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BARTIN</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27.024,28</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BİNGÖL</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1.272.895,13</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0,43</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MARDİN</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14.601,78</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KAYSERİ</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1.266.533,86</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0,43</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NİĞDE</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10.105,86</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ERZURUM</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1.259.617,33</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0,43</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YOZGAT</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5.939,39</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502FAE">
        <w:trPr>
          <w:trHeight w:val="57"/>
        </w:trPr>
        <w:tc>
          <w:tcPr>
            <w:tcW w:w="2309"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ORDU</w:t>
            </w:r>
          </w:p>
        </w:tc>
        <w:tc>
          <w:tcPr>
            <w:tcW w:w="1485"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1.158.436,80</w:t>
            </w:r>
          </w:p>
        </w:tc>
        <w:tc>
          <w:tcPr>
            <w:tcW w:w="834"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0,39</w:t>
            </w: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AĞRI</w:t>
            </w:r>
          </w:p>
        </w:tc>
        <w:tc>
          <w:tcPr>
            <w:tcW w:w="150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2.014,77</w:t>
            </w:r>
          </w:p>
        </w:tc>
        <w:tc>
          <w:tcPr>
            <w:tcW w:w="1048"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264A67">
        <w:trPr>
          <w:trHeight w:val="315"/>
        </w:trPr>
        <w:tc>
          <w:tcPr>
            <w:tcW w:w="2309" w:type="dxa"/>
            <w:tcBorders>
              <w:top w:val="nil"/>
              <w:left w:val="nil"/>
              <w:bottom w:val="nil"/>
              <w:right w:val="nil"/>
            </w:tcBorders>
            <w:shd w:val="clear" w:color="auto" w:fill="auto"/>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p>
        </w:tc>
        <w:tc>
          <w:tcPr>
            <w:tcW w:w="1485" w:type="dxa"/>
            <w:tcBorders>
              <w:top w:val="nil"/>
              <w:left w:val="nil"/>
              <w:bottom w:val="nil"/>
              <w:right w:val="nil"/>
            </w:tcBorders>
            <w:shd w:val="clear" w:color="auto" w:fill="auto"/>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p>
        </w:tc>
        <w:tc>
          <w:tcPr>
            <w:tcW w:w="834" w:type="dxa"/>
            <w:tcBorders>
              <w:top w:val="nil"/>
              <w:left w:val="nil"/>
              <w:bottom w:val="nil"/>
              <w:right w:val="nil"/>
            </w:tcBorders>
            <w:shd w:val="clear" w:color="auto" w:fill="auto"/>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p>
        </w:tc>
        <w:tc>
          <w:tcPr>
            <w:tcW w:w="217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Grand Total</w:t>
            </w:r>
          </w:p>
        </w:tc>
        <w:tc>
          <w:tcPr>
            <w:tcW w:w="1508"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295.442.147,78</w:t>
            </w:r>
          </w:p>
        </w:tc>
        <w:tc>
          <w:tcPr>
            <w:tcW w:w="1048"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r>
    </w:tbl>
    <w:p w:rsidR="0099399A" w:rsidRPr="00422D1D" w:rsidRDefault="0099399A" w:rsidP="0099399A">
      <w:pPr>
        <w:ind w:firstLine="720"/>
        <w:jc w:val="both"/>
        <w:rPr>
          <w:rFonts w:ascii="Times New Roman" w:hAnsi="Times New Roman" w:cs="Times New Roman"/>
        </w:rPr>
      </w:pPr>
    </w:p>
    <w:p w:rsidR="0099399A" w:rsidRPr="00422D1D" w:rsidRDefault="0099399A" w:rsidP="00264A67">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lastRenderedPageBreak/>
        <w:t>In Figure 1.11, 10 companies that have the highest contribution in licensed electricity generation in 2017 and their share are shown. As can be seen from the figure, first 10 companies were EÜAŞ, Eren Enerji Elektrik Üretim A.Ş., Enerjisa Enerji Üretim A.Ş., Cenal Elektrik Üretim A.Ş., İskenderun Enerji Üretim ve Ticaret A.Ş. , İzmir Elektrik Üretim Ltd. Şti.., İçdaş Elektrik Enerji Üretim Ve Yat. A.Ş., Gebze Elektrik Üretim Ltd. Şti.</w:t>
      </w:r>
      <w:r w:rsidR="00264A67" w:rsidRPr="00422D1D">
        <w:rPr>
          <w:rFonts w:ascii="Times New Roman" w:hAnsi="Times New Roman" w:cs="Times New Roman"/>
          <w:sz w:val="24"/>
          <w:szCs w:val="24"/>
        </w:rPr>
        <w:t>, Atlas</w:t>
      </w:r>
      <w:r w:rsidRPr="00422D1D">
        <w:rPr>
          <w:rFonts w:ascii="Times New Roman" w:hAnsi="Times New Roman" w:cs="Times New Roman"/>
          <w:sz w:val="24"/>
          <w:szCs w:val="24"/>
        </w:rPr>
        <w:t xml:space="preserve"> Enerji Üretim San. A.Ş., Yeniköy Kemerköy</w:t>
      </w:r>
      <w:r w:rsidR="00BA74EA">
        <w:rPr>
          <w:rFonts w:ascii="Times New Roman" w:hAnsi="Times New Roman" w:cs="Times New Roman"/>
          <w:sz w:val="24"/>
          <w:szCs w:val="24"/>
        </w:rPr>
        <w:t xml:space="preserve"> Elektrik Üretim Ve Tic. A. Ş. </w:t>
      </w:r>
      <w:r w:rsidRPr="00422D1D">
        <w:rPr>
          <w:rFonts w:ascii="Times New Roman" w:hAnsi="Times New Roman" w:cs="Times New Roman"/>
          <w:sz w:val="24"/>
          <w:szCs w:val="24"/>
        </w:rPr>
        <w:t>.</w:t>
      </w:r>
    </w:p>
    <w:p w:rsidR="0099399A" w:rsidRPr="00422D1D" w:rsidRDefault="00264A67" w:rsidP="00B25F9A">
      <w:bookmarkStart w:id="218" w:name="_Toc494988620"/>
      <w:bookmarkStart w:id="219" w:name="_Toc520822088"/>
      <w:r>
        <w:t xml:space="preserve">   </w:t>
      </w:r>
      <w:bookmarkStart w:id="220" w:name="_Toc10123824"/>
      <w:bookmarkStart w:id="221" w:name="_Toc12459109"/>
      <w:bookmarkStart w:id="222" w:name="_Toc12526199"/>
      <w:bookmarkStart w:id="223" w:name="_Toc12535855"/>
      <w:r w:rsidR="0099399A" w:rsidRPr="0056743C">
        <w:rPr>
          <w:rStyle w:val="Balk2Char"/>
        </w:rPr>
        <w:t>Figure 1.11: The Share of First 10 Companies within Electricity Generation in 2018 (%</w:t>
      </w:r>
      <w:bookmarkEnd w:id="218"/>
      <w:bookmarkEnd w:id="219"/>
      <w:r w:rsidRPr="0056743C">
        <w:rPr>
          <w:rStyle w:val="Balk2Char"/>
        </w:rPr>
        <w:t>)</w:t>
      </w:r>
      <w:bookmarkEnd w:id="223"/>
      <w:r w:rsidR="0099399A" w:rsidRPr="00422D1D">
        <w:rPr>
          <w:noProof/>
          <w:lang w:bidi="ar-SA"/>
        </w:rPr>
        <w:drawing>
          <wp:inline distT="0" distB="0" distL="0" distR="0" wp14:anchorId="1698E7F6" wp14:editId="03078D3B">
            <wp:extent cx="5972810" cy="4088765"/>
            <wp:effectExtent l="38100" t="0" r="27940" b="26035"/>
            <wp:docPr id="54" name="Grafik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220"/>
      <w:bookmarkEnd w:id="221"/>
      <w:bookmarkEnd w:id="222"/>
    </w:p>
    <w:p w:rsidR="0099399A" w:rsidRPr="00422D1D" w:rsidRDefault="0099399A" w:rsidP="0099399A">
      <w:pPr>
        <w:jc w:val="both"/>
        <w:rPr>
          <w:rFonts w:ascii="Times New Roman" w:hAnsi="Times New Roman" w:cs="Times New Roman"/>
        </w:rPr>
      </w:pPr>
    </w:p>
    <w:p w:rsidR="0099399A" w:rsidRPr="00422D1D" w:rsidRDefault="0099399A" w:rsidP="0099399A">
      <w:pPr>
        <w:jc w:val="both"/>
        <w:rPr>
          <w:rFonts w:ascii="Times New Roman" w:hAnsi="Times New Roman" w:cs="Times New Roman"/>
        </w:rPr>
      </w:pPr>
    </w:p>
    <w:p w:rsidR="007E44DF" w:rsidRPr="00B572B4" w:rsidRDefault="00B572B4" w:rsidP="00B572B4">
      <w:pPr>
        <w:pStyle w:val="11ilebalayanlar"/>
      </w:pPr>
      <w:bookmarkStart w:id="224" w:name="_Toc494982784"/>
      <w:bookmarkStart w:id="225" w:name="_Toc520822002"/>
      <w:bookmarkStart w:id="226" w:name="_Toc12528935"/>
      <w:r w:rsidRPr="00B572B4">
        <w:t xml:space="preserve">1.3 </w:t>
      </w:r>
      <w:r w:rsidR="0099399A" w:rsidRPr="00B572B4">
        <w:t>Licensed Installed Capacity</w:t>
      </w:r>
      <w:bookmarkEnd w:id="224"/>
      <w:bookmarkEnd w:id="225"/>
      <w:bookmarkEnd w:id="226"/>
    </w:p>
    <w:p w:rsidR="0099399A" w:rsidRPr="00422D1D" w:rsidRDefault="0099399A" w:rsidP="007E44DF">
      <w:pPr>
        <w:pStyle w:val="BALIKLAR"/>
        <w:spacing w:line="360" w:lineRule="auto"/>
        <w:ind w:left="360"/>
      </w:pPr>
      <w:r w:rsidRPr="00422D1D">
        <w:t xml:space="preserve"> </w:t>
      </w:r>
    </w:p>
    <w:p w:rsidR="0099399A" w:rsidRDefault="0099399A" w:rsidP="00264A67">
      <w:pPr>
        <w:spacing w:line="360" w:lineRule="auto"/>
        <w:jc w:val="both"/>
        <w:rPr>
          <w:rFonts w:ascii="Times New Roman" w:hAnsi="Times New Roman" w:cs="Times New Roman"/>
          <w:sz w:val="24"/>
          <w:szCs w:val="24"/>
        </w:rPr>
      </w:pPr>
      <w:r w:rsidRPr="00210D68">
        <w:rPr>
          <w:rFonts w:ascii="Times New Roman" w:hAnsi="Times New Roman" w:cs="Times New Roman"/>
          <w:sz w:val="24"/>
          <w:szCs w:val="24"/>
        </w:rPr>
        <w:t>Distribution of licensed installed capacity by source types is shown in Figure 1.12</w:t>
      </w:r>
      <w:r>
        <w:rPr>
          <w:rFonts w:ascii="Times New Roman" w:hAnsi="Times New Roman" w:cs="Times New Roman"/>
          <w:sz w:val="24"/>
          <w:szCs w:val="24"/>
        </w:rPr>
        <w:t>.</w:t>
      </w:r>
      <w:r w:rsidRPr="00210D68">
        <w:t xml:space="preserve"> </w:t>
      </w:r>
      <w:r w:rsidRPr="00B462B3">
        <w:rPr>
          <w:rFonts w:ascii="Times New Roman" w:hAnsi="Times New Roman" w:cs="Times New Roman"/>
          <w:sz w:val="24"/>
          <w:szCs w:val="24"/>
        </w:rPr>
        <w:t>While the share of natural gas power plants (including liquid and natural gas fired power plants) in the licensed power plant as of the end of 2017 was 32,29%, it decreased to 30,93% in 2018.</w:t>
      </w:r>
      <w:r>
        <w:rPr>
          <w:rFonts w:ascii="Times New Roman" w:hAnsi="Times New Roman" w:cs="Times New Roman"/>
          <w:sz w:val="24"/>
          <w:szCs w:val="24"/>
        </w:rPr>
        <w:t xml:space="preserve"> </w:t>
      </w:r>
      <w:r w:rsidRPr="00B462B3">
        <w:rPr>
          <w:rFonts w:ascii="Times New Roman" w:hAnsi="Times New Roman" w:cs="Times New Roman"/>
          <w:sz w:val="24"/>
          <w:szCs w:val="24"/>
        </w:rPr>
        <w:t xml:space="preserve">The share of power plants based on imported coal, which was 10.96% in 2017, </w:t>
      </w:r>
      <w:r w:rsidR="00BA74EA">
        <w:rPr>
          <w:rFonts w:ascii="Times New Roman" w:hAnsi="Times New Roman" w:cs="Times New Roman"/>
          <w:sz w:val="24"/>
          <w:szCs w:val="24"/>
        </w:rPr>
        <w:t>decreased</w:t>
      </w:r>
      <w:r w:rsidRPr="00B462B3">
        <w:rPr>
          <w:rFonts w:ascii="Times New Roman" w:hAnsi="Times New Roman" w:cs="Times New Roman"/>
          <w:sz w:val="24"/>
          <w:szCs w:val="24"/>
        </w:rPr>
        <w:t xml:space="preserve"> to 10.75% in 2018.</w:t>
      </w:r>
    </w:p>
    <w:p w:rsidR="0099399A" w:rsidRDefault="0099399A" w:rsidP="00264A67">
      <w:pPr>
        <w:spacing w:line="360" w:lineRule="auto"/>
        <w:jc w:val="both"/>
        <w:rPr>
          <w:rFonts w:ascii="Times New Roman" w:hAnsi="Times New Roman" w:cs="Times New Roman"/>
          <w:sz w:val="24"/>
          <w:szCs w:val="24"/>
        </w:rPr>
      </w:pPr>
      <w:r w:rsidRPr="00B462B3">
        <w:rPr>
          <w:rFonts w:ascii="Times New Roman" w:hAnsi="Times New Roman" w:cs="Times New Roman"/>
          <w:sz w:val="24"/>
          <w:szCs w:val="24"/>
        </w:rPr>
        <w:lastRenderedPageBreak/>
        <w:t xml:space="preserve">On the other hand, the share of dams and hydroelectric power plants with 24.21% increased </w:t>
      </w:r>
      <w:r w:rsidR="00BA74EA">
        <w:rPr>
          <w:rFonts w:ascii="Times New Roman" w:hAnsi="Times New Roman" w:cs="Times New Roman"/>
          <w:sz w:val="24"/>
          <w:szCs w:val="24"/>
        </w:rPr>
        <w:t>to 24.69% as of 2017 year-end. While t</w:t>
      </w:r>
      <w:r w:rsidRPr="00B462B3">
        <w:rPr>
          <w:rFonts w:ascii="Times New Roman" w:hAnsi="Times New Roman" w:cs="Times New Roman"/>
          <w:sz w:val="24"/>
          <w:szCs w:val="24"/>
        </w:rPr>
        <w:t>he share of l</w:t>
      </w:r>
      <w:r w:rsidR="00BA74EA">
        <w:rPr>
          <w:rFonts w:ascii="Times New Roman" w:hAnsi="Times New Roman" w:cs="Times New Roman"/>
          <w:sz w:val="24"/>
          <w:szCs w:val="24"/>
        </w:rPr>
        <w:t>ignite plants was 11.36</w:t>
      </w:r>
      <w:r w:rsidRPr="00B462B3">
        <w:rPr>
          <w:rFonts w:ascii="Times New Roman" w:hAnsi="Times New Roman" w:cs="Times New Roman"/>
          <w:sz w:val="24"/>
          <w:szCs w:val="24"/>
        </w:rPr>
        <w:t>%,</w:t>
      </w:r>
      <w:r w:rsidR="00BA74EA">
        <w:rPr>
          <w:rFonts w:ascii="Times New Roman" w:hAnsi="Times New Roman" w:cs="Times New Roman"/>
          <w:sz w:val="24"/>
          <w:szCs w:val="24"/>
        </w:rPr>
        <w:t>it decreased to 11,54%,</w:t>
      </w:r>
      <w:r w:rsidRPr="00B462B3">
        <w:rPr>
          <w:rFonts w:ascii="Times New Roman" w:hAnsi="Times New Roman" w:cs="Times New Roman"/>
          <w:sz w:val="24"/>
          <w:szCs w:val="24"/>
        </w:rPr>
        <w:t xml:space="preserve"> the share of river-hydroelectric power plants increased from 9.22% to 9.32%, the share of wind farm</w:t>
      </w:r>
      <w:r w:rsidR="00BA74EA">
        <w:rPr>
          <w:rFonts w:ascii="Times New Roman" w:hAnsi="Times New Roman" w:cs="Times New Roman"/>
          <w:sz w:val="24"/>
          <w:szCs w:val="24"/>
        </w:rPr>
        <w:t>s increased from 7.95% to 8.35%</w:t>
      </w:r>
      <w:r w:rsidRPr="00B462B3">
        <w:rPr>
          <w:rFonts w:ascii="Times New Roman" w:hAnsi="Times New Roman" w:cs="Times New Roman"/>
          <w:sz w:val="24"/>
          <w:szCs w:val="24"/>
        </w:rPr>
        <w:t xml:space="preserve"> and 1.30% of geothermal power plants increased to 1.54%.</w:t>
      </w:r>
    </w:p>
    <w:p w:rsidR="0099399A" w:rsidRDefault="0099399A" w:rsidP="0099399A">
      <w:pPr>
        <w:spacing w:line="360" w:lineRule="auto"/>
        <w:ind w:firstLine="708"/>
        <w:jc w:val="both"/>
        <w:rPr>
          <w:rFonts w:ascii="Times New Roman" w:hAnsi="Times New Roman" w:cs="Times New Roman"/>
          <w:sz w:val="24"/>
          <w:szCs w:val="24"/>
        </w:rPr>
      </w:pPr>
    </w:p>
    <w:p w:rsidR="0099399A" w:rsidRDefault="0099399A" w:rsidP="00264A67">
      <w:pPr>
        <w:spacing w:line="360" w:lineRule="auto"/>
        <w:jc w:val="both"/>
        <w:rPr>
          <w:rFonts w:ascii="Times New Roman" w:hAnsi="Times New Roman" w:cs="Times New Roman"/>
          <w:sz w:val="24"/>
          <w:szCs w:val="24"/>
        </w:rPr>
      </w:pPr>
      <w:r w:rsidRPr="00B462B3">
        <w:rPr>
          <w:rFonts w:ascii="Times New Roman" w:hAnsi="Times New Roman" w:cs="Times New Roman"/>
          <w:sz w:val="24"/>
          <w:szCs w:val="24"/>
        </w:rPr>
        <w:t>While the share of renewable energy sources (including hydraulics) in total installed power in 2017 was 43.26%, it increased to 44.70% in 2018. While the ratio of total installed thermal power in 2017 was 56.74% in 2017, it decreased to 55.30% in 2018.</w:t>
      </w:r>
    </w:p>
    <w:p w:rsidR="0099399A" w:rsidRPr="00422D1D" w:rsidRDefault="0099399A" w:rsidP="0099399A">
      <w:pPr>
        <w:pStyle w:val="Balk6"/>
        <w:spacing w:before="0" w:after="200"/>
        <w:jc w:val="both"/>
        <w:rPr>
          <w:rFonts w:ascii="Times New Roman" w:hAnsi="Times New Roman" w:cs="Times New Roman"/>
        </w:rPr>
      </w:pPr>
      <w:bookmarkStart w:id="227" w:name="_Ref402771121"/>
      <w:bookmarkStart w:id="228" w:name="_Ref402771116"/>
      <w:bookmarkStart w:id="229" w:name="_Toc432165731"/>
      <w:bookmarkStart w:id="230" w:name="_Toc450306998"/>
      <w:bookmarkStart w:id="231" w:name="_Toc450307109"/>
      <w:bookmarkStart w:id="232" w:name="_Toc450307915"/>
    </w:p>
    <w:p w:rsidR="0099399A" w:rsidRPr="00422D1D" w:rsidRDefault="0099399A" w:rsidP="00264A67">
      <w:pPr>
        <w:pStyle w:val="Balk2"/>
      </w:pPr>
      <w:bookmarkStart w:id="233" w:name="_Toc520822089"/>
      <w:bookmarkStart w:id="234" w:name="_Toc10123826"/>
      <w:bookmarkStart w:id="235" w:name="_Toc12459111"/>
      <w:bookmarkStart w:id="236" w:name="_Toc12526201"/>
      <w:bookmarkStart w:id="237" w:name="_Toc12535856"/>
      <w:r w:rsidRPr="00422D1D">
        <w:t>Figure 1.</w:t>
      </w:r>
      <w:bookmarkEnd w:id="227"/>
      <w:r w:rsidRPr="00422D1D">
        <w:t>12: Distribution of Licensed Installed Capacity by Sources at the End of 20</w:t>
      </w:r>
      <w:bookmarkEnd w:id="228"/>
      <w:r w:rsidR="00EF6520">
        <w:t>18</w:t>
      </w:r>
      <w:r w:rsidRPr="00422D1D">
        <w:t xml:space="preserve"> (%)</w:t>
      </w:r>
      <w:bookmarkEnd w:id="229"/>
      <w:bookmarkEnd w:id="230"/>
      <w:bookmarkEnd w:id="231"/>
      <w:bookmarkEnd w:id="232"/>
      <w:bookmarkEnd w:id="233"/>
      <w:bookmarkEnd w:id="234"/>
      <w:bookmarkEnd w:id="235"/>
      <w:bookmarkEnd w:id="236"/>
      <w:bookmarkEnd w:id="237"/>
    </w:p>
    <w:p w:rsidR="0099399A" w:rsidRPr="00422D1D" w:rsidRDefault="0099399A" w:rsidP="0099399A">
      <w:pPr>
        <w:tabs>
          <w:tab w:val="left" w:pos="7350"/>
        </w:tabs>
        <w:jc w:val="both"/>
        <w:rPr>
          <w:rFonts w:ascii="Times New Roman" w:hAnsi="Times New Roman" w:cs="Times New Roman"/>
        </w:rPr>
      </w:pPr>
      <w:r w:rsidRPr="00422D1D">
        <w:rPr>
          <w:rFonts w:ascii="Times New Roman" w:hAnsi="Times New Roman" w:cs="Times New Roman"/>
        </w:rPr>
        <w:tab/>
      </w:r>
      <w:r w:rsidRPr="00422D1D">
        <w:rPr>
          <w:rFonts w:ascii="Times New Roman" w:hAnsi="Times New Roman" w:cs="Times New Roman"/>
          <w:noProof/>
          <w:lang w:bidi="ar-SA"/>
        </w:rPr>
        <w:drawing>
          <wp:inline distT="0" distB="0" distL="0" distR="0" wp14:anchorId="53C1C123" wp14:editId="4B1B381A">
            <wp:extent cx="5581650" cy="3448050"/>
            <wp:effectExtent l="0" t="0" r="19050" b="19050"/>
            <wp:docPr id="55" name="Grafik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9399A" w:rsidRPr="00422D1D" w:rsidRDefault="0099399A" w:rsidP="0099399A">
      <w:pPr>
        <w:tabs>
          <w:tab w:val="left" w:pos="7350"/>
        </w:tabs>
        <w:jc w:val="both"/>
        <w:rPr>
          <w:rFonts w:ascii="Times New Roman" w:hAnsi="Times New Roman" w:cs="Times New Roman"/>
        </w:rPr>
      </w:pPr>
    </w:p>
    <w:p w:rsidR="0099399A" w:rsidRPr="00ED6164" w:rsidRDefault="0099399A" w:rsidP="00ED6164">
      <w:pPr>
        <w:spacing w:line="360" w:lineRule="auto"/>
        <w:jc w:val="both"/>
        <w:rPr>
          <w:rFonts w:ascii="Times New Roman" w:hAnsi="Times New Roman" w:cs="Times New Roman"/>
          <w:sz w:val="24"/>
          <w:szCs w:val="24"/>
        </w:rPr>
      </w:pPr>
      <w:r w:rsidRPr="00ED6164">
        <w:rPr>
          <w:rFonts w:ascii="Times New Roman" w:hAnsi="Times New Roman" w:cs="Times New Roman"/>
          <w:sz w:val="24"/>
          <w:szCs w:val="24"/>
        </w:rPr>
        <w:t>The distribution of the licensed installed power according to organizations is shown in Figure 1.13. The share of EÜAŞ Power Plants in total installed power decreased to 22.23% in 2018, while it was 24.40% in 2017. On the other hand, the share of the power plants operating within the scope of the existing contracts in total installed power increased from 11.40% in 2017 to 13.04% in 2018. The share of free production companies operating in free market conditions increased from 64.20% in 2017 to 64.73% in 2018.</w:t>
      </w:r>
    </w:p>
    <w:p w:rsidR="0099399A" w:rsidRPr="00422D1D" w:rsidRDefault="0099399A" w:rsidP="00264A67">
      <w:pPr>
        <w:pStyle w:val="Balk2"/>
      </w:pPr>
      <w:bookmarkStart w:id="238" w:name="_Ref402771265"/>
      <w:bookmarkStart w:id="239" w:name="_Toc432165732"/>
      <w:bookmarkStart w:id="240" w:name="_Toc450306999"/>
      <w:bookmarkStart w:id="241" w:name="_Toc450307110"/>
      <w:bookmarkStart w:id="242" w:name="_Toc450307916"/>
      <w:bookmarkStart w:id="243" w:name="_Toc494988622"/>
      <w:bookmarkStart w:id="244" w:name="_Toc520822090"/>
      <w:bookmarkStart w:id="245" w:name="_Toc10123827"/>
      <w:bookmarkStart w:id="246" w:name="_Toc12459112"/>
      <w:bookmarkStart w:id="247" w:name="_Toc12526202"/>
      <w:bookmarkStart w:id="248" w:name="_Toc12535857"/>
      <w:r w:rsidRPr="00422D1D">
        <w:lastRenderedPageBreak/>
        <w:t>Figure 1.</w:t>
      </w:r>
      <w:bookmarkEnd w:id="238"/>
      <w:r w:rsidRPr="00422D1D">
        <w:t xml:space="preserve">13: Distribution of Licensed Installed Capacity by </w:t>
      </w:r>
      <w:r w:rsidR="00264A67">
        <w:t>Organizations at the End of 2018</w:t>
      </w:r>
      <w:r w:rsidRPr="00422D1D">
        <w:t xml:space="preserve"> (%)</w:t>
      </w:r>
      <w:bookmarkEnd w:id="239"/>
      <w:bookmarkEnd w:id="240"/>
      <w:bookmarkEnd w:id="241"/>
      <w:bookmarkEnd w:id="242"/>
      <w:bookmarkEnd w:id="243"/>
      <w:bookmarkEnd w:id="244"/>
      <w:bookmarkEnd w:id="245"/>
      <w:bookmarkEnd w:id="246"/>
      <w:bookmarkEnd w:id="247"/>
      <w:bookmarkEnd w:id="248"/>
    </w:p>
    <w:p w:rsidR="0099399A" w:rsidRPr="00422D1D" w:rsidRDefault="0099399A" w:rsidP="0099399A">
      <w:pPr>
        <w:tabs>
          <w:tab w:val="left" w:pos="7350"/>
        </w:tabs>
        <w:jc w:val="both"/>
        <w:rPr>
          <w:rFonts w:ascii="Times New Roman" w:hAnsi="Times New Roman" w:cs="Times New Roman"/>
        </w:rPr>
      </w:pPr>
      <w:r w:rsidRPr="00422D1D">
        <w:rPr>
          <w:rFonts w:ascii="Times New Roman" w:hAnsi="Times New Roman" w:cs="Times New Roman"/>
          <w:noProof/>
          <w:lang w:bidi="ar-SA"/>
        </w:rPr>
        <w:drawing>
          <wp:inline distT="0" distB="0" distL="0" distR="0" wp14:anchorId="6E442CDC" wp14:editId="4879F7F2">
            <wp:extent cx="5362576" cy="3276600"/>
            <wp:effectExtent l="0" t="0" r="9525" b="19050"/>
            <wp:docPr id="56" name="Grafik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9399A" w:rsidRPr="00422D1D" w:rsidRDefault="0099399A" w:rsidP="0099399A">
      <w:pPr>
        <w:jc w:val="both"/>
        <w:rPr>
          <w:rFonts w:ascii="Times New Roman" w:hAnsi="Times New Roman" w:cs="Times New Roman"/>
        </w:rPr>
      </w:pPr>
    </w:p>
    <w:p w:rsidR="0099399A" w:rsidRPr="00ED6164" w:rsidRDefault="0099399A" w:rsidP="00ED6164">
      <w:pPr>
        <w:spacing w:line="360" w:lineRule="auto"/>
        <w:jc w:val="both"/>
        <w:rPr>
          <w:rFonts w:ascii="Times New Roman" w:hAnsi="Times New Roman" w:cs="Times New Roman"/>
          <w:sz w:val="24"/>
          <w:szCs w:val="24"/>
        </w:rPr>
      </w:pPr>
      <w:r w:rsidRPr="00ED6164">
        <w:rPr>
          <w:rFonts w:ascii="Times New Roman" w:hAnsi="Times New Roman" w:cs="Times New Roman"/>
          <w:sz w:val="24"/>
          <w:szCs w:val="24"/>
        </w:rPr>
        <w:t>The development of the licensed installed capacity since 1990 is given in Figure 1.14. As can be seen from the figure, the share of geothermal, wind, solar and biomass resources in the installed power increased each year.</w:t>
      </w:r>
    </w:p>
    <w:p w:rsidR="0099399A" w:rsidRPr="00422D1D" w:rsidRDefault="0099399A" w:rsidP="0099399A">
      <w:pPr>
        <w:tabs>
          <w:tab w:val="left" w:pos="1702"/>
        </w:tabs>
        <w:jc w:val="both"/>
        <w:rPr>
          <w:rFonts w:ascii="Times New Roman" w:hAnsi="Times New Roman" w:cs="Times New Roman"/>
        </w:rPr>
      </w:pPr>
    </w:p>
    <w:p w:rsidR="0099399A" w:rsidRPr="00422D1D" w:rsidRDefault="0099399A" w:rsidP="0099731C">
      <w:pPr>
        <w:pStyle w:val="Balk2"/>
      </w:pPr>
      <w:bookmarkStart w:id="249" w:name="_Toc12459113"/>
      <w:bookmarkStart w:id="250" w:name="_Toc12526203"/>
      <w:bookmarkStart w:id="251" w:name="_Toc12535858"/>
      <w:r w:rsidRPr="00422D1D">
        <w:t xml:space="preserve">Figure 1.14: The Development of Licensed Installed </w:t>
      </w:r>
      <w:r w:rsidR="00EF6520">
        <w:t>Capacity</w:t>
      </w:r>
      <w:r w:rsidRPr="00422D1D">
        <w:t xml:space="preserve"> </w:t>
      </w:r>
      <w:r w:rsidR="00EF6520" w:rsidRPr="00EF6520">
        <w:t xml:space="preserve">According to Source by Years </w:t>
      </w:r>
      <w:r w:rsidRPr="00422D1D">
        <w:t>(MW)</w:t>
      </w:r>
      <w:bookmarkEnd w:id="249"/>
      <w:bookmarkEnd w:id="250"/>
      <w:bookmarkEnd w:id="251"/>
    </w:p>
    <w:p w:rsidR="0099399A" w:rsidRPr="00422D1D" w:rsidRDefault="0099399A" w:rsidP="00264A67">
      <w:pPr>
        <w:pStyle w:val="AralkYok"/>
        <w:spacing w:after="200"/>
        <w:jc w:val="both"/>
        <w:rPr>
          <w:rFonts w:cs="Times New Roman"/>
        </w:rPr>
      </w:pPr>
      <w:r w:rsidRPr="00422D1D">
        <w:rPr>
          <w:rFonts w:cs="Times New Roman"/>
          <w:noProof/>
          <w:lang w:bidi="ar-SA"/>
        </w:rPr>
        <w:drawing>
          <wp:inline distT="0" distB="0" distL="0" distR="0" wp14:anchorId="0A29DAB4" wp14:editId="02B7F26D">
            <wp:extent cx="5800725" cy="3238500"/>
            <wp:effectExtent l="0" t="0" r="9525" b="19050"/>
            <wp:docPr id="57" name="Grafik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9399A" w:rsidRPr="00ED6164" w:rsidRDefault="0099399A" w:rsidP="00264A67">
      <w:pPr>
        <w:spacing w:line="360" w:lineRule="auto"/>
        <w:jc w:val="both"/>
        <w:rPr>
          <w:rFonts w:ascii="Times New Roman" w:hAnsi="Times New Roman" w:cs="Times New Roman"/>
          <w:sz w:val="24"/>
          <w:szCs w:val="24"/>
        </w:rPr>
      </w:pPr>
      <w:r w:rsidRPr="00ED6164">
        <w:rPr>
          <w:rFonts w:ascii="Times New Roman" w:hAnsi="Times New Roman" w:cs="Times New Roman"/>
          <w:sz w:val="24"/>
          <w:szCs w:val="24"/>
        </w:rPr>
        <w:lastRenderedPageBreak/>
        <w:t>Similar to Figure 1.14, the development of the shares of licensed power resources since 1990 is also included in Figure 1.15.</w:t>
      </w:r>
    </w:p>
    <w:p w:rsidR="0099399A" w:rsidRPr="00264A67" w:rsidRDefault="0099399A" w:rsidP="00264A67">
      <w:pPr>
        <w:pStyle w:val="Balk2"/>
      </w:pPr>
      <w:bookmarkStart w:id="252" w:name="_Toc10123828"/>
      <w:bookmarkStart w:id="253" w:name="_Toc12459114"/>
      <w:bookmarkStart w:id="254" w:name="_Toc12526204"/>
      <w:bookmarkStart w:id="255" w:name="_Toc12535859"/>
      <w:r w:rsidRPr="00264A67">
        <w:t xml:space="preserve">Figure 1.15: </w:t>
      </w:r>
      <w:r w:rsidR="008217C1">
        <w:t xml:space="preserve">The </w:t>
      </w:r>
      <w:r w:rsidRPr="00264A67">
        <w:t xml:space="preserve">Development of </w:t>
      </w:r>
      <w:r w:rsidR="008217C1">
        <w:t>the Share</w:t>
      </w:r>
      <w:r w:rsidRPr="00264A67">
        <w:t xml:space="preserve"> of </w:t>
      </w:r>
      <w:r w:rsidR="008217C1">
        <w:t>the Sources within the Installed Capacity</w:t>
      </w:r>
      <w:r w:rsidRPr="00264A67">
        <w:t xml:space="preserve"> by Years (%)</w:t>
      </w:r>
      <w:bookmarkEnd w:id="252"/>
      <w:bookmarkEnd w:id="253"/>
      <w:bookmarkEnd w:id="254"/>
      <w:bookmarkEnd w:id="255"/>
    </w:p>
    <w:p w:rsidR="0099399A" w:rsidRPr="00422D1D" w:rsidRDefault="0099399A" w:rsidP="0099399A">
      <w:pPr>
        <w:pStyle w:val="AralkYok"/>
        <w:spacing w:after="200"/>
        <w:jc w:val="both"/>
        <w:rPr>
          <w:rFonts w:cs="Times New Roman"/>
        </w:rPr>
      </w:pPr>
      <w:r w:rsidRPr="00422D1D">
        <w:rPr>
          <w:rFonts w:cs="Times New Roman"/>
          <w:noProof/>
          <w:lang w:bidi="ar-SA"/>
        </w:rPr>
        <w:drawing>
          <wp:inline distT="0" distB="0" distL="0" distR="0" wp14:anchorId="65DBFA90" wp14:editId="432864A5">
            <wp:extent cx="5972810" cy="2917825"/>
            <wp:effectExtent l="0" t="0" r="8890" b="15875"/>
            <wp:docPr id="58" name="Grafik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9399A" w:rsidRPr="00422D1D" w:rsidRDefault="0099399A" w:rsidP="0099399A">
      <w:pPr>
        <w:pStyle w:val="AralkYok"/>
        <w:spacing w:after="200"/>
        <w:jc w:val="both"/>
        <w:rPr>
          <w:rFonts w:cs="Times New Roman"/>
        </w:rPr>
      </w:pPr>
    </w:p>
    <w:p w:rsidR="0099399A" w:rsidRPr="00ED6164" w:rsidRDefault="0099399A" w:rsidP="00264A67">
      <w:pPr>
        <w:spacing w:line="360" w:lineRule="auto"/>
        <w:jc w:val="both"/>
        <w:rPr>
          <w:rFonts w:ascii="Times New Roman" w:hAnsi="Times New Roman" w:cs="Times New Roman"/>
          <w:sz w:val="24"/>
          <w:szCs w:val="24"/>
        </w:rPr>
      </w:pPr>
      <w:r w:rsidRPr="00ED6164">
        <w:rPr>
          <w:rFonts w:ascii="Times New Roman" w:hAnsi="Times New Roman" w:cs="Times New Roman"/>
          <w:sz w:val="24"/>
          <w:szCs w:val="24"/>
        </w:rPr>
        <w:t>Distribution of licensed installed capacity by province is shown in Table 1.3. The provinces with the highest installed power in 2018 were İzmir, Kahramanmaraş, Çanakkale, Samsun, Adana, and Şanlıurfa, respectively, and Çankırı, Ağrı, Niğde, Iğdır and Bayburt were the provinces with the lowest installed power.</w:t>
      </w:r>
    </w:p>
    <w:p w:rsidR="0099399A" w:rsidRPr="00422D1D" w:rsidRDefault="0099399A" w:rsidP="00264A67">
      <w:pPr>
        <w:pStyle w:val="Balk1"/>
      </w:pPr>
      <w:bookmarkStart w:id="256" w:name="_Toc10123829"/>
      <w:bookmarkStart w:id="257" w:name="_Toc10191419"/>
      <w:bookmarkStart w:id="258" w:name="_Toc12459115"/>
      <w:bookmarkStart w:id="259" w:name="_Toc12526205"/>
      <w:r w:rsidRPr="00422D1D">
        <w:t xml:space="preserve">Table 1.3 Distribution of Licensed Installed </w:t>
      </w:r>
      <w:r w:rsidR="008217C1">
        <w:t>Capacity</w:t>
      </w:r>
      <w:r w:rsidRPr="00422D1D">
        <w:t xml:space="preserve"> by Province (MW-%)</w:t>
      </w:r>
      <w:bookmarkEnd w:id="256"/>
      <w:bookmarkEnd w:id="257"/>
      <w:bookmarkEnd w:id="258"/>
      <w:bookmarkEnd w:id="259"/>
    </w:p>
    <w:tbl>
      <w:tblPr>
        <w:tblW w:w="9371" w:type="dxa"/>
        <w:jc w:val="center"/>
        <w:tblCellMar>
          <w:left w:w="70" w:type="dxa"/>
          <w:right w:w="70" w:type="dxa"/>
        </w:tblCellMar>
        <w:tblLook w:val="04A0" w:firstRow="1" w:lastRow="0" w:firstColumn="1" w:lastColumn="0" w:noHBand="0" w:noVBand="1"/>
      </w:tblPr>
      <w:tblGrid>
        <w:gridCol w:w="2219"/>
        <w:gridCol w:w="1726"/>
        <w:gridCol w:w="1101"/>
        <w:gridCol w:w="2182"/>
        <w:gridCol w:w="1679"/>
        <w:gridCol w:w="960"/>
      </w:tblGrid>
      <w:tr w:rsidR="0099399A" w:rsidRPr="00422D1D" w:rsidTr="00264A67">
        <w:trPr>
          <w:trHeight w:val="315"/>
          <w:tblHeader/>
          <w:jc w:val="center"/>
        </w:trPr>
        <w:tc>
          <w:tcPr>
            <w:tcW w:w="186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9399A" w:rsidRPr="00422D1D" w:rsidRDefault="0099399A" w:rsidP="00BA74EA">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PROVINCE</w:t>
            </w:r>
          </w:p>
        </w:tc>
        <w:tc>
          <w:tcPr>
            <w:tcW w:w="1726"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BA74EA">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Inst. Cap.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BA74EA">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Share (%)</w:t>
            </w:r>
          </w:p>
        </w:tc>
        <w:tc>
          <w:tcPr>
            <w:tcW w:w="2042"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BA74EA">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PROVINCE</w:t>
            </w:r>
          </w:p>
        </w:tc>
        <w:tc>
          <w:tcPr>
            <w:tcW w:w="1679"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BA74EA">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Inst. Cap.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99399A" w:rsidRPr="00422D1D" w:rsidRDefault="0099399A" w:rsidP="00BA74EA">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Share (%)</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İZMİR</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4.342,02</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5,22</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TUNCELİ</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419,35</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0,50</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KAHRAMANMARAŞ</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4.319,25</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5,19</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BOLU</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416,14</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0,50</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ÇANAKKALE</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3.963,70</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4,76</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ERZURUM</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410,66</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0,49</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SAMSUN</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3.893,05</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4,68</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ÇORUM</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379,70</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0,46</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ADANA</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3.743,75</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4,50</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SİİRT</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344,49</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0,41</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ŞANLIURFA</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3.429,92</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4,12</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RİZE</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342,94</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0,41</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ZONGULDAK</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3.319,25</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3,99</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KONYA</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329,79</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0,40</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İSTANBUL</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2.980,90</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3,58</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ERZİNCAN</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323,66</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0,39</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lastRenderedPageBreak/>
              <w:t>BALIKESİR</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2.744,13</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3,30</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AMASYA</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300,60</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0,36</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HATAY</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2.730,34</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3,28</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ISPARTA</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290,63</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0,35</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BURSA</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2.586,49</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3,11</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AFYONKARAHİSAR</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273,08</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0,33</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SAKARYA</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2.524,80</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3,04</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YALOVA</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245,38</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0,29</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ANKARA</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2.521,48</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3,03</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ADIYAMAN</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238,87</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0,29</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DİYARBAKIR</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2.253,26</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2,71</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ARDAHAN</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204,55</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0,25</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MANİSA</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2.238,59</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2,69</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MUŞ</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182,66</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0,22</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MUĞLA</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2.205,70</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2,65</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KIRŞEHİR</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179,90</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0,22</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ELAZIĞ</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2.119,95</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2,55</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EDİRNE</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169,99</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0,20</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KOCAELİ</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2.088,95</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2,51</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MARDİN</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161,40</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0,19</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ARTVİN</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1.997,96</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2,40</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KARS</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154,67</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0,19</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KIRIKKALE</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1.954,02</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2,35</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KARABÜK</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146,25</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0,18</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ANTALYA</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1.762,50</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2,12</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KASTAMONU</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138,94</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0,17</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KIRKLARELİ</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1.696,13</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2,04</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DÜZCE</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119,18</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0,14</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DENİZLİ</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1.623,88</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1,95</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BURDUR</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92,47</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0,11</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TEKİRDAĞ</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1.589,20</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1,91</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VAN</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86,72</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0,10</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AYDIN</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1.234,80</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1,48</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BİLECİK</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85,94</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0,10</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KÜTAHYA</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1.069,04</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1,29</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UŞAK</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80,47</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0,10</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OSMANİYE</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1.054,21</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1,27</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MALATYA</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71,36</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0,09</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MERSİN</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874,15</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1,05</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BATMAN</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57,00</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0,07</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SİVAS</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853,51</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1,03</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YOZGAT</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47,90</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0,06</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GİRESUN</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848,99</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1,02</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HAKKARİ</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47,71</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0,06</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BİNGÖL</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812,27</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0,98</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NEVŞEHİR</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40,13</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GÜMÜŞHANE</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656,80</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0,79</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SİNOP</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40,05</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TOKAT</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627,12</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0,75</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BİTLİS</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30,84</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0,04</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KAYSERİ</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604,73</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0,73</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AKSARAY</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28,89</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KARAMAN</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599,52</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0,72</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BARTIN</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26,41</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ŞIRNAK</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577,58</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0,69</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BAYBURT</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25,70</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lastRenderedPageBreak/>
              <w:t>TRABZON</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575,37</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0,69</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IĞDIR</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23,78</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ESKİŞEHİR</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549,25</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0,66</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NİĞDE</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22,33</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GAZİANTEP</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549,11</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0,66</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AĞRI</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9,50</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r>
      <w:tr w:rsidR="0099399A" w:rsidRPr="00422D1D" w:rsidTr="00264A67">
        <w:trPr>
          <w:trHeight w:val="315"/>
          <w:jc w:val="center"/>
        </w:trPr>
        <w:tc>
          <w:tcPr>
            <w:tcW w:w="1863" w:type="dxa"/>
            <w:tcBorders>
              <w:top w:val="nil"/>
              <w:left w:val="single" w:sz="8" w:space="0" w:color="auto"/>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ORDU</w:t>
            </w:r>
          </w:p>
        </w:tc>
        <w:tc>
          <w:tcPr>
            <w:tcW w:w="1726"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478,58</w:t>
            </w:r>
          </w:p>
        </w:tc>
        <w:tc>
          <w:tcPr>
            <w:tcW w:w="1101"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0,58</w:t>
            </w: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ÇANKIRI</w:t>
            </w:r>
          </w:p>
        </w:tc>
        <w:tc>
          <w:tcPr>
            <w:tcW w:w="1679"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2,75</w:t>
            </w:r>
          </w:p>
        </w:tc>
        <w:tc>
          <w:tcPr>
            <w:tcW w:w="960" w:type="dxa"/>
            <w:tcBorders>
              <w:top w:val="nil"/>
              <w:left w:val="nil"/>
              <w:bottom w:val="single" w:sz="8" w:space="0" w:color="auto"/>
              <w:right w:val="single" w:sz="8" w:space="0" w:color="auto"/>
            </w:tcBorders>
            <w:shd w:val="clear" w:color="auto" w:fill="auto"/>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264A67">
        <w:trPr>
          <w:trHeight w:val="315"/>
          <w:jc w:val="center"/>
        </w:trPr>
        <w:tc>
          <w:tcPr>
            <w:tcW w:w="1863" w:type="dxa"/>
            <w:tcBorders>
              <w:top w:val="nil"/>
              <w:left w:val="nil"/>
              <w:bottom w:val="nil"/>
              <w:right w:val="nil"/>
            </w:tcBorders>
            <w:shd w:val="clear" w:color="auto" w:fill="auto"/>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p>
        </w:tc>
        <w:tc>
          <w:tcPr>
            <w:tcW w:w="1726" w:type="dxa"/>
            <w:tcBorders>
              <w:top w:val="nil"/>
              <w:left w:val="nil"/>
              <w:bottom w:val="nil"/>
              <w:right w:val="nil"/>
            </w:tcBorders>
            <w:shd w:val="clear" w:color="auto" w:fill="auto"/>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p>
        </w:tc>
        <w:tc>
          <w:tcPr>
            <w:tcW w:w="1101" w:type="dxa"/>
            <w:tcBorders>
              <w:top w:val="nil"/>
              <w:left w:val="nil"/>
              <w:bottom w:val="nil"/>
              <w:right w:val="nil"/>
            </w:tcBorders>
            <w:shd w:val="clear" w:color="auto" w:fill="auto"/>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p>
        </w:tc>
        <w:tc>
          <w:tcPr>
            <w:tcW w:w="2042"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Grand Total</w:t>
            </w:r>
          </w:p>
        </w:tc>
        <w:tc>
          <w:tcPr>
            <w:tcW w:w="1679"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83.187,05</w:t>
            </w:r>
          </w:p>
        </w:tc>
        <w:tc>
          <w:tcPr>
            <w:tcW w:w="960" w:type="dxa"/>
            <w:tcBorders>
              <w:top w:val="nil"/>
              <w:left w:val="nil"/>
              <w:bottom w:val="single" w:sz="8" w:space="0" w:color="auto"/>
              <w:right w:val="single" w:sz="8" w:space="0" w:color="auto"/>
            </w:tcBorders>
            <w:shd w:val="clear" w:color="000000"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r>
    </w:tbl>
    <w:p w:rsidR="0099399A" w:rsidRPr="00422D1D" w:rsidRDefault="0099399A" w:rsidP="0099399A">
      <w:pPr>
        <w:pStyle w:val="AralkYok"/>
        <w:spacing w:after="200"/>
        <w:jc w:val="both"/>
        <w:rPr>
          <w:rFonts w:cs="Times New Roman"/>
        </w:rPr>
      </w:pPr>
    </w:p>
    <w:p w:rsidR="0099399A" w:rsidRPr="00422D1D" w:rsidRDefault="0099399A" w:rsidP="00264A67">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Figure 1.16 shows the shares of the first 10 companies that had the highest share of licensed installed capacity at the end of 2018.  As can be seen from the figure, first 10 companies EÜAŞ, Enerjisa Enerji Üretim A.Ş. , Eren Enerji Elektrik Üretim A.Ş. , Gebze Elektrik Üretim Ltd.Şti., İzmir Elektrik Üretim Ltd.Şti., Afşin Elbistan Elektrik Üretim ve Ticaret A.Ş.  Cenal Elektrik Üretim A.Ş.,  İskenderun Enerji Üretim Ve Ticaret A.Ş. , Hamitabat Elektrik Üretim Ve Ticaret A.Ş. ve Atlas Enerji Üretim Sanayi A.Ş. respectively.</w:t>
      </w:r>
    </w:p>
    <w:p w:rsidR="0099399A" w:rsidRPr="00422D1D" w:rsidRDefault="0099399A" w:rsidP="0099399A">
      <w:pPr>
        <w:pStyle w:val="Balk6"/>
        <w:spacing w:before="0" w:after="200"/>
        <w:jc w:val="both"/>
        <w:rPr>
          <w:rFonts w:ascii="Times New Roman" w:hAnsi="Times New Roman" w:cs="Times New Roman"/>
        </w:rPr>
      </w:pPr>
      <w:bookmarkStart w:id="260" w:name="_Toc494988626"/>
    </w:p>
    <w:p w:rsidR="0099399A" w:rsidRPr="00422D1D" w:rsidRDefault="00B25F9A" w:rsidP="00264A67">
      <w:pPr>
        <w:pStyle w:val="Balk2"/>
      </w:pPr>
      <w:bookmarkStart w:id="261" w:name="_Toc520822094"/>
      <w:bookmarkStart w:id="262" w:name="_Toc10123830"/>
      <w:bookmarkStart w:id="263" w:name="_Toc12526206"/>
      <w:bookmarkStart w:id="264" w:name="_Toc12535860"/>
      <w:r>
        <w:t>Figure 1.16</w:t>
      </w:r>
      <w:r w:rsidR="0099399A" w:rsidRPr="00422D1D">
        <w:t>: The Share of the First 10 Companies in Insta</w:t>
      </w:r>
      <w:r w:rsidR="00264A67">
        <w:t>lled Capacity at the End of 2018</w:t>
      </w:r>
      <w:r w:rsidR="0099399A" w:rsidRPr="00422D1D">
        <w:t xml:space="preserve"> (%)</w:t>
      </w:r>
      <w:bookmarkEnd w:id="260"/>
      <w:bookmarkEnd w:id="261"/>
      <w:bookmarkEnd w:id="262"/>
      <w:bookmarkEnd w:id="263"/>
      <w:bookmarkEnd w:id="264"/>
    </w:p>
    <w:p w:rsidR="0099399A" w:rsidRPr="00422D1D" w:rsidRDefault="0099399A" w:rsidP="0099399A">
      <w:pPr>
        <w:pStyle w:val="AralkYok"/>
        <w:spacing w:after="200"/>
        <w:jc w:val="both"/>
        <w:rPr>
          <w:rFonts w:cs="Times New Roman"/>
        </w:rPr>
      </w:pPr>
    </w:p>
    <w:p w:rsidR="0099399A" w:rsidRPr="00264A67" w:rsidRDefault="0099399A" w:rsidP="00264A67">
      <w:pPr>
        <w:jc w:val="center"/>
        <w:rPr>
          <w:rFonts w:ascii="Times New Roman" w:hAnsi="Times New Roman" w:cs="Times New Roman"/>
        </w:rPr>
      </w:pPr>
      <w:r w:rsidRPr="00422D1D">
        <w:rPr>
          <w:rFonts w:ascii="Times New Roman" w:hAnsi="Times New Roman" w:cs="Times New Roman"/>
          <w:noProof/>
          <w:lang w:bidi="ar-SA"/>
        </w:rPr>
        <w:drawing>
          <wp:inline distT="0" distB="0" distL="0" distR="0" wp14:anchorId="7FA9E1DC" wp14:editId="334A9F8C">
            <wp:extent cx="5972175" cy="3971925"/>
            <wp:effectExtent l="38100" t="0" r="9525" b="9525"/>
            <wp:docPr id="59" name="Grafik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9399A" w:rsidRPr="00944835" w:rsidRDefault="0099399A" w:rsidP="00944835">
      <w:pPr>
        <w:pStyle w:val="11ilebalayanlar"/>
      </w:pPr>
      <w:bookmarkStart w:id="265" w:name="_Toc12528936"/>
      <w:r w:rsidRPr="00944835">
        <w:lastRenderedPageBreak/>
        <w:t xml:space="preserve">1.3.1 </w:t>
      </w:r>
      <w:r w:rsidRPr="00944835">
        <w:rPr>
          <w:rStyle w:val="11ilebalayanlarChar"/>
          <w:b/>
        </w:rPr>
        <w:t>Capacity Mechanism</w:t>
      </w:r>
      <w:bookmarkEnd w:id="265"/>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In the Official Gazette dated 20.01.2018 and numbered 30307, ​​Electricity Market Capacity Mechanism Regulation was published and entered into force. With this Regulation, it is aimed to establish a capacity mechanism to be operated by TEİAŞ in order to establish an adequate installed power capacity, including the reserve capacity required for supply security</w:t>
      </w:r>
      <w:r w:rsidR="008217C1">
        <w:rPr>
          <w:rFonts w:ascii="Times New Roman" w:hAnsi="Times New Roman" w:cs="Times New Roman"/>
          <w:sz w:val="24"/>
          <w:szCs w:val="24"/>
        </w:rPr>
        <w:t xml:space="preserve"> in the electricity market, and/</w:t>
      </w:r>
      <w:r w:rsidRPr="00264A67">
        <w:rPr>
          <w:rFonts w:ascii="Times New Roman" w:hAnsi="Times New Roman" w:cs="Times New Roman"/>
          <w:sz w:val="24"/>
          <w:szCs w:val="24"/>
        </w:rPr>
        <w:t>or to maintain a reliable installed power capacity for long-term system security.</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System Operator TEİAŞ is making capacity payments to the legal entities holding production licenses within the budget determined annually for the establishment and / or maintenance of sufficient installed capacity, including the reserve capacity required for supply security in the electricity market.</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Capacity payments to production facilities included in the capacity mechanism are determined based on unit fixed cost components and parameters. The budget in an invoicing period based on capacity payments is distributed on the basis of source type at the capacity payment rate determined for each resource type.</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In the next calendar year, the power plant owner who wants to take advantage of the capacity mechanism shall apply to the System Operator at the latest until the fifteenth day of October for each power plant. The application form prepared by the System Operator during the application and the documents proving that the production facilities have the necessary conditions to benefit from the capacity mechanism shall be submitted to the System Operator. System Operator shall evaluate the applications made and evaluate the facilities that will benefit from the capacity mechanism in the next calendar year at the latest day of October and inform the Authority.</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(2) Power plants with at least one of the following criteria are not included in the capacity mechanism:</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a) Power plants in which the public share exceeds fifty percent;</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b) Power plants which have a construction and construction operation transfer agreement and which have been operating / found within the scope of these agreements,</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 xml:space="preserve">c) The plants established by winning the privatization tender within the scope of the fifth paragraph of Article 18 of the Law entitled </w:t>
      </w:r>
      <w:r w:rsidR="00D21485">
        <w:rPr>
          <w:rFonts w:ascii="Times New Roman" w:hAnsi="Times New Roman" w:cs="Times New Roman"/>
          <w:sz w:val="24"/>
          <w:szCs w:val="24"/>
        </w:rPr>
        <w:t>Privatization</w:t>
      </w:r>
      <w:r w:rsidRPr="00264A67">
        <w:rPr>
          <w:rFonts w:ascii="Times New Roman" w:hAnsi="Times New Roman" w:cs="Times New Roman"/>
          <w:sz w:val="24"/>
          <w:szCs w:val="24"/>
        </w:rPr>
        <w:t>,</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ç) Nuclear power generation plants established under international conventions,</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lastRenderedPageBreak/>
        <w:t>d) Power plants that have benefited from or benefit from</w:t>
      </w:r>
      <w:r w:rsidRPr="00D873FC">
        <w:rPr>
          <w:rFonts w:ascii="Times New Roman" w:hAnsi="Times New Roman" w:cs="Times New Roman"/>
          <w:color w:val="FF0000"/>
          <w:sz w:val="24"/>
          <w:szCs w:val="24"/>
        </w:rPr>
        <w:t xml:space="preserve"> </w:t>
      </w:r>
      <w:r w:rsidR="00944835">
        <w:rPr>
          <w:rFonts w:ascii="Times New Roman" w:hAnsi="Times New Roman" w:cs="Times New Roman"/>
          <w:sz w:val="24"/>
          <w:szCs w:val="24"/>
        </w:rPr>
        <w:t>RESSUM</w:t>
      </w:r>
      <w:r w:rsidRPr="00D873FC">
        <w:rPr>
          <w:rFonts w:ascii="Times New Roman" w:hAnsi="Times New Roman" w:cs="Times New Roman"/>
          <w:color w:val="FF0000"/>
          <w:sz w:val="24"/>
          <w:szCs w:val="24"/>
        </w:rPr>
        <w:t xml:space="preserve"> </w:t>
      </w:r>
      <w:r w:rsidRPr="00264A67">
        <w:rPr>
          <w:rFonts w:ascii="Times New Roman" w:hAnsi="Times New Roman" w:cs="Times New Roman"/>
          <w:sz w:val="24"/>
          <w:szCs w:val="24"/>
        </w:rPr>
        <w:t>at any time, even if they have completed their incentive periods,</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e) Power plants being privatized after the effective date of this Regulation,</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f) Power plants with electricity installed capacity less than 50 MWe for power plants based on domestic sources and below 100 MWe for other power plants,</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g) Power plants based on domestic sources not more than 13 years old, calculated from the provisional acceptance date of the oldest unit of temporary acceptance date, existing and in operation;</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ğ) Non-domestic sources, where the efficiency rate is less than 50% in the results of repeated acceptance by applying to the Ministry or by applying to the Ministry, the efficiency ratio is less than 50% (in the calculation of the efficiency condition of natural gas power plants, the upper thermal value of the natural gas is calculated as 9.155 kCal / m3),</w:t>
      </w:r>
    </w:p>
    <w:p w:rsidR="0099399A" w:rsidRPr="00264A67" w:rsidRDefault="0099399A" w:rsidP="00264A67">
      <w:pPr>
        <w:spacing w:line="360" w:lineRule="auto"/>
        <w:jc w:val="both"/>
        <w:rPr>
          <w:rFonts w:ascii="Times New Roman" w:hAnsi="Times New Roman" w:cs="Times New Roman"/>
          <w:sz w:val="24"/>
          <w:szCs w:val="24"/>
        </w:rPr>
      </w:pPr>
      <w:r w:rsidRPr="00264A67">
        <w:rPr>
          <w:rFonts w:ascii="Times New Roman" w:hAnsi="Times New Roman" w:cs="Times New Roman"/>
          <w:sz w:val="24"/>
          <w:szCs w:val="24"/>
        </w:rPr>
        <w:t>h) Wind and solar based power plants</w:t>
      </w:r>
    </w:p>
    <w:p w:rsidR="0099399A" w:rsidRPr="00422D1D" w:rsidRDefault="0099399A" w:rsidP="00264A67">
      <w:pPr>
        <w:spacing w:line="360" w:lineRule="auto"/>
        <w:jc w:val="both"/>
        <w:rPr>
          <w:rFonts w:ascii="Times New Roman" w:hAnsi="Times New Roman" w:cs="Times New Roman"/>
          <w:color w:val="FF0000"/>
        </w:rPr>
      </w:pPr>
    </w:p>
    <w:p w:rsidR="0099399A" w:rsidRPr="00B572B4" w:rsidRDefault="00B572B4" w:rsidP="00B572B4">
      <w:pPr>
        <w:pStyle w:val="11ilebalayanlar"/>
      </w:pPr>
      <w:bookmarkStart w:id="266" w:name="_Toc432164543"/>
      <w:bookmarkStart w:id="267" w:name="_Toc520822003"/>
      <w:bookmarkStart w:id="268" w:name="_Toc12528937"/>
      <w:r w:rsidRPr="00B572B4">
        <w:t xml:space="preserve">1.4 </w:t>
      </w:r>
      <w:r w:rsidR="0099399A" w:rsidRPr="00B572B4">
        <w:t>Unlicensed Generation</w:t>
      </w:r>
      <w:bookmarkEnd w:id="267"/>
      <w:bookmarkEnd w:id="268"/>
    </w:p>
    <w:p w:rsidR="00D21485" w:rsidRPr="00422D1D" w:rsidRDefault="00D21485" w:rsidP="00D21485">
      <w:pPr>
        <w:pStyle w:val="BALIKLAR"/>
        <w:ind w:left="360"/>
      </w:pPr>
    </w:p>
    <w:p w:rsidR="0099399A" w:rsidRPr="00264A67" w:rsidRDefault="0099399A" w:rsidP="003E70AB">
      <w:bookmarkStart w:id="269" w:name="_Toc10123833"/>
      <w:bookmarkStart w:id="270" w:name="_Toc12526209"/>
      <w:bookmarkEnd w:id="266"/>
      <w:r w:rsidRPr="00264A67">
        <w:rPr>
          <w:rFonts w:eastAsiaTheme="minorEastAsia"/>
        </w:rPr>
        <w:t>In the first sub clause of Article 14 of the Electricity Market Law No. 6446, the production facilities exempted from the license to install and establish a company are as follows;</w:t>
      </w:r>
      <w:bookmarkEnd w:id="269"/>
      <w:bookmarkEnd w:id="270"/>
    </w:p>
    <w:p w:rsidR="0099399A" w:rsidRPr="00AB5D27" w:rsidRDefault="0099399A" w:rsidP="00264A67">
      <w:pPr>
        <w:tabs>
          <w:tab w:val="left" w:pos="566"/>
        </w:tabs>
        <w:spacing w:line="360" w:lineRule="auto"/>
        <w:jc w:val="both"/>
        <w:rPr>
          <w:rFonts w:ascii="Times New Roman" w:eastAsia="ヒラギノ明朝 Pro W3" w:hAnsi="Times New Roman" w:cs="Times New Roman"/>
          <w:i/>
          <w:sz w:val="24"/>
          <w:szCs w:val="24"/>
        </w:rPr>
      </w:pPr>
      <w:r w:rsidRPr="00AB5D27">
        <w:rPr>
          <w:rFonts w:ascii="Times New Roman" w:eastAsiaTheme="minorEastAsia" w:hAnsi="Times New Roman" w:cs="Times New Roman"/>
          <w:sz w:val="24"/>
          <w:szCs w:val="24"/>
        </w:rPr>
        <w:t>“</w:t>
      </w:r>
      <w:r w:rsidRPr="00AB5D27">
        <w:rPr>
          <w:rFonts w:ascii="Times New Roman" w:eastAsia="ヒラギノ明朝 Pro W3" w:hAnsi="Times New Roman" w:cs="Times New Roman"/>
          <w:i/>
          <w:sz w:val="24"/>
          <w:szCs w:val="24"/>
        </w:rPr>
        <w:t>a) Generation facilities not connected to emergency generator groups or transmission or distribution systems</w:t>
      </w:r>
    </w:p>
    <w:p w:rsidR="0099399A" w:rsidRPr="00AB5D27" w:rsidRDefault="0099399A" w:rsidP="00264A67">
      <w:pPr>
        <w:tabs>
          <w:tab w:val="left" w:pos="566"/>
        </w:tabs>
        <w:spacing w:line="360" w:lineRule="auto"/>
        <w:jc w:val="both"/>
        <w:rPr>
          <w:rFonts w:ascii="Times New Roman" w:eastAsia="ヒラギノ明朝 Pro W3" w:hAnsi="Times New Roman" w:cs="Times New Roman"/>
          <w:i/>
          <w:sz w:val="24"/>
          <w:szCs w:val="24"/>
        </w:rPr>
      </w:pPr>
      <w:r w:rsidRPr="00AB5D27">
        <w:rPr>
          <w:rFonts w:ascii="Times New Roman" w:eastAsia="ヒラギノ明朝 Pro W3" w:hAnsi="Times New Roman" w:cs="Times New Roman"/>
          <w:i/>
          <w:sz w:val="24"/>
          <w:szCs w:val="24"/>
        </w:rPr>
        <w:t xml:space="preserve">b) Generation facilities with the installed power based on maximum one-megawatt renewable energy sources </w:t>
      </w:r>
    </w:p>
    <w:p w:rsidR="0099399A" w:rsidRPr="00AB5D27" w:rsidRDefault="0099399A" w:rsidP="00264A67">
      <w:pPr>
        <w:tabs>
          <w:tab w:val="left" w:pos="566"/>
        </w:tabs>
        <w:spacing w:line="360" w:lineRule="auto"/>
        <w:jc w:val="both"/>
        <w:rPr>
          <w:rFonts w:ascii="Times New Roman" w:eastAsia="ヒラギノ明朝 Pro W3" w:hAnsi="Times New Roman" w:cs="Times New Roman"/>
          <w:i/>
          <w:sz w:val="24"/>
          <w:szCs w:val="24"/>
        </w:rPr>
      </w:pPr>
      <w:r w:rsidRPr="00AB5D27">
        <w:rPr>
          <w:rFonts w:ascii="Times New Roman" w:eastAsia="ヒラギノ明朝 Pro W3" w:hAnsi="Times New Roman" w:cs="Times New Roman"/>
          <w:i/>
          <w:sz w:val="24"/>
          <w:szCs w:val="24"/>
        </w:rPr>
        <w:t>c) Electricity generation facilities of municipalities installed to dispose the sludge of solid waste facilities and of treatment plants</w:t>
      </w:r>
    </w:p>
    <w:p w:rsidR="0099399A" w:rsidRPr="00AB5D27" w:rsidRDefault="0099399A" w:rsidP="00264A67">
      <w:pPr>
        <w:tabs>
          <w:tab w:val="left" w:pos="566"/>
        </w:tabs>
        <w:spacing w:line="360" w:lineRule="auto"/>
        <w:jc w:val="both"/>
        <w:rPr>
          <w:rFonts w:ascii="Times New Roman" w:eastAsia="ヒラギノ明朝 Pro W3" w:hAnsi="Times New Roman" w:cs="Times New Roman"/>
          <w:i/>
          <w:sz w:val="24"/>
          <w:szCs w:val="24"/>
        </w:rPr>
      </w:pPr>
      <w:r w:rsidRPr="00AB5D27">
        <w:rPr>
          <w:rFonts w:ascii="Times New Roman" w:eastAsia="ヒラギノ明朝 Pro W3" w:hAnsi="Times New Roman" w:cs="Times New Roman"/>
          <w:i/>
          <w:sz w:val="24"/>
          <w:szCs w:val="24"/>
        </w:rPr>
        <w:t>d) Those of micro-cogeneration facilities and cogeneration facilities having the productivity value to be determined by the Ministry, and in the category to be determined by the Board</w:t>
      </w:r>
    </w:p>
    <w:p w:rsidR="0099399A" w:rsidRPr="00264A67" w:rsidRDefault="0099399A" w:rsidP="00264A67">
      <w:pPr>
        <w:spacing w:line="360" w:lineRule="auto"/>
        <w:jc w:val="both"/>
        <w:rPr>
          <w:rFonts w:ascii="Times New Roman" w:hAnsi="Times New Roman" w:cs="Times New Roman"/>
          <w:i/>
          <w:sz w:val="24"/>
          <w:szCs w:val="24"/>
        </w:rPr>
      </w:pPr>
      <w:r w:rsidRPr="00264A67">
        <w:rPr>
          <w:rFonts w:ascii="Times New Roman" w:hAnsi="Times New Roman" w:cs="Times New Roman"/>
          <w:i/>
          <w:sz w:val="24"/>
          <w:szCs w:val="24"/>
        </w:rPr>
        <w:t xml:space="preserve">e) (Attachment: 21/3 / 2018-7103 / 84 </w:t>
      </w:r>
      <w:r w:rsidR="00D873FC">
        <w:rPr>
          <w:rFonts w:ascii="Times New Roman" w:hAnsi="Times New Roman" w:cs="Times New Roman"/>
          <w:i/>
          <w:sz w:val="24"/>
          <w:szCs w:val="24"/>
        </w:rPr>
        <w:t>art.</w:t>
      </w:r>
      <w:r w:rsidRPr="00264A67">
        <w:rPr>
          <w:rFonts w:ascii="Times New Roman" w:hAnsi="Times New Roman" w:cs="Times New Roman"/>
          <w:i/>
          <w:sz w:val="24"/>
          <w:szCs w:val="24"/>
        </w:rPr>
        <w:t>) Market activities carried out within the scope of the limits determined by the Board and electricity storage and demand side participation within the framework of the procedures and principles determined by the Ministry.</w:t>
      </w:r>
    </w:p>
    <w:p w:rsidR="0099399A" w:rsidRPr="00264A67" w:rsidRDefault="0099399A" w:rsidP="00264A67">
      <w:pPr>
        <w:spacing w:line="360" w:lineRule="auto"/>
        <w:jc w:val="both"/>
        <w:rPr>
          <w:rFonts w:ascii="Times New Roman" w:hAnsi="Times New Roman" w:cs="Times New Roman"/>
          <w:i/>
          <w:sz w:val="24"/>
          <w:szCs w:val="24"/>
        </w:rPr>
      </w:pPr>
      <w:r w:rsidRPr="00264A67">
        <w:rPr>
          <w:rFonts w:ascii="Times New Roman" w:hAnsi="Times New Roman" w:cs="Times New Roman"/>
          <w:i/>
          <w:sz w:val="24"/>
          <w:szCs w:val="24"/>
        </w:rPr>
        <w:lastRenderedPageBreak/>
        <w:t xml:space="preserve">f) (Attachment: 19/4 / 2018-7139 / 56 </w:t>
      </w:r>
      <w:r w:rsidR="00D873FC">
        <w:rPr>
          <w:rFonts w:ascii="Times New Roman" w:hAnsi="Times New Roman" w:cs="Times New Roman"/>
          <w:i/>
          <w:sz w:val="24"/>
          <w:szCs w:val="24"/>
        </w:rPr>
        <w:t>art</w:t>
      </w:r>
      <w:r w:rsidRPr="00264A67">
        <w:rPr>
          <w:rFonts w:ascii="Times New Roman" w:hAnsi="Times New Roman" w:cs="Times New Roman"/>
          <w:i/>
          <w:sz w:val="24"/>
          <w:szCs w:val="24"/>
        </w:rPr>
        <w:t>.) Electricity subscription In order to meet the electricity needs of the agricultural irrigation facilities owned by the General Directorate of State Hydraulic Works, the contract power of the installed power agricultural irrigation plant is production facility based on renewable energy sources established and operated by the General Directorate of State Hydraulic Works, provided that the total</w:t>
      </w:r>
    </w:p>
    <w:p w:rsidR="0099399A" w:rsidRPr="00AB5D27" w:rsidRDefault="0099399A" w:rsidP="00264A67">
      <w:pPr>
        <w:spacing w:line="360" w:lineRule="auto"/>
        <w:jc w:val="both"/>
        <w:rPr>
          <w:rFonts w:ascii="Times New Roman" w:eastAsiaTheme="minorEastAsia" w:hAnsi="Times New Roman" w:cs="Times New Roman"/>
          <w:sz w:val="24"/>
          <w:szCs w:val="24"/>
        </w:rPr>
      </w:pPr>
    </w:p>
    <w:p w:rsidR="0099399A" w:rsidRPr="00422D1D" w:rsidRDefault="0099399A" w:rsidP="00264A67">
      <w:pPr>
        <w:spacing w:line="360" w:lineRule="auto"/>
        <w:jc w:val="both"/>
        <w:rPr>
          <w:rFonts w:ascii="Times New Roman" w:eastAsiaTheme="minorEastAsia" w:hAnsi="Times New Roman" w:cs="Times New Roman"/>
          <w:sz w:val="24"/>
          <w:szCs w:val="24"/>
        </w:rPr>
      </w:pPr>
      <w:r w:rsidRPr="00AB5D27">
        <w:rPr>
          <w:rFonts w:ascii="Times New Roman" w:eastAsiaTheme="minorEastAsia" w:hAnsi="Times New Roman" w:cs="Times New Roman"/>
          <w:sz w:val="24"/>
          <w:szCs w:val="24"/>
        </w:rPr>
        <w:t>The current status of unlicensed electricity</w:t>
      </w:r>
      <w:r w:rsidR="00264A67">
        <w:rPr>
          <w:rFonts w:ascii="Times New Roman" w:eastAsiaTheme="minorEastAsia" w:hAnsi="Times New Roman" w:cs="Times New Roman"/>
          <w:sz w:val="24"/>
          <w:szCs w:val="24"/>
        </w:rPr>
        <w:t xml:space="preserve"> generation applications by 2018</w:t>
      </w:r>
      <w:r w:rsidRPr="00AB5D27">
        <w:rPr>
          <w:rFonts w:ascii="Times New Roman" w:eastAsiaTheme="minorEastAsia" w:hAnsi="Times New Roman" w:cs="Times New Roman"/>
          <w:sz w:val="24"/>
          <w:szCs w:val="24"/>
        </w:rPr>
        <w:t xml:space="preserve"> is shown in Table 1.4.</w:t>
      </w:r>
    </w:p>
    <w:p w:rsidR="0099399A" w:rsidRPr="00264A67" w:rsidRDefault="0099399A" w:rsidP="00264A67">
      <w:pPr>
        <w:pStyle w:val="Balk1"/>
      </w:pPr>
      <w:bookmarkStart w:id="271" w:name="_Toc494982824"/>
      <w:bookmarkStart w:id="272" w:name="_Toc520822040"/>
      <w:bookmarkStart w:id="273" w:name="_Toc10123834"/>
      <w:bookmarkStart w:id="274" w:name="_Toc10191420"/>
      <w:bookmarkStart w:id="275" w:name="_Toc12526210"/>
      <w:r w:rsidRPr="00264A67">
        <w:t>T</w:t>
      </w:r>
      <w:r w:rsidRPr="00264A67">
        <w:rPr>
          <w:rStyle w:val="Balk1Char"/>
          <w:b/>
          <w:bCs/>
        </w:rPr>
        <w:t>able 1.4: The Status of Unlicensed Electricity Generation Applications by the End of 2018 (MW)</w:t>
      </w:r>
      <w:bookmarkEnd w:id="271"/>
      <w:bookmarkEnd w:id="272"/>
      <w:bookmarkEnd w:id="273"/>
      <w:bookmarkEnd w:id="274"/>
      <w:bookmarkEnd w:id="275"/>
    </w:p>
    <w:tbl>
      <w:tblPr>
        <w:tblW w:w="10308" w:type="dxa"/>
        <w:jc w:val="center"/>
        <w:tblCellMar>
          <w:left w:w="70" w:type="dxa"/>
          <w:right w:w="70" w:type="dxa"/>
        </w:tblCellMar>
        <w:tblLook w:val="04A0" w:firstRow="1" w:lastRow="0" w:firstColumn="1" w:lastColumn="0" w:noHBand="0" w:noVBand="1"/>
      </w:tblPr>
      <w:tblGrid>
        <w:gridCol w:w="1760"/>
        <w:gridCol w:w="762"/>
        <w:gridCol w:w="926"/>
        <w:gridCol w:w="940"/>
        <w:gridCol w:w="674"/>
        <w:gridCol w:w="753"/>
        <w:gridCol w:w="1031"/>
        <w:gridCol w:w="700"/>
        <w:gridCol w:w="796"/>
        <w:gridCol w:w="713"/>
        <w:gridCol w:w="753"/>
        <w:gridCol w:w="1020"/>
      </w:tblGrid>
      <w:tr w:rsidR="0099399A" w:rsidRPr="00422D1D" w:rsidTr="00264A67">
        <w:trPr>
          <w:trHeight w:val="765"/>
          <w:jc w:val="center"/>
        </w:trPr>
        <w:tc>
          <w:tcPr>
            <w:tcW w:w="1760"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rsidR="0099399A" w:rsidRPr="00422D1D" w:rsidRDefault="0099399A" w:rsidP="00264A67">
            <w:pPr>
              <w:spacing w:line="240" w:lineRule="auto"/>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Status / Source</w:t>
            </w:r>
          </w:p>
        </w:tc>
        <w:tc>
          <w:tcPr>
            <w:tcW w:w="738" w:type="dxa"/>
            <w:tcBorders>
              <w:top w:val="single" w:sz="8" w:space="0" w:color="auto"/>
              <w:left w:val="nil"/>
              <w:bottom w:val="single" w:sz="4" w:space="0" w:color="auto"/>
              <w:right w:val="single" w:sz="4" w:space="0" w:color="auto"/>
            </w:tcBorders>
            <w:shd w:val="clear" w:color="000000" w:fill="FF0000"/>
            <w:noWrap/>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Stream</w:t>
            </w:r>
          </w:p>
        </w:tc>
        <w:tc>
          <w:tcPr>
            <w:tcW w:w="926" w:type="dxa"/>
            <w:tcBorders>
              <w:top w:val="single" w:sz="8" w:space="0" w:color="auto"/>
              <w:left w:val="nil"/>
              <w:bottom w:val="single" w:sz="4" w:space="0" w:color="auto"/>
              <w:right w:val="single" w:sz="4" w:space="0" w:color="auto"/>
            </w:tcBorders>
            <w:shd w:val="clear" w:color="000000" w:fill="FF0000"/>
            <w:noWrap/>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Biomass</w:t>
            </w:r>
          </w:p>
        </w:tc>
        <w:tc>
          <w:tcPr>
            <w:tcW w:w="911" w:type="dxa"/>
            <w:tcBorders>
              <w:top w:val="single" w:sz="8" w:space="0" w:color="auto"/>
              <w:left w:val="nil"/>
              <w:bottom w:val="single" w:sz="4" w:space="0" w:color="auto"/>
              <w:right w:val="single" w:sz="4" w:space="0" w:color="auto"/>
            </w:tcBorders>
            <w:shd w:val="clear" w:color="000000" w:fill="FF0000"/>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Multifuel</w:t>
            </w:r>
          </w:p>
        </w:tc>
        <w:tc>
          <w:tcPr>
            <w:tcW w:w="670" w:type="dxa"/>
            <w:tcBorders>
              <w:top w:val="single" w:sz="8" w:space="0" w:color="auto"/>
              <w:left w:val="nil"/>
              <w:bottom w:val="single" w:sz="4" w:space="0" w:color="auto"/>
              <w:right w:val="single" w:sz="4" w:space="0" w:color="auto"/>
            </w:tcBorders>
            <w:shd w:val="clear" w:color="000000" w:fill="FF0000"/>
            <w:noWrap/>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Wawe</w:t>
            </w:r>
          </w:p>
        </w:tc>
        <w:tc>
          <w:tcPr>
            <w:tcW w:w="753" w:type="dxa"/>
            <w:tcBorders>
              <w:top w:val="single" w:sz="8" w:space="0" w:color="auto"/>
              <w:left w:val="nil"/>
              <w:bottom w:val="single" w:sz="4" w:space="0" w:color="auto"/>
              <w:right w:val="single" w:sz="4" w:space="0" w:color="auto"/>
            </w:tcBorders>
            <w:shd w:val="clear" w:color="000000" w:fill="FF0000"/>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Nat.</w:t>
            </w:r>
            <w:r w:rsidRPr="00422D1D">
              <w:rPr>
                <w:rFonts w:ascii="Times New Roman" w:eastAsia="Times New Roman" w:hAnsi="Times New Roman" w:cs="Times New Roman"/>
                <w:b/>
                <w:bCs/>
                <w:color w:val="FFFFFF"/>
                <w:sz w:val="20"/>
                <w:szCs w:val="20"/>
                <w:lang w:eastAsia="tr-TR"/>
              </w:rPr>
              <w:br/>
              <w:t>gas</w:t>
            </w:r>
          </w:p>
        </w:tc>
        <w:tc>
          <w:tcPr>
            <w:tcW w:w="1031" w:type="dxa"/>
            <w:tcBorders>
              <w:top w:val="single" w:sz="8" w:space="0" w:color="auto"/>
              <w:left w:val="nil"/>
              <w:bottom w:val="single" w:sz="4" w:space="0" w:color="auto"/>
              <w:right w:val="single" w:sz="4" w:space="0" w:color="auto"/>
            </w:tcBorders>
            <w:shd w:val="clear" w:color="000000" w:fill="FF0000"/>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 xml:space="preserve">Solar </w:t>
            </w:r>
            <w:r w:rsidRPr="00422D1D">
              <w:rPr>
                <w:rFonts w:ascii="Times New Roman" w:eastAsia="Times New Roman" w:hAnsi="Times New Roman" w:cs="Times New Roman"/>
                <w:b/>
                <w:bCs/>
                <w:color w:val="FFFFFF"/>
                <w:sz w:val="20"/>
                <w:szCs w:val="20"/>
                <w:lang w:eastAsia="tr-TR"/>
              </w:rPr>
              <w:br/>
              <w:t xml:space="preserve"> (PV)</w:t>
            </w:r>
          </w:p>
        </w:tc>
        <w:tc>
          <w:tcPr>
            <w:tcW w:w="700" w:type="dxa"/>
            <w:tcBorders>
              <w:top w:val="single" w:sz="8" w:space="0" w:color="auto"/>
              <w:left w:val="nil"/>
              <w:bottom w:val="single" w:sz="4" w:space="0" w:color="auto"/>
              <w:right w:val="single" w:sz="4" w:space="0" w:color="auto"/>
            </w:tcBorders>
            <w:shd w:val="clear" w:color="000000" w:fill="FF0000"/>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 xml:space="preserve">Solar </w:t>
            </w:r>
            <w:r w:rsidRPr="00422D1D">
              <w:rPr>
                <w:rFonts w:ascii="Times New Roman" w:eastAsia="Times New Roman" w:hAnsi="Times New Roman" w:cs="Times New Roman"/>
                <w:b/>
                <w:bCs/>
                <w:color w:val="FFFFFF"/>
                <w:sz w:val="20"/>
                <w:szCs w:val="20"/>
                <w:lang w:eastAsia="tr-TR"/>
              </w:rPr>
              <w:br/>
              <w:t>(CSP)</w:t>
            </w:r>
          </w:p>
        </w:tc>
        <w:tc>
          <w:tcPr>
            <w:tcW w:w="796" w:type="dxa"/>
            <w:tcBorders>
              <w:top w:val="single" w:sz="8" w:space="0" w:color="auto"/>
              <w:left w:val="nil"/>
              <w:bottom w:val="single" w:sz="4" w:space="0" w:color="auto"/>
              <w:right w:val="single" w:sz="4" w:space="0" w:color="auto"/>
            </w:tcBorders>
            <w:shd w:val="clear" w:color="000000" w:fill="FF0000"/>
            <w:noWrap/>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Hydro</w:t>
            </w:r>
          </w:p>
        </w:tc>
        <w:tc>
          <w:tcPr>
            <w:tcW w:w="706" w:type="dxa"/>
            <w:tcBorders>
              <w:top w:val="single" w:sz="8" w:space="0" w:color="auto"/>
              <w:left w:val="nil"/>
              <w:bottom w:val="single" w:sz="4" w:space="0" w:color="auto"/>
              <w:right w:val="single" w:sz="4" w:space="0" w:color="auto"/>
            </w:tcBorders>
            <w:shd w:val="clear" w:color="000000" w:fill="FF0000"/>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Geoth.</w:t>
            </w:r>
          </w:p>
        </w:tc>
        <w:tc>
          <w:tcPr>
            <w:tcW w:w="753" w:type="dxa"/>
            <w:tcBorders>
              <w:top w:val="single" w:sz="8" w:space="0" w:color="auto"/>
              <w:left w:val="nil"/>
              <w:bottom w:val="single" w:sz="4" w:space="0" w:color="auto"/>
              <w:right w:val="single" w:sz="4" w:space="0" w:color="auto"/>
            </w:tcBorders>
            <w:shd w:val="clear" w:color="000000" w:fill="FF0000"/>
            <w:noWrap/>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Wind</w:t>
            </w:r>
          </w:p>
        </w:tc>
        <w:tc>
          <w:tcPr>
            <w:tcW w:w="564" w:type="dxa"/>
            <w:tcBorders>
              <w:top w:val="single" w:sz="8" w:space="0" w:color="auto"/>
              <w:left w:val="nil"/>
              <w:bottom w:val="single" w:sz="4" w:space="0" w:color="auto"/>
              <w:right w:val="single" w:sz="8" w:space="0" w:color="auto"/>
            </w:tcBorders>
            <w:shd w:val="clear" w:color="000000" w:fill="FF0000"/>
            <w:vAlign w:val="center"/>
            <w:hideMark/>
          </w:tcPr>
          <w:p w:rsidR="0099399A" w:rsidRPr="00422D1D" w:rsidRDefault="0099399A" w:rsidP="00264A67">
            <w:pPr>
              <w:spacing w:line="240" w:lineRule="auto"/>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Total</w:t>
            </w:r>
          </w:p>
        </w:tc>
      </w:tr>
      <w:tr w:rsidR="0099399A" w:rsidRPr="00422D1D" w:rsidTr="00264A67">
        <w:trPr>
          <w:trHeight w:val="765"/>
          <w:jc w:val="center"/>
        </w:trPr>
        <w:tc>
          <w:tcPr>
            <w:tcW w:w="1760" w:type="dxa"/>
            <w:tcBorders>
              <w:top w:val="single" w:sz="4" w:space="0" w:color="auto"/>
              <w:left w:val="single" w:sz="8" w:space="0" w:color="auto"/>
              <w:bottom w:val="single" w:sz="4" w:space="0" w:color="auto"/>
              <w:right w:val="single" w:sz="4" w:space="0" w:color="auto"/>
            </w:tcBorders>
            <w:shd w:val="clear" w:color="000000" w:fill="FF5050"/>
            <w:vAlign w:val="center"/>
            <w:hideMark/>
          </w:tcPr>
          <w:p w:rsidR="0099399A" w:rsidRPr="00422D1D" w:rsidRDefault="0099399A" w:rsidP="00264A67">
            <w:pPr>
              <w:spacing w:line="240" w:lineRule="auto"/>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Application period for connection agreement has expired</w:t>
            </w:r>
          </w:p>
        </w:tc>
        <w:tc>
          <w:tcPr>
            <w:tcW w:w="738"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926"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30,85</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670"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65,19</w:t>
            </w:r>
          </w:p>
        </w:tc>
        <w:tc>
          <w:tcPr>
            <w:tcW w:w="1031"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646,36</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96"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5,23</w:t>
            </w:r>
          </w:p>
        </w:tc>
        <w:tc>
          <w:tcPr>
            <w:tcW w:w="706"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40,22</w:t>
            </w:r>
          </w:p>
        </w:tc>
        <w:tc>
          <w:tcPr>
            <w:tcW w:w="564" w:type="dxa"/>
            <w:tcBorders>
              <w:top w:val="single" w:sz="4" w:space="0" w:color="auto"/>
              <w:left w:val="nil"/>
              <w:bottom w:val="single" w:sz="4" w:space="0" w:color="auto"/>
              <w:right w:val="single" w:sz="8"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787,84</w:t>
            </w:r>
          </w:p>
        </w:tc>
      </w:tr>
      <w:tr w:rsidR="0099399A" w:rsidRPr="00422D1D" w:rsidTr="00264A67">
        <w:trPr>
          <w:trHeight w:val="510"/>
          <w:jc w:val="center"/>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9399A" w:rsidRPr="00422D1D" w:rsidRDefault="0099399A" w:rsidP="00264A67">
            <w:pPr>
              <w:spacing w:line="240" w:lineRule="auto"/>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Connection agreement done</w:t>
            </w:r>
          </w:p>
        </w:tc>
        <w:tc>
          <w:tcPr>
            <w:tcW w:w="738"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92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36,16</w:t>
            </w:r>
          </w:p>
        </w:tc>
        <w:tc>
          <w:tcPr>
            <w:tcW w:w="91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5,71</w:t>
            </w:r>
          </w:p>
        </w:tc>
        <w:tc>
          <w:tcPr>
            <w:tcW w:w="67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81,21</w:t>
            </w:r>
          </w:p>
        </w:tc>
        <w:tc>
          <w:tcPr>
            <w:tcW w:w="103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1.227,74</w:t>
            </w:r>
          </w:p>
        </w:tc>
        <w:tc>
          <w:tcPr>
            <w:tcW w:w="70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9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4,38</w:t>
            </w:r>
          </w:p>
        </w:tc>
        <w:tc>
          <w:tcPr>
            <w:tcW w:w="70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55,57</w:t>
            </w:r>
          </w:p>
        </w:tc>
        <w:tc>
          <w:tcPr>
            <w:tcW w:w="564" w:type="dxa"/>
            <w:tcBorders>
              <w:top w:val="nil"/>
              <w:left w:val="nil"/>
              <w:bottom w:val="single" w:sz="4" w:space="0" w:color="auto"/>
              <w:right w:val="single" w:sz="8"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1.410,76</w:t>
            </w:r>
          </w:p>
        </w:tc>
      </w:tr>
      <w:tr w:rsidR="0099399A" w:rsidRPr="00422D1D" w:rsidTr="00264A67">
        <w:trPr>
          <w:trHeight w:val="765"/>
          <w:jc w:val="center"/>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9399A" w:rsidRPr="00422D1D" w:rsidRDefault="0099399A" w:rsidP="00264A67">
            <w:pPr>
              <w:spacing w:line="240" w:lineRule="auto"/>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Connection agreement expired</w:t>
            </w:r>
          </w:p>
        </w:tc>
        <w:tc>
          <w:tcPr>
            <w:tcW w:w="738"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92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3,48</w:t>
            </w:r>
          </w:p>
        </w:tc>
        <w:tc>
          <w:tcPr>
            <w:tcW w:w="91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67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5,05</w:t>
            </w:r>
          </w:p>
        </w:tc>
        <w:tc>
          <w:tcPr>
            <w:tcW w:w="103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310,97</w:t>
            </w:r>
          </w:p>
        </w:tc>
        <w:tc>
          <w:tcPr>
            <w:tcW w:w="70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9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0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14,17</w:t>
            </w:r>
          </w:p>
        </w:tc>
        <w:tc>
          <w:tcPr>
            <w:tcW w:w="564" w:type="dxa"/>
            <w:tcBorders>
              <w:top w:val="nil"/>
              <w:left w:val="nil"/>
              <w:bottom w:val="single" w:sz="4" w:space="0" w:color="auto"/>
              <w:right w:val="single" w:sz="8"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333,67</w:t>
            </w:r>
          </w:p>
        </w:tc>
      </w:tr>
      <w:tr w:rsidR="0099399A" w:rsidRPr="00422D1D" w:rsidTr="00264A67">
        <w:trPr>
          <w:trHeight w:val="510"/>
          <w:jc w:val="center"/>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9399A" w:rsidRPr="00422D1D" w:rsidRDefault="0099399A" w:rsidP="00264A67">
            <w:pPr>
              <w:spacing w:line="240" w:lineRule="auto"/>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Under evaluation</w:t>
            </w:r>
          </w:p>
        </w:tc>
        <w:tc>
          <w:tcPr>
            <w:tcW w:w="738"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92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6,76</w:t>
            </w:r>
          </w:p>
        </w:tc>
        <w:tc>
          <w:tcPr>
            <w:tcW w:w="91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1,06</w:t>
            </w:r>
          </w:p>
        </w:tc>
        <w:tc>
          <w:tcPr>
            <w:tcW w:w="67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20,73</w:t>
            </w:r>
          </w:p>
        </w:tc>
        <w:tc>
          <w:tcPr>
            <w:tcW w:w="103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149,42</w:t>
            </w:r>
          </w:p>
        </w:tc>
        <w:tc>
          <w:tcPr>
            <w:tcW w:w="70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9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0,57</w:t>
            </w:r>
          </w:p>
        </w:tc>
        <w:tc>
          <w:tcPr>
            <w:tcW w:w="70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23,95</w:t>
            </w:r>
          </w:p>
        </w:tc>
        <w:tc>
          <w:tcPr>
            <w:tcW w:w="564" w:type="dxa"/>
            <w:tcBorders>
              <w:top w:val="nil"/>
              <w:left w:val="nil"/>
              <w:bottom w:val="single" w:sz="4" w:space="0" w:color="auto"/>
              <w:right w:val="single" w:sz="8"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202,49</w:t>
            </w:r>
          </w:p>
        </w:tc>
      </w:tr>
      <w:tr w:rsidR="0099399A" w:rsidRPr="00422D1D" w:rsidTr="00264A67">
        <w:trPr>
          <w:trHeight w:val="300"/>
          <w:jc w:val="center"/>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9399A" w:rsidRPr="00422D1D" w:rsidRDefault="00264A67" w:rsidP="00264A67">
            <w:pPr>
              <w:spacing w:line="240" w:lineRule="auto"/>
              <w:rPr>
                <w:rFonts w:ascii="Times New Roman" w:eastAsia="Times New Roman" w:hAnsi="Times New Roman" w:cs="Times New Roman"/>
                <w:color w:val="FFFFFF"/>
                <w:sz w:val="20"/>
                <w:szCs w:val="20"/>
                <w:lang w:eastAsia="tr-TR"/>
              </w:rPr>
            </w:pPr>
            <w:r>
              <w:rPr>
                <w:rFonts w:ascii="Times New Roman" w:eastAsia="Times New Roman" w:hAnsi="Times New Roman" w:cs="Times New Roman"/>
                <w:color w:val="FFFFFF"/>
                <w:sz w:val="20"/>
                <w:szCs w:val="20"/>
                <w:lang w:eastAsia="tr-TR"/>
              </w:rPr>
              <w:t xml:space="preserve">Installed </w:t>
            </w:r>
            <w:r w:rsidR="0099399A" w:rsidRPr="00422D1D">
              <w:rPr>
                <w:rFonts w:ascii="Times New Roman" w:eastAsia="Times New Roman" w:hAnsi="Times New Roman" w:cs="Times New Roman"/>
                <w:color w:val="FFFFFF"/>
                <w:sz w:val="20"/>
                <w:szCs w:val="20"/>
                <w:lang w:eastAsia="tr-TR"/>
              </w:rPr>
              <w:t>and Activated</w:t>
            </w:r>
          </w:p>
        </w:tc>
        <w:tc>
          <w:tcPr>
            <w:tcW w:w="738"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92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79,18</w:t>
            </w:r>
          </w:p>
        </w:tc>
        <w:tc>
          <w:tcPr>
            <w:tcW w:w="91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13,96</w:t>
            </w:r>
          </w:p>
        </w:tc>
        <w:tc>
          <w:tcPr>
            <w:tcW w:w="67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139,08</w:t>
            </w:r>
          </w:p>
        </w:tc>
        <w:tc>
          <w:tcPr>
            <w:tcW w:w="103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5.016,99</w:t>
            </w:r>
          </w:p>
        </w:tc>
        <w:tc>
          <w:tcPr>
            <w:tcW w:w="70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0,50</w:t>
            </w:r>
          </w:p>
        </w:tc>
        <w:tc>
          <w:tcPr>
            <w:tcW w:w="79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8,91</w:t>
            </w:r>
          </w:p>
        </w:tc>
        <w:tc>
          <w:tcPr>
            <w:tcW w:w="70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51,95</w:t>
            </w:r>
          </w:p>
        </w:tc>
        <w:tc>
          <w:tcPr>
            <w:tcW w:w="564" w:type="dxa"/>
            <w:tcBorders>
              <w:top w:val="nil"/>
              <w:left w:val="nil"/>
              <w:bottom w:val="single" w:sz="4" w:space="0" w:color="auto"/>
              <w:right w:val="single" w:sz="8"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5.310,57</w:t>
            </w:r>
          </w:p>
        </w:tc>
      </w:tr>
      <w:tr w:rsidR="0099399A" w:rsidRPr="00422D1D" w:rsidTr="00264A67">
        <w:trPr>
          <w:trHeight w:val="300"/>
          <w:jc w:val="center"/>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9399A" w:rsidRPr="00422D1D" w:rsidRDefault="0099399A" w:rsidP="00264A67">
            <w:pPr>
              <w:spacing w:line="240" w:lineRule="auto"/>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Accepted</w:t>
            </w:r>
          </w:p>
        </w:tc>
        <w:tc>
          <w:tcPr>
            <w:tcW w:w="738"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92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29,52</w:t>
            </w:r>
          </w:p>
        </w:tc>
        <w:tc>
          <w:tcPr>
            <w:tcW w:w="91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2,67</w:t>
            </w:r>
          </w:p>
        </w:tc>
        <w:tc>
          <w:tcPr>
            <w:tcW w:w="67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77,15</w:t>
            </w:r>
          </w:p>
        </w:tc>
        <w:tc>
          <w:tcPr>
            <w:tcW w:w="103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59,14</w:t>
            </w:r>
          </w:p>
        </w:tc>
        <w:tc>
          <w:tcPr>
            <w:tcW w:w="70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0,08</w:t>
            </w:r>
          </w:p>
        </w:tc>
        <w:tc>
          <w:tcPr>
            <w:tcW w:w="79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17,47</w:t>
            </w:r>
          </w:p>
        </w:tc>
        <w:tc>
          <w:tcPr>
            <w:tcW w:w="70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1,80</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67,98</w:t>
            </w:r>
          </w:p>
        </w:tc>
        <w:tc>
          <w:tcPr>
            <w:tcW w:w="564" w:type="dxa"/>
            <w:tcBorders>
              <w:top w:val="nil"/>
              <w:left w:val="nil"/>
              <w:bottom w:val="single" w:sz="4" w:space="0" w:color="auto"/>
              <w:right w:val="single" w:sz="8"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255,79</w:t>
            </w:r>
          </w:p>
        </w:tc>
      </w:tr>
      <w:tr w:rsidR="0099399A" w:rsidRPr="00422D1D" w:rsidTr="00264A67">
        <w:trPr>
          <w:trHeight w:val="510"/>
          <w:jc w:val="center"/>
        </w:trPr>
        <w:tc>
          <w:tcPr>
            <w:tcW w:w="1760" w:type="dxa"/>
            <w:tcBorders>
              <w:top w:val="nil"/>
              <w:left w:val="single" w:sz="8" w:space="0" w:color="auto"/>
              <w:bottom w:val="single" w:sz="4" w:space="0" w:color="auto"/>
              <w:right w:val="single" w:sz="4" w:space="0" w:color="auto"/>
            </w:tcBorders>
            <w:shd w:val="clear" w:color="000000" w:fill="FF5050"/>
            <w:vAlign w:val="center"/>
            <w:hideMark/>
          </w:tcPr>
          <w:p w:rsidR="0099399A" w:rsidRPr="00422D1D" w:rsidRDefault="0099399A" w:rsidP="00264A67">
            <w:pPr>
              <w:spacing w:line="240" w:lineRule="auto"/>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Rejected</w:t>
            </w:r>
          </w:p>
        </w:tc>
        <w:tc>
          <w:tcPr>
            <w:tcW w:w="738"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0,50</w:t>
            </w:r>
          </w:p>
        </w:tc>
        <w:tc>
          <w:tcPr>
            <w:tcW w:w="92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168,57</w:t>
            </w:r>
          </w:p>
        </w:tc>
        <w:tc>
          <w:tcPr>
            <w:tcW w:w="91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18,66</w:t>
            </w:r>
          </w:p>
        </w:tc>
        <w:tc>
          <w:tcPr>
            <w:tcW w:w="67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0,40</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72,43</w:t>
            </w:r>
          </w:p>
        </w:tc>
        <w:tc>
          <w:tcPr>
            <w:tcW w:w="1031"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14.382,58</w:t>
            </w:r>
          </w:p>
        </w:tc>
        <w:tc>
          <w:tcPr>
            <w:tcW w:w="700"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9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59,55</w:t>
            </w:r>
          </w:p>
        </w:tc>
        <w:tc>
          <w:tcPr>
            <w:tcW w:w="706"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753" w:type="dxa"/>
            <w:tcBorders>
              <w:top w:val="nil"/>
              <w:left w:val="nil"/>
              <w:bottom w:val="single" w:sz="4" w:space="0" w:color="auto"/>
              <w:right w:val="single" w:sz="4"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335,93</w:t>
            </w:r>
          </w:p>
        </w:tc>
        <w:tc>
          <w:tcPr>
            <w:tcW w:w="564" w:type="dxa"/>
            <w:tcBorders>
              <w:top w:val="nil"/>
              <w:left w:val="nil"/>
              <w:bottom w:val="single" w:sz="4" w:space="0" w:color="auto"/>
              <w:right w:val="single" w:sz="8" w:space="0" w:color="auto"/>
            </w:tcBorders>
            <w:shd w:val="clear" w:color="auto" w:fill="auto"/>
            <w:noWrap/>
            <w:vAlign w:val="bottom"/>
            <w:hideMark/>
          </w:tcPr>
          <w:p w:rsidR="0099399A" w:rsidRPr="00422D1D" w:rsidRDefault="0099399A" w:rsidP="00264A67">
            <w:pPr>
              <w:spacing w:line="240" w:lineRule="auto"/>
              <w:rPr>
                <w:rFonts w:ascii="Times New Roman" w:eastAsia="Times New Roman" w:hAnsi="Times New Roman" w:cs="Times New Roman"/>
                <w:b/>
                <w:bCs/>
                <w:color w:val="000000"/>
                <w:lang w:eastAsia="tr-TR"/>
              </w:rPr>
            </w:pPr>
            <w:r w:rsidRPr="00422D1D">
              <w:rPr>
                <w:rFonts w:ascii="Times New Roman" w:eastAsia="Times New Roman" w:hAnsi="Times New Roman" w:cs="Times New Roman"/>
                <w:b/>
                <w:bCs/>
                <w:color w:val="000000"/>
                <w:lang w:eastAsia="tr-TR"/>
              </w:rPr>
              <w:t>15.038,62</w:t>
            </w:r>
          </w:p>
        </w:tc>
      </w:tr>
    </w:tbl>
    <w:p w:rsidR="0099399A" w:rsidRPr="00422D1D" w:rsidRDefault="0099399A" w:rsidP="0099399A">
      <w:pPr>
        <w:jc w:val="both"/>
        <w:rPr>
          <w:rFonts w:ascii="Times New Roman" w:hAnsi="Times New Roman" w:cs="Times New Roman"/>
          <w:color w:val="FF0000"/>
        </w:rPr>
      </w:pPr>
    </w:p>
    <w:p w:rsidR="00264A67" w:rsidRDefault="00264A67" w:rsidP="00264A67">
      <w:pPr>
        <w:spacing w:line="360" w:lineRule="auto"/>
        <w:jc w:val="both"/>
        <w:rPr>
          <w:rFonts w:ascii="Times New Roman" w:eastAsiaTheme="minorEastAsia" w:hAnsi="Times New Roman" w:cs="Times New Roman"/>
          <w:sz w:val="24"/>
          <w:szCs w:val="24"/>
        </w:rPr>
      </w:pPr>
    </w:p>
    <w:p w:rsidR="0099399A" w:rsidRPr="00422D1D" w:rsidRDefault="0099399A" w:rsidP="00264A67">
      <w:pPr>
        <w:spacing w:line="360" w:lineRule="auto"/>
        <w:jc w:val="both"/>
        <w:rPr>
          <w:rFonts w:ascii="Times New Roman" w:eastAsiaTheme="minorEastAsia" w:hAnsi="Times New Roman" w:cs="Times New Roman"/>
          <w:sz w:val="24"/>
          <w:szCs w:val="24"/>
        </w:rPr>
      </w:pPr>
      <w:r w:rsidRPr="00422D1D">
        <w:rPr>
          <w:rFonts w:ascii="Times New Roman" w:eastAsiaTheme="minorEastAsia" w:hAnsi="Times New Roman" w:cs="Times New Roman"/>
          <w:sz w:val="24"/>
          <w:szCs w:val="24"/>
        </w:rPr>
        <w:t xml:space="preserve">The distribution of unlicensed installed capacity by sources is given in Table 1.5 and Figure 1.18. Unlicensed installed capacity tripled to </w:t>
      </w:r>
      <w:r w:rsidRPr="00422D1D">
        <w:rPr>
          <w:rFonts w:ascii="Times New Roman" w:hAnsi="Times New Roman" w:cs="Times New Roman"/>
          <w:sz w:val="24"/>
          <w:szCs w:val="24"/>
        </w:rPr>
        <w:t xml:space="preserve">5.310,57 </w:t>
      </w:r>
      <w:r w:rsidRPr="00422D1D">
        <w:rPr>
          <w:rFonts w:ascii="Times New Roman" w:eastAsiaTheme="minorEastAsia" w:hAnsi="Times New Roman" w:cs="Times New Roman"/>
          <w:sz w:val="24"/>
          <w:szCs w:val="24"/>
        </w:rPr>
        <w:t xml:space="preserve">MW </w:t>
      </w:r>
      <w:r w:rsidR="00D873FC">
        <w:rPr>
          <w:rFonts w:ascii="Times New Roman" w:eastAsiaTheme="minorEastAsia" w:hAnsi="Times New Roman" w:cs="Times New Roman"/>
          <w:sz w:val="24"/>
          <w:szCs w:val="24"/>
        </w:rPr>
        <w:t xml:space="preserve">increased by 67, 35% </w:t>
      </w:r>
      <w:r w:rsidRPr="00422D1D">
        <w:rPr>
          <w:rFonts w:ascii="Times New Roman" w:eastAsiaTheme="minorEastAsia" w:hAnsi="Times New Roman" w:cs="Times New Roman"/>
          <w:sz w:val="24"/>
          <w:szCs w:val="24"/>
        </w:rPr>
        <w:t xml:space="preserve">in 2018, which was </w:t>
      </w:r>
      <w:r w:rsidRPr="00422D1D">
        <w:rPr>
          <w:rFonts w:ascii="Times New Roman" w:hAnsi="Times New Roman" w:cs="Times New Roman"/>
          <w:sz w:val="24"/>
          <w:szCs w:val="24"/>
        </w:rPr>
        <w:t xml:space="preserve">3.173,32 </w:t>
      </w:r>
      <w:r w:rsidRPr="00422D1D">
        <w:rPr>
          <w:rFonts w:ascii="Times New Roman" w:eastAsiaTheme="minorEastAsia" w:hAnsi="Times New Roman" w:cs="Times New Roman"/>
          <w:sz w:val="24"/>
          <w:szCs w:val="24"/>
        </w:rPr>
        <w:t xml:space="preserve">MW at the end of 2017. The </w:t>
      </w:r>
      <w:r w:rsidR="00D873FC">
        <w:rPr>
          <w:rFonts w:ascii="Times New Roman" w:eastAsiaTheme="minorEastAsia" w:hAnsi="Times New Roman" w:cs="Times New Roman"/>
          <w:sz w:val="24"/>
          <w:szCs w:val="24"/>
        </w:rPr>
        <w:t>biggest share, as it was in 2017</w:t>
      </w:r>
      <w:r w:rsidRPr="00422D1D">
        <w:rPr>
          <w:rFonts w:ascii="Times New Roman" w:eastAsiaTheme="minorEastAsia" w:hAnsi="Times New Roman" w:cs="Times New Roman"/>
          <w:sz w:val="24"/>
          <w:szCs w:val="24"/>
        </w:rPr>
        <w:t xml:space="preserve">, belongs to solar power plants with </w:t>
      </w:r>
      <w:r w:rsidRPr="00422D1D">
        <w:rPr>
          <w:rFonts w:ascii="Times New Roman" w:hAnsi="Times New Roman" w:cs="Times New Roman"/>
          <w:sz w:val="24"/>
          <w:szCs w:val="24"/>
        </w:rPr>
        <w:t xml:space="preserve">94,48 </w:t>
      </w:r>
      <w:r w:rsidRPr="00422D1D">
        <w:rPr>
          <w:rFonts w:ascii="Times New Roman" w:eastAsiaTheme="minorEastAsia" w:hAnsi="Times New Roman" w:cs="Times New Roman"/>
          <w:sz w:val="24"/>
          <w:szCs w:val="24"/>
        </w:rPr>
        <w:t xml:space="preserve">% and natural gas with </w:t>
      </w:r>
      <w:r w:rsidRPr="00422D1D">
        <w:rPr>
          <w:rFonts w:ascii="Times New Roman" w:hAnsi="Times New Roman" w:cs="Times New Roman"/>
          <w:sz w:val="24"/>
          <w:szCs w:val="24"/>
        </w:rPr>
        <w:t xml:space="preserve">2,88 </w:t>
      </w:r>
      <w:r w:rsidRPr="00422D1D">
        <w:rPr>
          <w:rFonts w:ascii="Times New Roman" w:eastAsiaTheme="minorEastAsia" w:hAnsi="Times New Roman" w:cs="Times New Roman"/>
          <w:sz w:val="24"/>
          <w:szCs w:val="24"/>
        </w:rPr>
        <w:t xml:space="preserve">% and biomass with </w:t>
      </w:r>
      <w:r w:rsidRPr="00422D1D">
        <w:rPr>
          <w:rFonts w:ascii="Times New Roman" w:hAnsi="Times New Roman" w:cs="Times New Roman"/>
          <w:sz w:val="24"/>
          <w:szCs w:val="24"/>
        </w:rPr>
        <w:t xml:space="preserve">1,49 </w:t>
      </w:r>
      <w:r w:rsidRPr="00422D1D">
        <w:rPr>
          <w:rFonts w:ascii="Times New Roman" w:eastAsiaTheme="minorEastAsia" w:hAnsi="Times New Roman" w:cs="Times New Roman"/>
          <w:sz w:val="24"/>
          <w:szCs w:val="24"/>
        </w:rPr>
        <w:t xml:space="preserve">% are following it. </w:t>
      </w:r>
      <w:r w:rsidRPr="00422D1D">
        <w:rPr>
          <w:rFonts w:ascii="Times New Roman" w:hAnsi="Times New Roman" w:cs="Times New Roman"/>
          <w:sz w:val="24"/>
          <w:szCs w:val="24"/>
        </w:rPr>
        <w:t xml:space="preserve"> </w:t>
      </w:r>
    </w:p>
    <w:p w:rsidR="0099399A" w:rsidRPr="00422D1D" w:rsidRDefault="0099399A" w:rsidP="00264A67">
      <w:pPr>
        <w:pStyle w:val="Balk1"/>
      </w:pPr>
      <w:bookmarkStart w:id="276" w:name="_Toc520822041"/>
      <w:bookmarkStart w:id="277" w:name="_Toc494982825"/>
      <w:bookmarkStart w:id="278" w:name="_Toc450309951"/>
      <w:bookmarkStart w:id="279" w:name="_Toc450300295"/>
      <w:bookmarkStart w:id="280" w:name="_Toc10123835"/>
      <w:bookmarkStart w:id="281" w:name="_Toc10191421"/>
      <w:bookmarkStart w:id="282" w:name="_Toc12526211"/>
      <w:r w:rsidRPr="00422D1D">
        <w:lastRenderedPageBreak/>
        <w:t>Table 1.5: Distribution of Unlicensed Installed Capacity by Sources (MW-%)</w:t>
      </w:r>
      <w:bookmarkEnd w:id="276"/>
      <w:bookmarkEnd w:id="277"/>
      <w:bookmarkEnd w:id="278"/>
      <w:bookmarkEnd w:id="279"/>
      <w:bookmarkEnd w:id="280"/>
      <w:bookmarkEnd w:id="281"/>
      <w:bookmarkEnd w:id="282"/>
    </w:p>
    <w:tbl>
      <w:tblPr>
        <w:tblW w:w="8946" w:type="dxa"/>
        <w:tblInd w:w="55" w:type="dxa"/>
        <w:tblCellMar>
          <w:left w:w="70" w:type="dxa"/>
          <w:right w:w="70" w:type="dxa"/>
        </w:tblCellMar>
        <w:tblLook w:val="04A0" w:firstRow="1" w:lastRow="0" w:firstColumn="1" w:lastColumn="0" w:noHBand="0" w:noVBand="1"/>
      </w:tblPr>
      <w:tblGrid>
        <w:gridCol w:w="2850"/>
        <w:gridCol w:w="1985"/>
        <w:gridCol w:w="1276"/>
        <w:gridCol w:w="1701"/>
        <w:gridCol w:w="1134"/>
      </w:tblGrid>
      <w:tr w:rsidR="0099399A" w:rsidRPr="00422D1D" w:rsidTr="00D21485">
        <w:trPr>
          <w:trHeight w:val="117"/>
        </w:trPr>
        <w:tc>
          <w:tcPr>
            <w:tcW w:w="2850" w:type="dxa"/>
            <w:vMerge w:val="restart"/>
            <w:tcBorders>
              <w:top w:val="single" w:sz="8" w:space="0" w:color="auto"/>
              <w:left w:val="single" w:sz="8" w:space="0" w:color="auto"/>
              <w:bottom w:val="nil"/>
              <w:right w:val="single" w:sz="8" w:space="0" w:color="auto"/>
            </w:tcBorders>
            <w:shd w:val="clear" w:color="auto" w:fill="FF0000"/>
            <w:noWrap/>
            <w:vAlign w:val="center"/>
            <w:hideMark/>
          </w:tcPr>
          <w:p w:rsidR="0099399A" w:rsidRPr="00422D1D" w:rsidRDefault="0099399A" w:rsidP="00D873FC">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Resource Type</w:t>
            </w:r>
          </w:p>
        </w:tc>
        <w:tc>
          <w:tcPr>
            <w:tcW w:w="3261"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D873FC">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2017</w:t>
            </w:r>
          </w:p>
        </w:tc>
        <w:tc>
          <w:tcPr>
            <w:tcW w:w="2835"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D873FC">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2018</w:t>
            </w:r>
          </w:p>
        </w:tc>
      </w:tr>
      <w:tr w:rsidR="0099399A" w:rsidRPr="00422D1D" w:rsidTr="004C7560">
        <w:trPr>
          <w:trHeight w:val="620"/>
        </w:trPr>
        <w:tc>
          <w:tcPr>
            <w:tcW w:w="0" w:type="auto"/>
            <w:vMerge/>
            <w:tcBorders>
              <w:top w:val="single" w:sz="8" w:space="0" w:color="auto"/>
              <w:left w:val="single" w:sz="8" w:space="0" w:color="auto"/>
              <w:bottom w:val="nil"/>
              <w:right w:val="single" w:sz="8" w:space="0" w:color="auto"/>
            </w:tcBorders>
            <w:vAlign w:val="center"/>
            <w:hideMark/>
          </w:tcPr>
          <w:p w:rsidR="0099399A" w:rsidRPr="00422D1D" w:rsidRDefault="0099399A" w:rsidP="00D873FC">
            <w:pPr>
              <w:jc w:val="center"/>
              <w:rPr>
                <w:rFonts w:ascii="Times New Roman" w:eastAsia="Times New Roman" w:hAnsi="Times New Roman" w:cs="Times New Roman"/>
                <w:b/>
                <w:bCs/>
                <w:color w:val="FFFFFF"/>
                <w:sz w:val="24"/>
                <w:szCs w:val="24"/>
                <w:lang w:val="tr-TR" w:eastAsia="tr-TR"/>
              </w:rPr>
            </w:pPr>
          </w:p>
        </w:tc>
        <w:tc>
          <w:tcPr>
            <w:tcW w:w="1985" w:type="dxa"/>
            <w:tcBorders>
              <w:top w:val="nil"/>
              <w:left w:val="nil"/>
              <w:bottom w:val="nil"/>
              <w:right w:val="single" w:sz="8" w:space="0" w:color="auto"/>
            </w:tcBorders>
            <w:shd w:val="clear" w:color="auto" w:fill="FF0000"/>
            <w:vAlign w:val="center"/>
            <w:hideMark/>
          </w:tcPr>
          <w:p w:rsidR="0099399A" w:rsidRPr="00422D1D" w:rsidRDefault="0099399A" w:rsidP="00D873FC">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Installed Capacity</w:t>
            </w:r>
            <w:r w:rsidRPr="00422D1D">
              <w:rPr>
                <w:rFonts w:ascii="Times New Roman" w:eastAsia="Times New Roman" w:hAnsi="Times New Roman" w:cs="Times New Roman"/>
                <w:b/>
                <w:bCs/>
                <w:color w:val="FFFFFF"/>
                <w:sz w:val="24"/>
                <w:szCs w:val="24"/>
                <w:lang w:eastAsia="tr-TR"/>
              </w:rPr>
              <w:br/>
              <w:t xml:space="preserve"> (MWe)</w:t>
            </w:r>
          </w:p>
        </w:tc>
        <w:tc>
          <w:tcPr>
            <w:tcW w:w="1276" w:type="dxa"/>
            <w:tcBorders>
              <w:top w:val="nil"/>
              <w:left w:val="nil"/>
              <w:bottom w:val="nil"/>
              <w:right w:val="single" w:sz="8" w:space="0" w:color="auto"/>
            </w:tcBorders>
            <w:shd w:val="clear" w:color="auto" w:fill="FF0000"/>
            <w:vAlign w:val="center"/>
            <w:hideMark/>
          </w:tcPr>
          <w:p w:rsidR="0099399A" w:rsidRPr="00422D1D" w:rsidRDefault="0099399A" w:rsidP="00D873FC">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Share</w:t>
            </w:r>
            <w:r w:rsidRPr="00422D1D">
              <w:rPr>
                <w:rFonts w:ascii="Times New Roman" w:eastAsia="Times New Roman" w:hAnsi="Times New Roman" w:cs="Times New Roman"/>
                <w:b/>
                <w:bCs/>
                <w:color w:val="FFFFFF"/>
                <w:sz w:val="24"/>
                <w:szCs w:val="24"/>
                <w:lang w:eastAsia="tr-TR"/>
              </w:rPr>
              <w:br/>
              <w:t>(%)</w:t>
            </w:r>
          </w:p>
        </w:tc>
        <w:tc>
          <w:tcPr>
            <w:tcW w:w="1701" w:type="dxa"/>
            <w:tcBorders>
              <w:top w:val="nil"/>
              <w:left w:val="nil"/>
              <w:bottom w:val="nil"/>
              <w:right w:val="single" w:sz="8" w:space="0" w:color="auto"/>
            </w:tcBorders>
            <w:shd w:val="clear" w:color="auto" w:fill="FF0000"/>
            <w:vAlign w:val="center"/>
            <w:hideMark/>
          </w:tcPr>
          <w:p w:rsidR="0099399A" w:rsidRPr="00422D1D" w:rsidRDefault="0099399A" w:rsidP="00D873FC">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Installed Capacity</w:t>
            </w:r>
            <w:r w:rsidRPr="00422D1D">
              <w:rPr>
                <w:rFonts w:ascii="Times New Roman" w:eastAsia="Times New Roman" w:hAnsi="Times New Roman" w:cs="Times New Roman"/>
                <w:b/>
                <w:bCs/>
                <w:color w:val="FFFFFF"/>
                <w:sz w:val="24"/>
                <w:szCs w:val="24"/>
                <w:lang w:eastAsia="tr-TR"/>
              </w:rPr>
              <w:br/>
              <w:t xml:space="preserve"> (MWe)</w:t>
            </w:r>
          </w:p>
        </w:tc>
        <w:tc>
          <w:tcPr>
            <w:tcW w:w="1134" w:type="dxa"/>
            <w:tcBorders>
              <w:top w:val="nil"/>
              <w:left w:val="nil"/>
              <w:bottom w:val="nil"/>
              <w:right w:val="single" w:sz="8" w:space="0" w:color="auto"/>
            </w:tcBorders>
            <w:shd w:val="clear" w:color="auto" w:fill="FF0000"/>
            <w:vAlign w:val="center"/>
            <w:hideMark/>
          </w:tcPr>
          <w:p w:rsidR="0099399A" w:rsidRPr="00422D1D" w:rsidRDefault="0099399A" w:rsidP="00D873FC">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Share</w:t>
            </w:r>
            <w:r w:rsidRPr="00422D1D">
              <w:rPr>
                <w:rFonts w:ascii="Times New Roman" w:eastAsia="Times New Roman" w:hAnsi="Times New Roman" w:cs="Times New Roman"/>
                <w:b/>
                <w:bCs/>
                <w:color w:val="FFFFFF"/>
                <w:sz w:val="24"/>
                <w:szCs w:val="24"/>
                <w:lang w:eastAsia="tr-TR"/>
              </w:rPr>
              <w:br/>
              <w:t>(%)</w:t>
            </w:r>
          </w:p>
        </w:tc>
      </w:tr>
      <w:tr w:rsidR="0099399A" w:rsidRPr="00422D1D" w:rsidTr="0099399A">
        <w:trPr>
          <w:trHeight w:val="330"/>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Solar (Photovoltaic)</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2.978,84</w:t>
            </w:r>
          </w:p>
        </w:tc>
        <w:tc>
          <w:tcPr>
            <w:tcW w:w="127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93,87</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5.016,99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94,47</w:t>
            </w:r>
          </w:p>
        </w:tc>
      </w:tr>
      <w:tr w:rsidR="0099399A" w:rsidRPr="00422D1D" w:rsidTr="0099399A">
        <w:trPr>
          <w:trHeight w:val="330"/>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Natural Gas</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85,88</w:t>
            </w:r>
          </w:p>
        </w:tc>
        <w:tc>
          <w:tcPr>
            <w:tcW w:w="127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2,71</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153,04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2,88</w:t>
            </w:r>
          </w:p>
        </w:tc>
      </w:tr>
      <w:tr w:rsidR="0099399A" w:rsidRPr="00422D1D" w:rsidTr="0099399A">
        <w:trPr>
          <w:trHeight w:val="330"/>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Biomass</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66,72</w:t>
            </w:r>
          </w:p>
        </w:tc>
        <w:tc>
          <w:tcPr>
            <w:tcW w:w="127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2,10</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79,18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1,49</w:t>
            </w:r>
          </w:p>
        </w:tc>
      </w:tr>
      <w:tr w:rsidR="0099399A" w:rsidRPr="00422D1D" w:rsidTr="0099399A">
        <w:trPr>
          <w:trHeight w:val="330"/>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Wind</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32,20</w:t>
            </w:r>
          </w:p>
        </w:tc>
        <w:tc>
          <w:tcPr>
            <w:tcW w:w="127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1,01</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51,95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0,98</w:t>
            </w:r>
          </w:p>
        </w:tc>
      </w:tr>
      <w:tr w:rsidR="0099399A" w:rsidRPr="00422D1D" w:rsidTr="0099399A">
        <w:trPr>
          <w:trHeight w:val="330"/>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Hyraulic</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8,69</w:t>
            </w:r>
          </w:p>
        </w:tc>
        <w:tc>
          <w:tcPr>
            <w:tcW w:w="127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0,27</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8,91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0,17</w:t>
            </w:r>
          </w:p>
        </w:tc>
      </w:tr>
      <w:tr w:rsidR="0099399A" w:rsidRPr="00422D1D" w:rsidTr="0099399A">
        <w:trPr>
          <w:trHeight w:val="330"/>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Solar (Concentrated)</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1,00</w:t>
            </w:r>
          </w:p>
        </w:tc>
        <w:tc>
          <w:tcPr>
            <w:tcW w:w="127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0,03</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0,50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0,01</w:t>
            </w:r>
          </w:p>
        </w:tc>
      </w:tr>
      <w:tr w:rsidR="0099399A" w:rsidRPr="00422D1D" w:rsidTr="0099399A">
        <w:trPr>
          <w:trHeight w:val="330"/>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Total</w:t>
            </w:r>
          </w:p>
        </w:tc>
        <w:tc>
          <w:tcPr>
            <w:tcW w:w="1985"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3.173,32</w:t>
            </w:r>
          </w:p>
        </w:tc>
        <w:tc>
          <w:tcPr>
            <w:tcW w:w="1276"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100,00</w:t>
            </w:r>
          </w:p>
        </w:tc>
        <w:tc>
          <w:tcPr>
            <w:tcW w:w="1701"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5.310,57</w:t>
            </w:r>
          </w:p>
        </w:tc>
        <w:tc>
          <w:tcPr>
            <w:tcW w:w="1134"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100,00</w:t>
            </w:r>
          </w:p>
        </w:tc>
      </w:tr>
    </w:tbl>
    <w:p w:rsidR="0099399A" w:rsidRPr="00422D1D" w:rsidRDefault="0099399A" w:rsidP="0099399A">
      <w:pPr>
        <w:jc w:val="both"/>
        <w:rPr>
          <w:rFonts w:ascii="Times New Roman" w:hAnsi="Times New Roman" w:cs="Times New Roman"/>
          <w:color w:val="FF0000"/>
        </w:rPr>
      </w:pPr>
    </w:p>
    <w:p w:rsidR="0099399A" w:rsidRPr="00422D1D" w:rsidRDefault="0099399A" w:rsidP="0099399A">
      <w:pPr>
        <w:jc w:val="both"/>
        <w:rPr>
          <w:rFonts w:ascii="Times New Roman" w:hAnsi="Times New Roman" w:cs="Times New Roman"/>
          <w:color w:val="FF0000"/>
        </w:rPr>
      </w:pPr>
    </w:p>
    <w:p w:rsidR="0099399A" w:rsidRPr="00422D1D" w:rsidRDefault="00B25F9A" w:rsidP="00264A67">
      <w:pPr>
        <w:pStyle w:val="Balk2"/>
      </w:pPr>
      <w:bookmarkStart w:id="283" w:name="_Toc520822095"/>
      <w:bookmarkStart w:id="284" w:name="_Toc494988627"/>
      <w:bookmarkStart w:id="285" w:name="_Toc10123836"/>
      <w:bookmarkStart w:id="286" w:name="_Toc12526212"/>
      <w:bookmarkStart w:id="287" w:name="_Toc12535861"/>
      <w:r>
        <w:t>Figure 1.17</w:t>
      </w:r>
      <w:r w:rsidR="0099399A" w:rsidRPr="00422D1D">
        <w:t>: Distribution of Unlicensed Installed Capacity by</w:t>
      </w:r>
      <w:r w:rsidR="00264A67">
        <w:t xml:space="preserve"> Sources at the End of 2018</w:t>
      </w:r>
      <w:r w:rsidR="0099399A" w:rsidRPr="00422D1D">
        <w:t xml:space="preserve"> (%)</w:t>
      </w:r>
      <w:bookmarkEnd w:id="283"/>
      <w:bookmarkEnd w:id="284"/>
      <w:bookmarkEnd w:id="285"/>
      <w:bookmarkEnd w:id="286"/>
      <w:bookmarkEnd w:id="287"/>
    </w:p>
    <w:p w:rsidR="0099399A" w:rsidRPr="00422D1D" w:rsidRDefault="0099399A" w:rsidP="0099399A">
      <w:pPr>
        <w:jc w:val="both"/>
        <w:rPr>
          <w:rFonts w:ascii="Times New Roman" w:hAnsi="Times New Roman" w:cs="Times New Roman"/>
          <w:color w:val="FF0000"/>
        </w:rPr>
      </w:pPr>
      <w:r w:rsidRPr="00422D1D">
        <w:rPr>
          <w:rFonts w:ascii="Times New Roman" w:hAnsi="Times New Roman" w:cs="Times New Roman"/>
          <w:noProof/>
          <w:color w:val="FF0000"/>
          <w:lang w:bidi="ar-SA"/>
        </w:rPr>
        <w:drawing>
          <wp:inline distT="0" distB="0" distL="0" distR="0" wp14:anchorId="50D7839E" wp14:editId="76E1225B">
            <wp:extent cx="5760401" cy="3714750"/>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9450" cy="3714137"/>
                    </a:xfrm>
                    <a:prstGeom prst="rect">
                      <a:avLst/>
                    </a:prstGeom>
                    <a:noFill/>
                    <a:ln>
                      <a:noFill/>
                    </a:ln>
                  </pic:spPr>
                </pic:pic>
              </a:graphicData>
            </a:graphic>
          </wp:inline>
        </w:drawing>
      </w:r>
    </w:p>
    <w:p w:rsidR="0099399A" w:rsidRPr="00422D1D" w:rsidRDefault="0099399A" w:rsidP="0099399A">
      <w:pPr>
        <w:jc w:val="both"/>
        <w:rPr>
          <w:rFonts w:ascii="Times New Roman" w:hAnsi="Times New Roman" w:cs="Times New Roman"/>
        </w:rPr>
      </w:pPr>
    </w:p>
    <w:p w:rsidR="0099399A" w:rsidRPr="00422D1D" w:rsidRDefault="0099399A" w:rsidP="0099399A">
      <w:pPr>
        <w:jc w:val="both"/>
        <w:rPr>
          <w:rFonts w:ascii="Times New Roman" w:hAnsi="Times New Roman" w:cs="Times New Roman"/>
        </w:rPr>
      </w:pPr>
    </w:p>
    <w:p w:rsidR="0099399A" w:rsidRPr="00422D1D" w:rsidRDefault="0099399A" w:rsidP="00264A67">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lastRenderedPageBreak/>
        <w:t xml:space="preserve">The distribution of unlicensed installed capacity by provinces is shown in Table 1.6. As it was in 2017, the highest installed capacity belongs to Konya with 503,23 MW in 2018. After Konya, the following sequences are Kayseri with 310,15 MW, Ankara with 307,09 MW, Şanlıurfa with 254,81 MW, Kahramanmaraş with 207,30 MW, Afyonkarahisar with 206,99 MW, and İzmir with 178,41 MW respectively. </w:t>
      </w:r>
      <w:bookmarkStart w:id="288" w:name="_Toc520822042"/>
      <w:bookmarkStart w:id="289" w:name="_Toc494982826"/>
      <w:r w:rsidRPr="00422D1D">
        <w:rPr>
          <w:rFonts w:ascii="Times New Roman" w:hAnsi="Times New Roman" w:cs="Times New Roman"/>
          <w:sz w:val="24"/>
          <w:szCs w:val="24"/>
        </w:rPr>
        <w:t>Approximately 37% of the total unlicensed installed capacity is in these seven provinces. In addition, in 2018, Bingöl, Yalova, Ardahan and Iğdır additional 4 provinces have established an unlicensed electricity installed capacity.</w:t>
      </w:r>
    </w:p>
    <w:p w:rsidR="00F5335D" w:rsidRPr="00F5335D" w:rsidRDefault="00F5335D" w:rsidP="00F5335D">
      <w:pPr>
        <w:pStyle w:val="Balk1"/>
      </w:pPr>
      <w:bookmarkStart w:id="290" w:name="_Toc10123837"/>
      <w:bookmarkStart w:id="291" w:name="_Toc10191422"/>
      <w:bookmarkStart w:id="292" w:name="_Toc12526213"/>
      <w:bookmarkEnd w:id="288"/>
      <w:bookmarkEnd w:id="289"/>
      <w:r w:rsidRPr="00422D1D">
        <w:t>Table 1.6: Distribution of Unlicensed Installed Capacity by Province (MW- %)</w:t>
      </w:r>
      <w:bookmarkEnd w:id="290"/>
      <w:bookmarkEnd w:id="291"/>
      <w:bookmarkEnd w:id="292"/>
    </w:p>
    <w:tbl>
      <w:tblPr>
        <w:tblW w:w="8946" w:type="dxa"/>
        <w:tblInd w:w="55" w:type="dxa"/>
        <w:tblCellMar>
          <w:left w:w="70" w:type="dxa"/>
          <w:right w:w="70" w:type="dxa"/>
        </w:tblCellMar>
        <w:tblLook w:val="04A0" w:firstRow="1" w:lastRow="0" w:firstColumn="1" w:lastColumn="0" w:noHBand="0" w:noVBand="1"/>
      </w:tblPr>
      <w:tblGrid>
        <w:gridCol w:w="2992"/>
        <w:gridCol w:w="1559"/>
        <w:gridCol w:w="1418"/>
        <w:gridCol w:w="1559"/>
        <w:gridCol w:w="1418"/>
      </w:tblGrid>
      <w:tr w:rsidR="0099399A" w:rsidRPr="00422D1D" w:rsidTr="00F5335D">
        <w:trPr>
          <w:trHeight w:val="330"/>
          <w:tblHeader/>
        </w:trPr>
        <w:tc>
          <w:tcPr>
            <w:tcW w:w="2992" w:type="dxa"/>
            <w:vMerge w:val="restart"/>
            <w:tcBorders>
              <w:top w:val="single" w:sz="8" w:space="0" w:color="auto"/>
              <w:left w:val="single" w:sz="8" w:space="0" w:color="auto"/>
              <w:bottom w:val="nil"/>
              <w:right w:val="single" w:sz="8" w:space="0" w:color="auto"/>
            </w:tcBorders>
            <w:shd w:val="clear" w:color="auto" w:fill="FF0000"/>
            <w:noWrap/>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PROVINCE</w:t>
            </w:r>
          </w:p>
        </w:tc>
        <w:tc>
          <w:tcPr>
            <w:tcW w:w="2977"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2017</w:t>
            </w:r>
          </w:p>
        </w:tc>
        <w:tc>
          <w:tcPr>
            <w:tcW w:w="2977"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2018</w:t>
            </w:r>
          </w:p>
        </w:tc>
      </w:tr>
      <w:tr w:rsidR="0099399A" w:rsidRPr="00422D1D" w:rsidTr="00F5335D">
        <w:trPr>
          <w:trHeight w:val="638"/>
          <w:tblHeader/>
        </w:trPr>
        <w:tc>
          <w:tcPr>
            <w:tcW w:w="0" w:type="auto"/>
            <w:vMerge/>
            <w:tcBorders>
              <w:top w:val="single" w:sz="8" w:space="0" w:color="auto"/>
              <w:left w:val="single" w:sz="8" w:space="0" w:color="auto"/>
              <w:bottom w:val="single" w:sz="4" w:space="0" w:color="auto"/>
              <w:right w:val="single" w:sz="8" w:space="0" w:color="auto"/>
            </w:tcBorders>
            <w:vAlign w:val="center"/>
            <w:hideMark/>
          </w:tcPr>
          <w:p w:rsidR="0099399A" w:rsidRPr="00422D1D" w:rsidRDefault="0099399A" w:rsidP="00581682">
            <w:pPr>
              <w:jc w:val="center"/>
              <w:rPr>
                <w:rFonts w:ascii="Times New Roman" w:eastAsia="Times New Roman" w:hAnsi="Times New Roman" w:cs="Times New Roman"/>
                <w:b/>
                <w:bCs/>
                <w:color w:val="FFFFFF"/>
                <w:sz w:val="24"/>
                <w:szCs w:val="24"/>
                <w:lang w:val="tr-TR" w:eastAsia="tr-TR"/>
              </w:rPr>
            </w:pPr>
          </w:p>
        </w:tc>
        <w:tc>
          <w:tcPr>
            <w:tcW w:w="1559" w:type="dxa"/>
            <w:tcBorders>
              <w:top w:val="nil"/>
              <w:left w:val="nil"/>
              <w:bottom w:val="single" w:sz="4" w:space="0" w:color="auto"/>
              <w:right w:val="single" w:sz="8" w:space="0" w:color="auto"/>
            </w:tcBorders>
            <w:shd w:val="clear" w:color="auto" w:fill="FF0000"/>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Installed Capacity</w:t>
            </w:r>
            <w:r w:rsidRPr="00422D1D">
              <w:rPr>
                <w:rFonts w:ascii="Times New Roman" w:eastAsia="Times New Roman" w:hAnsi="Times New Roman" w:cs="Times New Roman"/>
                <w:b/>
                <w:bCs/>
                <w:color w:val="FFFFFF"/>
                <w:sz w:val="24"/>
                <w:szCs w:val="24"/>
                <w:lang w:eastAsia="tr-TR"/>
              </w:rPr>
              <w:br/>
              <w:t xml:space="preserve"> (MWe)</w:t>
            </w:r>
          </w:p>
        </w:tc>
        <w:tc>
          <w:tcPr>
            <w:tcW w:w="1418" w:type="dxa"/>
            <w:tcBorders>
              <w:top w:val="nil"/>
              <w:left w:val="nil"/>
              <w:bottom w:val="single" w:sz="4" w:space="0" w:color="auto"/>
              <w:right w:val="single" w:sz="8" w:space="0" w:color="auto"/>
            </w:tcBorders>
            <w:shd w:val="clear" w:color="auto" w:fill="FF0000"/>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Share (%)</w:t>
            </w:r>
          </w:p>
        </w:tc>
        <w:tc>
          <w:tcPr>
            <w:tcW w:w="1559" w:type="dxa"/>
            <w:tcBorders>
              <w:top w:val="nil"/>
              <w:left w:val="nil"/>
              <w:bottom w:val="single" w:sz="4" w:space="0" w:color="auto"/>
              <w:right w:val="single" w:sz="8" w:space="0" w:color="auto"/>
            </w:tcBorders>
            <w:shd w:val="clear" w:color="auto" w:fill="FF0000"/>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Installed Capacity</w:t>
            </w:r>
            <w:r w:rsidRPr="00422D1D">
              <w:rPr>
                <w:rFonts w:ascii="Times New Roman" w:eastAsia="Times New Roman" w:hAnsi="Times New Roman" w:cs="Times New Roman"/>
                <w:b/>
                <w:bCs/>
                <w:color w:val="FFFFFF"/>
                <w:sz w:val="24"/>
                <w:szCs w:val="24"/>
                <w:lang w:eastAsia="tr-TR"/>
              </w:rPr>
              <w:br/>
              <w:t xml:space="preserve"> (MWe)</w:t>
            </w:r>
          </w:p>
        </w:tc>
        <w:tc>
          <w:tcPr>
            <w:tcW w:w="1418" w:type="dxa"/>
            <w:tcBorders>
              <w:top w:val="nil"/>
              <w:left w:val="nil"/>
              <w:bottom w:val="single" w:sz="4" w:space="0" w:color="auto"/>
              <w:right w:val="single" w:sz="8" w:space="0" w:color="auto"/>
            </w:tcBorders>
            <w:shd w:val="clear" w:color="auto" w:fill="FF0000"/>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Share (%)</w:t>
            </w:r>
          </w:p>
        </w:tc>
      </w:tr>
      <w:tr w:rsidR="0099399A" w:rsidRPr="00422D1D" w:rsidTr="00F5335D">
        <w:trPr>
          <w:trHeight w:val="330"/>
        </w:trPr>
        <w:tc>
          <w:tcPr>
            <w:tcW w:w="2992" w:type="dxa"/>
            <w:tcBorders>
              <w:top w:val="single" w:sz="4" w:space="0" w:color="auto"/>
              <w:left w:val="single" w:sz="8" w:space="0" w:color="auto"/>
              <w:bottom w:val="single" w:sz="4"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KONYA</w:t>
            </w:r>
          </w:p>
        </w:tc>
        <w:tc>
          <w:tcPr>
            <w:tcW w:w="1559" w:type="dxa"/>
            <w:tcBorders>
              <w:top w:val="single" w:sz="4" w:space="0" w:color="auto"/>
              <w:left w:val="nil"/>
              <w:bottom w:val="single" w:sz="4"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437,61</w:t>
            </w:r>
          </w:p>
        </w:tc>
        <w:tc>
          <w:tcPr>
            <w:tcW w:w="1418" w:type="dxa"/>
            <w:tcBorders>
              <w:top w:val="single" w:sz="4" w:space="0" w:color="auto"/>
              <w:left w:val="nil"/>
              <w:bottom w:val="single" w:sz="4"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13,79</w:t>
            </w:r>
          </w:p>
        </w:tc>
        <w:tc>
          <w:tcPr>
            <w:tcW w:w="1559" w:type="dxa"/>
            <w:tcBorders>
              <w:top w:val="single" w:sz="4" w:space="0" w:color="auto"/>
              <w:left w:val="nil"/>
              <w:bottom w:val="single" w:sz="4"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503,23</w:t>
            </w:r>
          </w:p>
        </w:tc>
        <w:tc>
          <w:tcPr>
            <w:tcW w:w="1418" w:type="dxa"/>
            <w:tcBorders>
              <w:top w:val="single" w:sz="4" w:space="0" w:color="auto"/>
              <w:left w:val="nil"/>
              <w:bottom w:val="single" w:sz="4"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9,48</w:t>
            </w:r>
          </w:p>
        </w:tc>
      </w:tr>
      <w:tr w:rsidR="0099399A" w:rsidRPr="00422D1D" w:rsidTr="00F5335D">
        <w:trPr>
          <w:trHeight w:val="330"/>
        </w:trPr>
        <w:tc>
          <w:tcPr>
            <w:tcW w:w="2992" w:type="dxa"/>
            <w:tcBorders>
              <w:top w:val="single" w:sz="4" w:space="0" w:color="auto"/>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KAYSERİ</w:t>
            </w:r>
          </w:p>
        </w:tc>
        <w:tc>
          <w:tcPr>
            <w:tcW w:w="1559" w:type="dxa"/>
            <w:tcBorders>
              <w:top w:val="single" w:sz="4" w:space="0" w:color="auto"/>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279,64</w:t>
            </w:r>
          </w:p>
        </w:tc>
        <w:tc>
          <w:tcPr>
            <w:tcW w:w="1418" w:type="dxa"/>
            <w:tcBorders>
              <w:top w:val="single" w:sz="4" w:space="0" w:color="auto"/>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8,81</w:t>
            </w:r>
          </w:p>
        </w:tc>
        <w:tc>
          <w:tcPr>
            <w:tcW w:w="1559" w:type="dxa"/>
            <w:tcBorders>
              <w:top w:val="single" w:sz="4" w:space="0" w:color="auto"/>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310,15</w:t>
            </w:r>
          </w:p>
        </w:tc>
        <w:tc>
          <w:tcPr>
            <w:tcW w:w="1418" w:type="dxa"/>
            <w:tcBorders>
              <w:top w:val="single" w:sz="4" w:space="0" w:color="auto"/>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5,84</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ANKARA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158,78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5,00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307,09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5,78</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ŞANLIURFA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73,75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2,32</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254,81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4,80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KAHRAMANMARAŞ</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88,15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2,78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207,30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3,90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AFYONKARAHİSAR</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134,67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4,24</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206,99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3,90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İZMİR</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56,67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1,79</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178,41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3,36</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MERSİN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114,37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3,60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177,70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3,35</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ELAZIĞ</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81,08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2,56</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162,61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3,06</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ESKİŞEHİR</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72,86</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2,30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157,11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2,96</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DENİZLİ</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69,27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2,18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145,67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2,74</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ANTALYA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117,89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3,71</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139,43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2,63</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GAZİANTEP</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93,37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2,94</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135,39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2,55</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NEVŞEHİR</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79,12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2,49</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130,40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2,46</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AYDIN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59,04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1,86</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122,90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2,31</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ADANA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81,41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2,57</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122,03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2,30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ISPARTA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83,21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2,62</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108,28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2,04</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MANİSA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62,60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1,97</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102,01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1,92</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lastRenderedPageBreak/>
              <w:t>KÜTAHYA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41,19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99,37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1,87</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NİĞDE</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84,09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2,65</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98,45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1,85</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ADIYAMAN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53,80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1,70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98,38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1,85</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MALATYA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34,41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96,54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1,82</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MUĞLA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51,42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1,62</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95,51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1,80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BALIKESİR</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61,33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1,93</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89,31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1,68</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AKSARAY</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76,01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2,40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85,65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1,61</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ERZURUM</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50,40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1,59</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83,37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1,57</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UŞAK</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68,80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2,17</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80,31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1,51</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ÇORUM</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30,47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0,96</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76,09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1,43</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SİVAS</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44,28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1,40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72,73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1,37</w:t>
            </w:r>
          </w:p>
        </w:tc>
      </w:tr>
      <w:tr w:rsidR="0099399A" w:rsidRPr="00422D1D" w:rsidTr="00F5335D">
        <w:trPr>
          <w:trHeight w:val="142"/>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KARAMAN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49,24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1,55</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67,13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1,26</w:t>
            </w:r>
          </w:p>
        </w:tc>
      </w:tr>
      <w:tr w:rsidR="0099399A" w:rsidRPr="00422D1D" w:rsidTr="00F5335D">
        <w:trPr>
          <w:trHeight w:val="232"/>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OSMANİYE</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38,27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1,21</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66,83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1,26</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BURDUR</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50,28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64,34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1,21</w:t>
            </w:r>
          </w:p>
        </w:tc>
      </w:tr>
      <w:tr w:rsidR="0099399A" w:rsidRPr="00422D1D" w:rsidTr="00F5335D">
        <w:trPr>
          <w:trHeight w:val="229"/>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YOZGAT</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27,83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0,88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60,25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1,13</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ÇANKIRI</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5,99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0,19</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48,79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0,92</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BURSA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21,48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0,68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48,07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0,91</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BİLECİK</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5,05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0,16</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47,89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0,90</w:t>
            </w:r>
          </w:p>
        </w:tc>
      </w:tr>
      <w:tr w:rsidR="0099399A" w:rsidRPr="00422D1D" w:rsidTr="00F5335D">
        <w:trPr>
          <w:trHeight w:val="294"/>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KIRŞEHİR</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26,58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0,84</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46,36</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0,87</w:t>
            </w:r>
          </w:p>
        </w:tc>
      </w:tr>
      <w:tr w:rsidR="0099399A" w:rsidRPr="00422D1D" w:rsidTr="00F5335D">
        <w:trPr>
          <w:trHeight w:val="128"/>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İSTANBUL</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38,02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42,68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0,80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KIRIKKALE</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25,82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0,81</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39,93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0,75</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ERZİNCAN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21,69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0,68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38,67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0,73</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SAMSUN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7,63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0,24</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35,41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0,67</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DİYARBAKIR</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4,65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0,15</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31,74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0,60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AMASYA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13,76</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0,43</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29,63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0,56</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lastRenderedPageBreak/>
              <w:t>ÇANAKKALE</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11,10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0,35</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21,66</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0,41</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TOKAT</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15,14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0,48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17,82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0,34</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HATAY</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6,34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17,10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0,32</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KOCAELİ</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8,42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0,27</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15,01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0,28</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BİTLİS</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3,49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0,11</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14,47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0,27</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BATMAN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13,04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0,25</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VAN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1,42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0,04</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13,02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0,25</w:t>
            </w:r>
          </w:p>
        </w:tc>
      </w:tr>
      <w:tr w:rsidR="0099399A" w:rsidRPr="00422D1D" w:rsidTr="00F5335D">
        <w:trPr>
          <w:trHeight w:val="306"/>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BAYBURT</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5,03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0,16</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12,02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0,23</w:t>
            </w:r>
          </w:p>
        </w:tc>
      </w:tr>
      <w:tr w:rsidR="0099399A" w:rsidRPr="00422D1D" w:rsidTr="00F5335D">
        <w:trPr>
          <w:trHeight w:val="254"/>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KİLİS</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11,26</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0,35</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11,84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0,22</w:t>
            </w:r>
          </w:p>
        </w:tc>
      </w:tr>
      <w:tr w:rsidR="0099399A" w:rsidRPr="00422D1D" w:rsidTr="00F5335D">
        <w:trPr>
          <w:trHeight w:val="116"/>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SAKARYA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8,79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10,79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KARABÜK</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8,64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0,27</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10,64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TEKİRDAĞ</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3,15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6,30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0,12</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SİİRT</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0,19</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0,01</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4,65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0,09</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KASTAMONU</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0,01</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3,55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0,07</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KARS</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2,76</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0,09</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3,26</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0,06</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BOLU</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2,25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0,07</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3,24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0,06</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BİNGÖL</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2,75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0,05</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ZONGULDAK</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2,48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2,48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0,05</w:t>
            </w:r>
          </w:p>
        </w:tc>
      </w:tr>
      <w:tr w:rsidR="0099399A" w:rsidRPr="00422D1D" w:rsidTr="00F5335D">
        <w:trPr>
          <w:trHeight w:val="133"/>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MUŞ</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2,16</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0,07</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2,46</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0,05</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MARDİN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0,42</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0,01</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1,97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0,04</w:t>
            </w:r>
          </w:p>
        </w:tc>
      </w:tr>
      <w:tr w:rsidR="0099399A" w:rsidRPr="00422D1D" w:rsidTr="00F5335D">
        <w:trPr>
          <w:trHeight w:val="198"/>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YALOVA</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1,41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0,03</w:t>
            </w:r>
          </w:p>
        </w:tc>
      </w:tr>
      <w:tr w:rsidR="0099399A" w:rsidRPr="00422D1D" w:rsidTr="00F5335D">
        <w:trPr>
          <w:trHeight w:val="174"/>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EDİRNE</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0,84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0,03</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1,34</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0,03</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ARDAHAN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1,10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0,02</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DÜZCE</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1,01</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0,03</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1,03</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0,02</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ORDU</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0,03</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0,02</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lastRenderedPageBreak/>
              <w:t>TUNCELİ</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0,97</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0,03</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0,98</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0,02</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IĞDIR</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0,50</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0,01</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ind w:firstLineChars="100" w:firstLine="240"/>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BARTIN</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0,01</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0,25</w:t>
            </w:r>
          </w:p>
        </w:tc>
        <w:tc>
          <w:tcPr>
            <w:tcW w:w="141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0,00</w:t>
            </w:r>
          </w:p>
        </w:tc>
      </w:tr>
      <w:tr w:rsidR="0099399A" w:rsidRPr="00422D1D" w:rsidTr="00F5335D">
        <w:trPr>
          <w:trHeight w:val="330"/>
        </w:trPr>
        <w:tc>
          <w:tcPr>
            <w:tcW w:w="2992"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Grand Total</w:t>
            </w:r>
          </w:p>
        </w:tc>
        <w:tc>
          <w:tcPr>
            <w:tcW w:w="1559"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3.173,32</w:t>
            </w:r>
          </w:p>
        </w:tc>
        <w:tc>
          <w:tcPr>
            <w:tcW w:w="1418"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100,00</w:t>
            </w:r>
          </w:p>
        </w:tc>
        <w:tc>
          <w:tcPr>
            <w:tcW w:w="1559"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5.310,57</w:t>
            </w:r>
          </w:p>
        </w:tc>
        <w:tc>
          <w:tcPr>
            <w:tcW w:w="1418"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100,00</w:t>
            </w:r>
          </w:p>
        </w:tc>
      </w:tr>
    </w:tbl>
    <w:p w:rsidR="0099399A" w:rsidRPr="00422D1D" w:rsidRDefault="0099399A" w:rsidP="0099399A">
      <w:pPr>
        <w:spacing w:line="360" w:lineRule="auto"/>
        <w:ind w:firstLine="708"/>
        <w:jc w:val="both"/>
        <w:rPr>
          <w:rFonts w:ascii="Times New Roman" w:hAnsi="Times New Roman" w:cs="Times New Roman"/>
          <w:b/>
          <w:sz w:val="24"/>
        </w:rPr>
      </w:pPr>
    </w:p>
    <w:p w:rsidR="0099731C" w:rsidRDefault="0099731C" w:rsidP="00F5335D">
      <w:pPr>
        <w:spacing w:line="360" w:lineRule="auto"/>
        <w:jc w:val="both"/>
        <w:rPr>
          <w:rFonts w:ascii="Times New Roman" w:hAnsi="Times New Roman" w:cs="Times New Roman"/>
          <w:sz w:val="24"/>
          <w:szCs w:val="24"/>
        </w:rPr>
      </w:pPr>
    </w:p>
    <w:p w:rsidR="0099399A" w:rsidRPr="00422D1D" w:rsidRDefault="0099399A" w:rsidP="00F5335D">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 xml:space="preserve">The distribution of unlicensed electricity generation by sources is given in Table 1.7 and at Figure 1.19. In 2017, the amount of energy supplied to the grid within the scope of unlicensed electricity generation was 3.031.331,42 MWh, it increased to 8.212.409,37 MWh in 2018. 95,71% came from solar, 2,51% from biomass, and 1,78% includes wind and hydraulic. </w:t>
      </w:r>
    </w:p>
    <w:p w:rsidR="0099399A" w:rsidRPr="00422D1D" w:rsidRDefault="0099399A" w:rsidP="0099399A">
      <w:pPr>
        <w:pStyle w:val="Balk5"/>
        <w:spacing w:before="0" w:after="200"/>
        <w:jc w:val="both"/>
        <w:rPr>
          <w:rFonts w:ascii="Times New Roman" w:hAnsi="Times New Roman" w:cs="Times New Roman"/>
          <w:b/>
          <w:sz w:val="24"/>
        </w:rPr>
      </w:pPr>
      <w:bookmarkStart w:id="293" w:name="_Toc494982827"/>
    </w:p>
    <w:p w:rsidR="0099399A" w:rsidRPr="00422D1D" w:rsidRDefault="0099399A" w:rsidP="00F5335D">
      <w:pPr>
        <w:pStyle w:val="Balk1"/>
      </w:pPr>
      <w:bookmarkStart w:id="294" w:name="_Toc520822043"/>
      <w:bookmarkStart w:id="295" w:name="_Toc10123838"/>
      <w:bookmarkStart w:id="296" w:name="_Toc10191423"/>
      <w:bookmarkStart w:id="297" w:name="_Toc12526214"/>
      <w:r w:rsidRPr="00422D1D">
        <w:t xml:space="preserve">Table 1.7:  Distribution of Unlicensed Electricity Generation by Sources </w:t>
      </w:r>
      <w:r w:rsidRPr="00422D1D">
        <w:br/>
        <w:t>(MWh-%)</w:t>
      </w:r>
      <w:bookmarkEnd w:id="293"/>
      <w:bookmarkEnd w:id="294"/>
      <w:bookmarkEnd w:id="295"/>
      <w:bookmarkEnd w:id="296"/>
      <w:bookmarkEnd w:id="297"/>
    </w:p>
    <w:tbl>
      <w:tblPr>
        <w:tblW w:w="9229" w:type="dxa"/>
        <w:tblInd w:w="55" w:type="dxa"/>
        <w:tblCellMar>
          <w:left w:w="70" w:type="dxa"/>
          <w:right w:w="70" w:type="dxa"/>
        </w:tblCellMar>
        <w:tblLook w:val="04A0" w:firstRow="1" w:lastRow="0" w:firstColumn="1" w:lastColumn="0" w:noHBand="0" w:noVBand="1"/>
      </w:tblPr>
      <w:tblGrid>
        <w:gridCol w:w="1960"/>
        <w:gridCol w:w="2450"/>
        <w:gridCol w:w="1134"/>
        <w:gridCol w:w="2551"/>
        <w:gridCol w:w="1134"/>
      </w:tblGrid>
      <w:tr w:rsidR="0099399A" w:rsidRPr="00422D1D" w:rsidTr="0099399A">
        <w:trPr>
          <w:trHeight w:val="330"/>
        </w:trPr>
        <w:tc>
          <w:tcPr>
            <w:tcW w:w="1960" w:type="dxa"/>
            <w:vMerge w:val="restart"/>
            <w:tcBorders>
              <w:top w:val="single" w:sz="8" w:space="0" w:color="auto"/>
              <w:left w:val="single" w:sz="8" w:space="0" w:color="auto"/>
              <w:bottom w:val="nil"/>
              <w:right w:val="single" w:sz="8" w:space="0" w:color="auto"/>
            </w:tcBorders>
            <w:shd w:val="clear" w:color="auto" w:fill="FF0000"/>
            <w:noWrap/>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Resource Type</w:t>
            </w:r>
          </w:p>
        </w:tc>
        <w:tc>
          <w:tcPr>
            <w:tcW w:w="3584"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2017</w:t>
            </w:r>
          </w:p>
        </w:tc>
        <w:tc>
          <w:tcPr>
            <w:tcW w:w="3685"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2018</w:t>
            </w:r>
          </w:p>
        </w:tc>
      </w:tr>
      <w:tr w:rsidR="0099399A" w:rsidRPr="00422D1D" w:rsidTr="0099399A">
        <w:trPr>
          <w:trHeight w:val="915"/>
        </w:trPr>
        <w:tc>
          <w:tcPr>
            <w:tcW w:w="0" w:type="auto"/>
            <w:vMerge/>
            <w:tcBorders>
              <w:top w:val="single" w:sz="8" w:space="0" w:color="auto"/>
              <w:left w:val="single" w:sz="8" w:space="0" w:color="auto"/>
              <w:bottom w:val="nil"/>
              <w:right w:val="single" w:sz="8" w:space="0" w:color="auto"/>
            </w:tcBorders>
            <w:vAlign w:val="center"/>
            <w:hideMark/>
          </w:tcPr>
          <w:p w:rsidR="0099399A" w:rsidRPr="00422D1D" w:rsidRDefault="0099399A" w:rsidP="00581682">
            <w:pPr>
              <w:jc w:val="center"/>
              <w:rPr>
                <w:rFonts w:ascii="Times New Roman" w:eastAsia="Times New Roman" w:hAnsi="Times New Roman" w:cs="Times New Roman"/>
                <w:b/>
                <w:bCs/>
                <w:color w:val="FFFFFF"/>
                <w:sz w:val="24"/>
                <w:szCs w:val="24"/>
                <w:lang w:val="tr-TR" w:eastAsia="tr-TR"/>
              </w:rPr>
            </w:pPr>
          </w:p>
        </w:tc>
        <w:tc>
          <w:tcPr>
            <w:tcW w:w="2450" w:type="dxa"/>
            <w:tcBorders>
              <w:top w:val="nil"/>
              <w:left w:val="nil"/>
              <w:bottom w:val="nil"/>
              <w:right w:val="single" w:sz="8" w:space="0" w:color="auto"/>
            </w:tcBorders>
            <w:shd w:val="clear" w:color="auto" w:fill="FF0000"/>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The amount of energy given to the system as surplus (MWh)</w:t>
            </w:r>
          </w:p>
        </w:tc>
        <w:tc>
          <w:tcPr>
            <w:tcW w:w="1134" w:type="dxa"/>
            <w:tcBorders>
              <w:top w:val="nil"/>
              <w:left w:val="nil"/>
              <w:bottom w:val="nil"/>
              <w:right w:val="single" w:sz="8" w:space="0" w:color="auto"/>
            </w:tcBorders>
            <w:shd w:val="clear" w:color="auto" w:fill="FF0000"/>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Share</w:t>
            </w:r>
            <w:r w:rsidRPr="00422D1D">
              <w:rPr>
                <w:rFonts w:ascii="Times New Roman" w:eastAsia="Times New Roman" w:hAnsi="Times New Roman" w:cs="Times New Roman"/>
                <w:b/>
                <w:bCs/>
                <w:color w:val="FFFFFF"/>
                <w:sz w:val="24"/>
                <w:szCs w:val="24"/>
                <w:lang w:eastAsia="tr-TR"/>
              </w:rPr>
              <w:br/>
              <w:t xml:space="preserve"> (%)</w:t>
            </w:r>
          </w:p>
        </w:tc>
        <w:tc>
          <w:tcPr>
            <w:tcW w:w="2551" w:type="dxa"/>
            <w:tcBorders>
              <w:top w:val="nil"/>
              <w:left w:val="nil"/>
              <w:bottom w:val="nil"/>
              <w:right w:val="single" w:sz="8" w:space="0" w:color="auto"/>
            </w:tcBorders>
            <w:shd w:val="clear" w:color="auto" w:fill="FF0000"/>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The amount of energy given to the system as surplus (MWh)</w:t>
            </w:r>
          </w:p>
        </w:tc>
        <w:tc>
          <w:tcPr>
            <w:tcW w:w="1134" w:type="dxa"/>
            <w:tcBorders>
              <w:top w:val="nil"/>
              <w:left w:val="nil"/>
              <w:bottom w:val="nil"/>
              <w:right w:val="single" w:sz="8" w:space="0" w:color="auto"/>
            </w:tcBorders>
            <w:shd w:val="clear" w:color="auto" w:fill="FF0000"/>
            <w:vAlign w:val="center"/>
            <w:hideMark/>
          </w:tcPr>
          <w:p w:rsidR="0099399A" w:rsidRPr="00422D1D" w:rsidRDefault="0099399A" w:rsidP="00581682">
            <w:pPr>
              <w:spacing w:line="240" w:lineRule="auto"/>
              <w:jc w:val="center"/>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Share</w:t>
            </w:r>
            <w:r w:rsidRPr="00422D1D">
              <w:rPr>
                <w:rFonts w:ascii="Times New Roman" w:eastAsia="Times New Roman" w:hAnsi="Times New Roman" w:cs="Times New Roman"/>
                <w:b/>
                <w:bCs/>
                <w:color w:val="FFFFFF"/>
                <w:sz w:val="24"/>
                <w:szCs w:val="24"/>
                <w:lang w:eastAsia="tr-TR"/>
              </w:rPr>
              <w:br/>
              <w:t xml:space="preserve"> (%)</w:t>
            </w:r>
          </w:p>
        </w:tc>
      </w:tr>
      <w:tr w:rsidR="0099399A" w:rsidRPr="00422D1D" w:rsidTr="0099399A">
        <w:trPr>
          <w:trHeight w:val="330"/>
        </w:trPr>
        <w:tc>
          <w:tcPr>
            <w:tcW w:w="19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Solar</w:t>
            </w:r>
          </w:p>
        </w:tc>
        <w:tc>
          <w:tcPr>
            <w:tcW w:w="245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2.836.173,49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93,56</w:t>
            </w:r>
          </w:p>
        </w:tc>
        <w:tc>
          <w:tcPr>
            <w:tcW w:w="255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7.859.766,42</w:t>
            </w:r>
          </w:p>
        </w:tc>
        <w:tc>
          <w:tcPr>
            <w:tcW w:w="113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95,71</w:t>
            </w:r>
          </w:p>
        </w:tc>
      </w:tr>
      <w:tr w:rsidR="0099399A" w:rsidRPr="00422D1D" w:rsidTr="0099399A">
        <w:trPr>
          <w:trHeight w:val="330"/>
        </w:trPr>
        <w:tc>
          <w:tcPr>
            <w:tcW w:w="19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Biomass</w:t>
            </w:r>
          </w:p>
        </w:tc>
        <w:tc>
          <w:tcPr>
            <w:tcW w:w="245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138.657,08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4,57</w:t>
            </w:r>
          </w:p>
        </w:tc>
        <w:tc>
          <w:tcPr>
            <w:tcW w:w="255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205.901,95</w:t>
            </w:r>
          </w:p>
        </w:tc>
        <w:tc>
          <w:tcPr>
            <w:tcW w:w="113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2,51</w:t>
            </w:r>
          </w:p>
        </w:tc>
      </w:tr>
      <w:tr w:rsidR="0099399A" w:rsidRPr="00422D1D" w:rsidTr="0099399A">
        <w:trPr>
          <w:trHeight w:val="330"/>
        </w:trPr>
        <w:tc>
          <w:tcPr>
            <w:tcW w:w="19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Wınd</w:t>
            </w:r>
          </w:p>
        </w:tc>
        <w:tc>
          <w:tcPr>
            <w:tcW w:w="245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36.954,64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1,22</w:t>
            </w:r>
          </w:p>
        </w:tc>
        <w:tc>
          <w:tcPr>
            <w:tcW w:w="255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111.990,43</w:t>
            </w:r>
          </w:p>
        </w:tc>
        <w:tc>
          <w:tcPr>
            <w:tcW w:w="113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1,36</w:t>
            </w:r>
          </w:p>
        </w:tc>
      </w:tr>
      <w:tr w:rsidR="0099399A" w:rsidRPr="00422D1D" w:rsidTr="0099399A">
        <w:trPr>
          <w:trHeight w:val="330"/>
        </w:trPr>
        <w:tc>
          <w:tcPr>
            <w:tcW w:w="19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Hydro</w:t>
            </w:r>
          </w:p>
        </w:tc>
        <w:tc>
          <w:tcPr>
            <w:tcW w:w="245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19.546,21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0,64</w:t>
            </w:r>
          </w:p>
        </w:tc>
        <w:tc>
          <w:tcPr>
            <w:tcW w:w="255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34.750,58</w:t>
            </w:r>
          </w:p>
        </w:tc>
        <w:tc>
          <w:tcPr>
            <w:tcW w:w="113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sz w:val="24"/>
                <w:szCs w:val="24"/>
                <w:lang w:eastAsia="tr-TR"/>
              </w:rPr>
            </w:pPr>
            <w:r w:rsidRPr="00422D1D">
              <w:rPr>
                <w:rFonts w:ascii="Times New Roman" w:eastAsia="Times New Roman" w:hAnsi="Times New Roman" w:cs="Times New Roman"/>
                <w:color w:val="000000"/>
                <w:sz w:val="24"/>
                <w:szCs w:val="24"/>
                <w:lang w:eastAsia="tr-TR"/>
              </w:rPr>
              <w:t>0,42</w:t>
            </w:r>
          </w:p>
        </w:tc>
      </w:tr>
      <w:tr w:rsidR="0099399A" w:rsidRPr="00422D1D" w:rsidTr="0099399A">
        <w:trPr>
          <w:trHeight w:val="330"/>
        </w:trPr>
        <w:tc>
          <w:tcPr>
            <w:tcW w:w="19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4"/>
                <w:szCs w:val="24"/>
                <w:lang w:eastAsia="tr-TR"/>
              </w:rPr>
            </w:pPr>
            <w:r w:rsidRPr="00422D1D">
              <w:rPr>
                <w:rFonts w:ascii="Times New Roman" w:eastAsia="Times New Roman" w:hAnsi="Times New Roman" w:cs="Times New Roman"/>
                <w:color w:val="FFFFFF"/>
                <w:sz w:val="24"/>
                <w:szCs w:val="24"/>
                <w:lang w:eastAsia="tr-TR"/>
              </w:rPr>
              <w:t>Grand Total</w:t>
            </w:r>
          </w:p>
        </w:tc>
        <w:tc>
          <w:tcPr>
            <w:tcW w:w="2450"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3.031.331,42</w:t>
            </w:r>
          </w:p>
        </w:tc>
        <w:tc>
          <w:tcPr>
            <w:tcW w:w="1134"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100,00</w:t>
            </w:r>
          </w:p>
        </w:tc>
        <w:tc>
          <w:tcPr>
            <w:tcW w:w="2551"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8.212.409,37</w:t>
            </w:r>
          </w:p>
        </w:tc>
        <w:tc>
          <w:tcPr>
            <w:tcW w:w="1134"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sz w:val="24"/>
                <w:szCs w:val="24"/>
                <w:lang w:eastAsia="tr-TR"/>
              </w:rPr>
            </w:pPr>
            <w:r w:rsidRPr="00422D1D">
              <w:rPr>
                <w:rFonts w:ascii="Times New Roman" w:eastAsia="Times New Roman" w:hAnsi="Times New Roman" w:cs="Times New Roman"/>
                <w:b/>
                <w:bCs/>
                <w:color w:val="FFFFFF"/>
                <w:sz w:val="24"/>
                <w:szCs w:val="24"/>
                <w:lang w:eastAsia="tr-TR"/>
              </w:rPr>
              <w:t>100,00</w:t>
            </w:r>
          </w:p>
        </w:tc>
      </w:tr>
    </w:tbl>
    <w:p w:rsidR="0099399A" w:rsidRPr="00422D1D" w:rsidRDefault="0099399A" w:rsidP="0099399A">
      <w:pPr>
        <w:spacing w:line="360" w:lineRule="auto"/>
        <w:ind w:firstLine="708"/>
        <w:jc w:val="both"/>
        <w:rPr>
          <w:rFonts w:ascii="Times New Roman" w:hAnsi="Times New Roman" w:cs="Times New Roman"/>
          <w:b/>
          <w:sz w:val="24"/>
        </w:rPr>
      </w:pPr>
    </w:p>
    <w:p w:rsidR="0099399A" w:rsidRPr="00422D1D" w:rsidRDefault="00B25F9A" w:rsidP="00F5335D">
      <w:pPr>
        <w:pStyle w:val="Balk2"/>
      </w:pPr>
      <w:bookmarkStart w:id="298" w:name="_Toc520822096"/>
      <w:bookmarkStart w:id="299" w:name="_Toc494988628"/>
      <w:bookmarkStart w:id="300" w:name="_Toc10123839"/>
      <w:bookmarkStart w:id="301" w:name="_Toc12526215"/>
      <w:bookmarkStart w:id="302" w:name="_Toc12535862"/>
      <w:r>
        <w:lastRenderedPageBreak/>
        <w:t>Figure 1.18</w:t>
      </w:r>
      <w:r w:rsidR="0099399A" w:rsidRPr="00422D1D">
        <w:t>: Distribution of Unlicensed Electricity Generation by Sources in 2018 (%)</w:t>
      </w:r>
      <w:bookmarkEnd w:id="298"/>
      <w:bookmarkEnd w:id="299"/>
      <w:bookmarkEnd w:id="300"/>
      <w:bookmarkEnd w:id="301"/>
      <w:bookmarkEnd w:id="302"/>
    </w:p>
    <w:p w:rsidR="0099399A" w:rsidRPr="00422D1D" w:rsidRDefault="0099399A" w:rsidP="00F5335D">
      <w:pPr>
        <w:spacing w:line="360" w:lineRule="auto"/>
        <w:ind w:firstLine="708"/>
        <w:jc w:val="center"/>
        <w:rPr>
          <w:rFonts w:ascii="Times New Roman" w:hAnsi="Times New Roman" w:cs="Times New Roman"/>
          <w:b/>
          <w:sz w:val="24"/>
        </w:rPr>
      </w:pPr>
      <w:r w:rsidRPr="00422D1D">
        <w:rPr>
          <w:rFonts w:ascii="Times New Roman" w:hAnsi="Times New Roman" w:cs="Times New Roman"/>
          <w:noProof/>
          <w:lang w:bidi="ar-SA"/>
        </w:rPr>
        <w:drawing>
          <wp:inline distT="0" distB="0" distL="0" distR="0" wp14:anchorId="35EFF4B8" wp14:editId="518C13D4">
            <wp:extent cx="4572000" cy="3619500"/>
            <wp:effectExtent l="0" t="0" r="19050" b="19050"/>
            <wp:docPr id="61" name="Grafik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9399A" w:rsidRPr="00422D1D" w:rsidRDefault="0099399A" w:rsidP="0099399A">
      <w:pPr>
        <w:jc w:val="both"/>
        <w:rPr>
          <w:rFonts w:ascii="Times New Roman" w:hAnsi="Times New Roman" w:cs="Times New Roman"/>
          <w:sz w:val="24"/>
        </w:rPr>
      </w:pPr>
    </w:p>
    <w:p w:rsidR="0099399A" w:rsidRPr="00422D1D" w:rsidRDefault="0099399A" w:rsidP="00F5335D">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The distribution of energy that is given to the system as a result of unlicensed electricity generation by provinces is shown in Table 1.8. The highest generation was in Konya in 2017, and in 2018 the highest generation was in Konya as well. Kayseri, Afyonkarahisar, Ankara, İzmir, Şanlıurfa, Kahramanmaraş and Manisa were other important provinces in unlicensed electricity generation.</w:t>
      </w:r>
    </w:p>
    <w:p w:rsidR="0099399A" w:rsidRPr="00422D1D" w:rsidRDefault="0099399A" w:rsidP="00F5335D">
      <w:pPr>
        <w:pStyle w:val="Balk1"/>
      </w:pPr>
      <w:bookmarkStart w:id="303" w:name="_Toc520822044"/>
      <w:bookmarkStart w:id="304" w:name="_Toc494982828"/>
      <w:bookmarkStart w:id="305" w:name="_Toc10123840"/>
      <w:bookmarkStart w:id="306" w:name="_Toc10191424"/>
      <w:bookmarkStart w:id="307" w:name="_Toc12526216"/>
      <w:r w:rsidRPr="00422D1D">
        <w:t>Table 1.8: Distribution of Unlicensed Electricity Generation by Provinces (MWh-%)</w:t>
      </w:r>
      <w:bookmarkEnd w:id="303"/>
      <w:bookmarkEnd w:id="304"/>
      <w:bookmarkEnd w:id="305"/>
      <w:bookmarkEnd w:id="306"/>
      <w:bookmarkEnd w:id="307"/>
    </w:p>
    <w:tbl>
      <w:tblPr>
        <w:tblW w:w="9229" w:type="dxa"/>
        <w:tblInd w:w="55" w:type="dxa"/>
        <w:tblCellMar>
          <w:left w:w="70" w:type="dxa"/>
          <w:right w:w="70" w:type="dxa"/>
        </w:tblCellMar>
        <w:tblLook w:val="04A0" w:firstRow="1" w:lastRow="0" w:firstColumn="1" w:lastColumn="0" w:noHBand="0" w:noVBand="1"/>
      </w:tblPr>
      <w:tblGrid>
        <w:gridCol w:w="2283"/>
        <w:gridCol w:w="2268"/>
        <w:gridCol w:w="1134"/>
        <w:gridCol w:w="2410"/>
        <w:gridCol w:w="1134"/>
      </w:tblGrid>
      <w:tr w:rsidR="0099399A" w:rsidRPr="00422D1D" w:rsidTr="0099399A">
        <w:trPr>
          <w:trHeight w:val="160"/>
          <w:tblHeader/>
        </w:trPr>
        <w:tc>
          <w:tcPr>
            <w:tcW w:w="2283" w:type="dxa"/>
            <w:vMerge w:val="restart"/>
            <w:tcBorders>
              <w:top w:val="single" w:sz="8" w:space="0" w:color="auto"/>
              <w:left w:val="single" w:sz="8" w:space="0" w:color="auto"/>
              <w:bottom w:val="nil"/>
              <w:right w:val="single" w:sz="8" w:space="0" w:color="auto"/>
            </w:tcBorders>
            <w:shd w:val="clear" w:color="auto" w:fill="FF0000"/>
            <w:noWrap/>
            <w:vAlign w:val="center"/>
            <w:hideMark/>
          </w:tcPr>
          <w:p w:rsidR="0099399A" w:rsidRPr="00422D1D" w:rsidRDefault="0099399A" w:rsidP="00387DA0">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PROVINCE</w:t>
            </w:r>
          </w:p>
        </w:tc>
        <w:tc>
          <w:tcPr>
            <w:tcW w:w="3402"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387DA0">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2017</w:t>
            </w:r>
          </w:p>
        </w:tc>
        <w:tc>
          <w:tcPr>
            <w:tcW w:w="3544"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387DA0">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2018</w:t>
            </w:r>
          </w:p>
        </w:tc>
      </w:tr>
      <w:tr w:rsidR="0099399A" w:rsidRPr="00422D1D" w:rsidTr="00581682">
        <w:trPr>
          <w:trHeight w:val="1000"/>
          <w:tblHeader/>
        </w:trPr>
        <w:tc>
          <w:tcPr>
            <w:tcW w:w="0" w:type="auto"/>
            <w:vMerge/>
            <w:tcBorders>
              <w:top w:val="single" w:sz="8" w:space="0" w:color="auto"/>
              <w:left w:val="single" w:sz="8" w:space="0" w:color="auto"/>
              <w:bottom w:val="single" w:sz="4" w:space="0" w:color="auto"/>
              <w:right w:val="single" w:sz="8" w:space="0" w:color="auto"/>
            </w:tcBorders>
            <w:vAlign w:val="center"/>
            <w:hideMark/>
          </w:tcPr>
          <w:p w:rsidR="0099399A" w:rsidRPr="00422D1D" w:rsidRDefault="0099399A" w:rsidP="0099399A">
            <w:pPr>
              <w:jc w:val="both"/>
              <w:rPr>
                <w:rFonts w:ascii="Times New Roman" w:eastAsia="Times New Roman" w:hAnsi="Times New Roman" w:cs="Times New Roman"/>
                <w:b/>
                <w:bCs/>
                <w:color w:val="FFFFFF"/>
                <w:lang w:val="tr-TR" w:eastAsia="tr-TR"/>
              </w:rPr>
            </w:pPr>
          </w:p>
        </w:tc>
        <w:tc>
          <w:tcPr>
            <w:tcW w:w="2268" w:type="dxa"/>
            <w:tcBorders>
              <w:top w:val="nil"/>
              <w:left w:val="nil"/>
              <w:bottom w:val="single" w:sz="4" w:space="0" w:color="auto"/>
              <w:right w:val="single" w:sz="8" w:space="0" w:color="auto"/>
            </w:tcBorders>
            <w:shd w:val="clear" w:color="auto" w:fill="FF0000"/>
            <w:vAlign w:val="center"/>
            <w:hideMark/>
          </w:tcPr>
          <w:p w:rsidR="0099399A" w:rsidRPr="00422D1D" w:rsidRDefault="0099399A" w:rsidP="00387DA0">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The amount of energy given to the system as surplus</w:t>
            </w:r>
            <w:r w:rsidRPr="00422D1D">
              <w:rPr>
                <w:rFonts w:ascii="Times New Roman" w:eastAsia="Times New Roman" w:hAnsi="Times New Roman" w:cs="Times New Roman"/>
                <w:b/>
                <w:bCs/>
                <w:color w:val="FFFFFF"/>
                <w:lang w:eastAsia="tr-TR"/>
              </w:rPr>
              <w:br/>
              <w:t xml:space="preserve">  (MWh)</w:t>
            </w:r>
          </w:p>
        </w:tc>
        <w:tc>
          <w:tcPr>
            <w:tcW w:w="1134" w:type="dxa"/>
            <w:tcBorders>
              <w:top w:val="nil"/>
              <w:left w:val="nil"/>
              <w:bottom w:val="single" w:sz="4" w:space="0" w:color="auto"/>
              <w:right w:val="single" w:sz="8" w:space="0" w:color="auto"/>
            </w:tcBorders>
            <w:shd w:val="clear" w:color="auto" w:fill="FF0000"/>
            <w:noWrap/>
            <w:vAlign w:val="center"/>
            <w:hideMark/>
          </w:tcPr>
          <w:p w:rsidR="0099399A" w:rsidRPr="00422D1D" w:rsidRDefault="0099399A" w:rsidP="00387DA0">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Share (%)</w:t>
            </w:r>
          </w:p>
        </w:tc>
        <w:tc>
          <w:tcPr>
            <w:tcW w:w="2410" w:type="dxa"/>
            <w:tcBorders>
              <w:top w:val="nil"/>
              <w:left w:val="nil"/>
              <w:bottom w:val="single" w:sz="4" w:space="0" w:color="auto"/>
              <w:right w:val="single" w:sz="8" w:space="0" w:color="auto"/>
            </w:tcBorders>
            <w:shd w:val="clear" w:color="auto" w:fill="FF0000"/>
            <w:vAlign w:val="center"/>
            <w:hideMark/>
          </w:tcPr>
          <w:p w:rsidR="0099399A" w:rsidRPr="00422D1D" w:rsidRDefault="0099399A" w:rsidP="00387DA0">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The amount of energy given to the system as surplus</w:t>
            </w:r>
            <w:r w:rsidRPr="00422D1D">
              <w:rPr>
                <w:rFonts w:ascii="Times New Roman" w:eastAsia="Times New Roman" w:hAnsi="Times New Roman" w:cs="Times New Roman"/>
                <w:b/>
                <w:bCs/>
                <w:color w:val="FFFFFF"/>
                <w:lang w:eastAsia="tr-TR"/>
              </w:rPr>
              <w:br/>
              <w:t xml:space="preserve"> (MWh)</w:t>
            </w:r>
          </w:p>
        </w:tc>
        <w:tc>
          <w:tcPr>
            <w:tcW w:w="1134" w:type="dxa"/>
            <w:tcBorders>
              <w:top w:val="nil"/>
              <w:left w:val="nil"/>
              <w:bottom w:val="single" w:sz="4" w:space="0" w:color="auto"/>
              <w:right w:val="single" w:sz="8" w:space="0" w:color="auto"/>
            </w:tcBorders>
            <w:shd w:val="clear" w:color="auto" w:fill="FF0000"/>
            <w:noWrap/>
            <w:vAlign w:val="center"/>
            <w:hideMark/>
          </w:tcPr>
          <w:p w:rsidR="0099399A" w:rsidRPr="00422D1D" w:rsidRDefault="0099399A" w:rsidP="00387DA0">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Share (%)</w:t>
            </w:r>
          </w:p>
        </w:tc>
      </w:tr>
      <w:tr w:rsidR="0099399A" w:rsidRPr="00422D1D" w:rsidTr="00581682">
        <w:trPr>
          <w:trHeight w:val="315"/>
        </w:trPr>
        <w:tc>
          <w:tcPr>
            <w:tcW w:w="2283" w:type="dxa"/>
            <w:tcBorders>
              <w:top w:val="single" w:sz="4" w:space="0" w:color="auto"/>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KONYA</w:t>
            </w:r>
          </w:p>
        </w:tc>
        <w:tc>
          <w:tcPr>
            <w:tcW w:w="2268" w:type="dxa"/>
            <w:tcBorders>
              <w:top w:val="single" w:sz="4" w:space="0" w:color="auto"/>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541.727,99</w:t>
            </w:r>
          </w:p>
        </w:tc>
        <w:tc>
          <w:tcPr>
            <w:tcW w:w="1134" w:type="dxa"/>
            <w:tcBorders>
              <w:top w:val="single" w:sz="4" w:space="0" w:color="auto"/>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17,87</w:t>
            </w:r>
          </w:p>
        </w:tc>
        <w:tc>
          <w:tcPr>
            <w:tcW w:w="2410" w:type="dxa"/>
            <w:tcBorders>
              <w:top w:val="single" w:sz="4" w:space="0" w:color="auto"/>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888.600,28</w:t>
            </w:r>
          </w:p>
        </w:tc>
        <w:tc>
          <w:tcPr>
            <w:tcW w:w="1134" w:type="dxa"/>
            <w:tcBorders>
              <w:top w:val="single" w:sz="4" w:space="0" w:color="auto"/>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10,82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KAYSERİ</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396.470,72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13,08</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540.201,26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6,58</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ANKARA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100.849,57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3,33</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402.315,34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4,90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AFYONKARAHİSAR</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103.910,00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3,43</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353.577,81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4,31</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ŞANLIURFA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58.423,03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1,93</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339.330,44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4,13</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KAHRAMANMARAŞ</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67.322,36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2,22</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279.416,57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lastRenderedPageBreak/>
              <w:t>İZMİR</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41.081,94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1,36</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278.481,18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3,39</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MANİSA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54.552,84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273.496,96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3,33</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ESKİŞEHİR</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79.240,86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2,61</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272.137,10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3,31</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MERSİN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147.460,17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4,86</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271.346,16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GAZİANTEP</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95.426,10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3,15</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230.401,38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2,81</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ELAZIĞ</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26.415,91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0,87</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226.578,79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NEVŞEHİR</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65.813,63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2,17</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215.690,55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2,63</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DENİZLİ</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88.831,00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2,93</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212.330,59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2,59</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ANTALYA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98.080,69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3,24</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207.955,46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2,53</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AYDIN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60.395,15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1,99</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199.122,76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ISPARTA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77.065,63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2,54</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178.442,77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2,17</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NİĞDE</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87.890,84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165.216,86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2,01</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KÜTAHYA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27.236,19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0,90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155.470,28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1,89</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AKSARAY</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99.666,31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3,29</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155.317,70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1,89</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ADANA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45.561,10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153.446,68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1,87</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ADIYAMAN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47.402,32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1,56</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152.986,85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MUĞLA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44.997,60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1,48</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152.188,11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1,85</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BALIKESİR</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32.648,35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1,08</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144.146,86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MALATYA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37.943,06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1,25</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132.066,33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1,61</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UŞAK</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47.828,89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1,58</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128.761,19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1,57</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KARAMAN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43.901,46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1,45</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119.868,76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SİVAS</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27.762,07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0,92</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118.887,18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1,45</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ÇORUM</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21.580,88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0,71</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108.632,39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BURDUR</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78.965,94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103.005,83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1,25</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YOZGAT</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33.855,04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1,12</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99.304,24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1,21</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OSMANİYE</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21.162,10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93.669,12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1,14</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lastRenderedPageBreak/>
              <w:t>ERZURUM</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33.059,16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1,09</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90.065,36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BURSA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26.982,25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0,89</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84.220,71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1,03</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KIRŞEHİR</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17.120,66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0,56</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78.742,91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0,96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BİLECİK</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6.340,18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0,21</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65.846,90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ERZİNCAN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1.375,06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64.736,27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0,79</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KIRIKKALE</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24.234,15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61.375,82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0,75</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ÇANKIRI</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2.702,09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0,09</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42.539,27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DİYARBAKIR</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3.447,94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0,11</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39.789,57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0,48</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AMASYA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6.071,22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36.960,88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0,45</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SAMSUN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1.079,20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0,04</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32.289,79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0,39</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TOKAT</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15.248,30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31.448,56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0,38</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HATAY</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5.287,67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0,17</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27.216,01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0,33</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ÇANAKKALE</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8.723,72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0,29</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25.446,36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0,31</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KOCAELİ</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16.105,48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0,53</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20.325,34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0,25</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BAYBURT</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7.142,70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0,24</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19.809,40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0,24</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KİLİS</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19.729,09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0,65</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18.692,35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0,23</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KARABÜK</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2.691,64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0,09</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14.646,60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0,18</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BATMAN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879,82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12.783,57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ZONGULDAK</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10.767,44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0,36</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11.426,60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0,14</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RİZE</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3.850,21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0,13</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9.851,57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BİTLİS</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3.271,21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0,11</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7.965,73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SİİRT</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263,58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7.934,43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İSTANBUL</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4.787,38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0,16</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7.112,91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0,09</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YALOVA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5.657,31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0,07</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KASTAMONU</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120,00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5.170,35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BİNGÖL</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4.765,92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lastRenderedPageBreak/>
              <w:t>BOLU</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322,89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4.597,16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KARS</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4.545,97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0,06</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EDİRNE</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1.911,34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0,06</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4.341,68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TEKİRDAĞ</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545,96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3.978,74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ORDU</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872,05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3.513,06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0,04</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MUŞ</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3.089,95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2.792,71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MARDİN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857,39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2.037,46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TUNCELİ</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22,34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1.785,41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GÜMÜŞHANE</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1.661,77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ARDAHAN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1.437,48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VAN</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421,78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1.433,22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0,02</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KIRKLARELİ</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442,12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DÜZCE</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336,52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0,01</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389,45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SAKARYA</w:t>
            </w:r>
          </w:p>
        </w:tc>
        <w:tc>
          <w:tcPr>
            <w:tcW w:w="2268"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121,93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151,51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BARTIN</w:t>
            </w:r>
          </w:p>
        </w:tc>
        <w:tc>
          <w:tcPr>
            <w:tcW w:w="2268" w:type="dxa"/>
            <w:tcBorders>
              <w:top w:val="nil"/>
              <w:left w:val="nil"/>
              <w:bottom w:val="nil"/>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77,55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nil"/>
              <w:left w:val="nil"/>
              <w:bottom w:val="nil"/>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85,28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SİNOP</w:t>
            </w:r>
          </w:p>
        </w:tc>
        <w:tc>
          <w:tcPr>
            <w:tcW w:w="2268" w:type="dxa"/>
            <w:tcBorders>
              <w:top w:val="single" w:sz="8" w:space="0" w:color="auto"/>
              <w:left w:val="nil"/>
              <w:bottom w:val="nil"/>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c>
          <w:tcPr>
            <w:tcW w:w="2410" w:type="dxa"/>
            <w:tcBorders>
              <w:top w:val="single" w:sz="8" w:space="0" w:color="auto"/>
              <w:left w:val="nil"/>
              <w:bottom w:val="nil"/>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0,00</w:t>
            </w:r>
          </w:p>
        </w:tc>
      </w:tr>
      <w:tr w:rsidR="0099399A" w:rsidRPr="00422D1D" w:rsidTr="0099399A">
        <w:trPr>
          <w:trHeight w:val="315"/>
        </w:trPr>
        <w:tc>
          <w:tcPr>
            <w:tcW w:w="2283"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Grand Total</w:t>
            </w:r>
          </w:p>
        </w:tc>
        <w:tc>
          <w:tcPr>
            <w:tcW w:w="2268" w:type="dxa"/>
            <w:tcBorders>
              <w:top w:val="single" w:sz="8" w:space="0" w:color="auto"/>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3.031.331,42</w:t>
            </w:r>
          </w:p>
        </w:tc>
        <w:tc>
          <w:tcPr>
            <w:tcW w:w="1134"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c>
          <w:tcPr>
            <w:tcW w:w="2410" w:type="dxa"/>
            <w:tcBorders>
              <w:top w:val="single" w:sz="8" w:space="0" w:color="auto"/>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8.212.409,37</w:t>
            </w:r>
          </w:p>
        </w:tc>
        <w:tc>
          <w:tcPr>
            <w:tcW w:w="1134"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r>
    </w:tbl>
    <w:p w:rsidR="0099399A" w:rsidRPr="00422D1D" w:rsidRDefault="0099399A" w:rsidP="0099399A">
      <w:pPr>
        <w:spacing w:line="360" w:lineRule="auto"/>
        <w:ind w:firstLine="708"/>
        <w:jc w:val="both"/>
        <w:rPr>
          <w:rFonts w:ascii="Times New Roman" w:hAnsi="Times New Roman" w:cs="Times New Roman"/>
          <w:sz w:val="24"/>
          <w:szCs w:val="24"/>
        </w:rPr>
      </w:pPr>
    </w:p>
    <w:p w:rsidR="0099399A" w:rsidRPr="00422D1D" w:rsidRDefault="0099399A" w:rsidP="00F5335D">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 xml:space="preserve">The distribution of the amount of payment made within the scope of unlicensed electricity generation by resources by the end of 2018 is given in Table 1.9. 96,48 % of the amount of payment was made to solar power plants. </w:t>
      </w:r>
    </w:p>
    <w:p w:rsidR="004C7560" w:rsidRDefault="004C7560" w:rsidP="00F5335D">
      <w:pPr>
        <w:pStyle w:val="Balk1"/>
      </w:pPr>
      <w:bookmarkStart w:id="308" w:name="_Toc520822045"/>
      <w:bookmarkStart w:id="309" w:name="_Toc494982829"/>
      <w:bookmarkStart w:id="310" w:name="_Toc10123841"/>
      <w:bookmarkStart w:id="311" w:name="_Toc10191425"/>
    </w:p>
    <w:p w:rsidR="004C7560" w:rsidRDefault="004C7560" w:rsidP="00F5335D">
      <w:pPr>
        <w:pStyle w:val="Balk1"/>
      </w:pPr>
    </w:p>
    <w:p w:rsidR="0099399A" w:rsidRPr="00422D1D" w:rsidRDefault="0099399A" w:rsidP="00F5335D">
      <w:pPr>
        <w:pStyle w:val="Balk1"/>
      </w:pPr>
      <w:bookmarkStart w:id="312" w:name="_Toc12526217"/>
      <w:r w:rsidRPr="00422D1D">
        <w:t>Table 1.9: Distribution of the Amount of Payment Made Within the Scope of Unlicensed Electricity Generation by Sources (TL-%)</w:t>
      </w:r>
      <w:bookmarkEnd w:id="308"/>
      <w:bookmarkEnd w:id="309"/>
      <w:bookmarkEnd w:id="310"/>
      <w:bookmarkEnd w:id="311"/>
      <w:bookmarkEnd w:id="312"/>
    </w:p>
    <w:tbl>
      <w:tblPr>
        <w:tblW w:w="9796" w:type="dxa"/>
        <w:tblInd w:w="55" w:type="dxa"/>
        <w:tblCellMar>
          <w:left w:w="70" w:type="dxa"/>
          <w:right w:w="70" w:type="dxa"/>
        </w:tblCellMar>
        <w:tblLook w:val="04A0" w:firstRow="1" w:lastRow="0" w:firstColumn="1" w:lastColumn="0" w:noHBand="0" w:noVBand="1"/>
      </w:tblPr>
      <w:tblGrid>
        <w:gridCol w:w="1716"/>
        <w:gridCol w:w="2552"/>
        <w:gridCol w:w="850"/>
        <w:gridCol w:w="2552"/>
        <w:gridCol w:w="755"/>
        <w:gridCol w:w="1371"/>
      </w:tblGrid>
      <w:tr w:rsidR="0099399A" w:rsidRPr="00422D1D" w:rsidTr="0099399A">
        <w:trPr>
          <w:trHeight w:val="300"/>
        </w:trPr>
        <w:tc>
          <w:tcPr>
            <w:tcW w:w="1716" w:type="dxa"/>
            <w:vMerge w:val="restart"/>
            <w:tcBorders>
              <w:top w:val="single" w:sz="8" w:space="0" w:color="auto"/>
              <w:left w:val="single" w:sz="8" w:space="0" w:color="auto"/>
              <w:bottom w:val="nil"/>
              <w:right w:val="single" w:sz="8" w:space="0" w:color="auto"/>
            </w:tcBorders>
            <w:shd w:val="clear" w:color="auto" w:fill="FF0000"/>
            <w:noWrap/>
            <w:vAlign w:val="center"/>
            <w:hideMark/>
          </w:tcPr>
          <w:p w:rsidR="0099399A" w:rsidRPr="00422D1D" w:rsidRDefault="0099399A" w:rsidP="0099731C">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Resource Type</w:t>
            </w:r>
          </w:p>
        </w:tc>
        <w:tc>
          <w:tcPr>
            <w:tcW w:w="3402"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99731C">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2017</w:t>
            </w:r>
          </w:p>
        </w:tc>
        <w:tc>
          <w:tcPr>
            <w:tcW w:w="3307" w:type="dxa"/>
            <w:gridSpan w:val="2"/>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99731C">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2018</w:t>
            </w:r>
          </w:p>
        </w:tc>
        <w:tc>
          <w:tcPr>
            <w:tcW w:w="1371" w:type="dxa"/>
            <w:vMerge w:val="restart"/>
            <w:tcBorders>
              <w:top w:val="single" w:sz="8" w:space="0" w:color="auto"/>
              <w:left w:val="single" w:sz="8" w:space="0" w:color="auto"/>
              <w:bottom w:val="single" w:sz="4" w:space="0" w:color="000000"/>
              <w:right w:val="single" w:sz="8" w:space="0" w:color="auto"/>
            </w:tcBorders>
            <w:shd w:val="clear" w:color="auto" w:fill="FF0000"/>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 xml:space="preserve">Change (%) </w:t>
            </w:r>
            <w:r w:rsidRPr="00422D1D">
              <w:rPr>
                <w:rFonts w:ascii="Times New Roman" w:eastAsia="Times New Roman" w:hAnsi="Times New Roman" w:cs="Times New Roman"/>
                <w:b/>
                <w:bCs/>
                <w:color w:val="FFFFFF"/>
                <w:lang w:eastAsia="tr-TR"/>
              </w:rPr>
              <w:br/>
              <w:t>2017→2018</w:t>
            </w:r>
          </w:p>
        </w:tc>
      </w:tr>
      <w:tr w:rsidR="0099399A" w:rsidRPr="00422D1D" w:rsidTr="00581682">
        <w:trPr>
          <w:trHeight w:val="900"/>
        </w:trPr>
        <w:tc>
          <w:tcPr>
            <w:tcW w:w="0" w:type="auto"/>
            <w:vMerge/>
            <w:tcBorders>
              <w:top w:val="single" w:sz="8" w:space="0" w:color="auto"/>
              <w:left w:val="single" w:sz="8" w:space="0" w:color="auto"/>
              <w:bottom w:val="single" w:sz="4" w:space="0" w:color="auto"/>
              <w:right w:val="single" w:sz="8" w:space="0" w:color="auto"/>
            </w:tcBorders>
            <w:vAlign w:val="center"/>
            <w:hideMark/>
          </w:tcPr>
          <w:p w:rsidR="0099399A" w:rsidRPr="00422D1D" w:rsidRDefault="0099399A" w:rsidP="0099731C">
            <w:pPr>
              <w:jc w:val="center"/>
              <w:rPr>
                <w:rFonts w:ascii="Times New Roman" w:eastAsia="Times New Roman" w:hAnsi="Times New Roman" w:cs="Times New Roman"/>
                <w:b/>
                <w:bCs/>
                <w:color w:val="FFFFFF"/>
                <w:lang w:val="tr-TR" w:eastAsia="tr-TR"/>
              </w:rPr>
            </w:pPr>
          </w:p>
        </w:tc>
        <w:tc>
          <w:tcPr>
            <w:tcW w:w="2552" w:type="dxa"/>
            <w:tcBorders>
              <w:top w:val="nil"/>
              <w:left w:val="nil"/>
              <w:bottom w:val="single" w:sz="4" w:space="0" w:color="auto"/>
              <w:right w:val="single" w:sz="8" w:space="0" w:color="auto"/>
            </w:tcBorders>
            <w:shd w:val="clear" w:color="auto" w:fill="FF0000"/>
            <w:vAlign w:val="center"/>
            <w:hideMark/>
          </w:tcPr>
          <w:p w:rsidR="0099399A" w:rsidRPr="00422D1D" w:rsidRDefault="0099399A" w:rsidP="0099731C">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The amount of payment made for the purchased surplus energy (TL)</w:t>
            </w:r>
          </w:p>
        </w:tc>
        <w:tc>
          <w:tcPr>
            <w:tcW w:w="850" w:type="dxa"/>
            <w:tcBorders>
              <w:top w:val="nil"/>
              <w:left w:val="nil"/>
              <w:bottom w:val="single" w:sz="4" w:space="0" w:color="auto"/>
              <w:right w:val="single" w:sz="8" w:space="0" w:color="auto"/>
            </w:tcBorders>
            <w:shd w:val="clear" w:color="auto" w:fill="FF0000"/>
            <w:noWrap/>
            <w:vAlign w:val="center"/>
            <w:hideMark/>
          </w:tcPr>
          <w:p w:rsidR="0099399A" w:rsidRPr="00422D1D" w:rsidRDefault="0099399A" w:rsidP="0099731C">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Share (%)</w:t>
            </w:r>
          </w:p>
        </w:tc>
        <w:tc>
          <w:tcPr>
            <w:tcW w:w="2552" w:type="dxa"/>
            <w:tcBorders>
              <w:top w:val="nil"/>
              <w:left w:val="nil"/>
              <w:bottom w:val="single" w:sz="4" w:space="0" w:color="auto"/>
              <w:right w:val="single" w:sz="8" w:space="0" w:color="auto"/>
            </w:tcBorders>
            <w:shd w:val="clear" w:color="auto" w:fill="FF0000"/>
            <w:vAlign w:val="center"/>
            <w:hideMark/>
          </w:tcPr>
          <w:p w:rsidR="0099399A" w:rsidRPr="00422D1D" w:rsidRDefault="0099399A" w:rsidP="0099731C">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The amount of payment made for the purchased surplus energy (TL)</w:t>
            </w:r>
          </w:p>
        </w:tc>
        <w:tc>
          <w:tcPr>
            <w:tcW w:w="755" w:type="dxa"/>
            <w:tcBorders>
              <w:top w:val="nil"/>
              <w:left w:val="nil"/>
              <w:bottom w:val="single" w:sz="4" w:space="0" w:color="auto"/>
              <w:right w:val="single" w:sz="8" w:space="0" w:color="auto"/>
            </w:tcBorders>
            <w:shd w:val="clear" w:color="auto" w:fill="FF0000"/>
            <w:noWrap/>
            <w:vAlign w:val="center"/>
            <w:hideMark/>
          </w:tcPr>
          <w:p w:rsidR="0099399A" w:rsidRPr="00422D1D" w:rsidRDefault="0099399A" w:rsidP="0099731C">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Share (%)</w:t>
            </w:r>
          </w:p>
        </w:tc>
        <w:tc>
          <w:tcPr>
            <w:tcW w:w="0" w:type="auto"/>
            <w:vMerge/>
            <w:tcBorders>
              <w:top w:val="single" w:sz="8" w:space="0" w:color="auto"/>
              <w:left w:val="single" w:sz="8" w:space="0" w:color="auto"/>
              <w:bottom w:val="single" w:sz="4" w:space="0" w:color="auto"/>
              <w:right w:val="single" w:sz="8" w:space="0" w:color="auto"/>
            </w:tcBorders>
            <w:vAlign w:val="center"/>
            <w:hideMark/>
          </w:tcPr>
          <w:p w:rsidR="0099399A" w:rsidRPr="00422D1D" w:rsidRDefault="0099399A" w:rsidP="0099399A">
            <w:pPr>
              <w:jc w:val="both"/>
              <w:rPr>
                <w:rFonts w:ascii="Times New Roman" w:eastAsia="Times New Roman" w:hAnsi="Times New Roman" w:cs="Times New Roman"/>
                <w:b/>
                <w:bCs/>
                <w:color w:val="FFFFFF"/>
                <w:lang w:val="tr-TR" w:eastAsia="tr-TR"/>
              </w:rPr>
            </w:pPr>
          </w:p>
        </w:tc>
      </w:tr>
      <w:tr w:rsidR="0099399A" w:rsidRPr="00422D1D" w:rsidTr="00581682">
        <w:trPr>
          <w:trHeight w:val="315"/>
        </w:trPr>
        <w:tc>
          <w:tcPr>
            <w:tcW w:w="1716" w:type="dxa"/>
            <w:tcBorders>
              <w:top w:val="single" w:sz="4" w:space="0" w:color="auto"/>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 xml:space="preserve">Solar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1.394.788.180,86</w:t>
            </w:r>
          </w:p>
        </w:tc>
        <w:tc>
          <w:tcPr>
            <w:tcW w:w="850" w:type="dxa"/>
            <w:tcBorders>
              <w:top w:val="single" w:sz="4" w:space="0" w:color="auto"/>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94,12</w:t>
            </w:r>
          </w:p>
        </w:tc>
        <w:tc>
          <w:tcPr>
            <w:tcW w:w="2552" w:type="dxa"/>
            <w:tcBorders>
              <w:top w:val="single" w:sz="4" w:space="0" w:color="auto"/>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5.161.639.212,83</w:t>
            </w:r>
          </w:p>
        </w:tc>
        <w:tc>
          <w:tcPr>
            <w:tcW w:w="755" w:type="dxa"/>
            <w:tcBorders>
              <w:top w:val="single" w:sz="4" w:space="0" w:color="auto"/>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96,48</w:t>
            </w:r>
          </w:p>
        </w:tc>
        <w:tc>
          <w:tcPr>
            <w:tcW w:w="1371" w:type="dxa"/>
            <w:tcBorders>
              <w:top w:val="single" w:sz="4" w:space="0" w:color="auto"/>
              <w:left w:val="nil"/>
              <w:bottom w:val="single" w:sz="4" w:space="0" w:color="auto"/>
              <w:right w:val="single" w:sz="8"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270,07</w:t>
            </w:r>
          </w:p>
        </w:tc>
      </w:tr>
      <w:tr w:rsidR="0099399A" w:rsidRPr="00422D1D" w:rsidTr="0099399A">
        <w:trPr>
          <w:trHeight w:val="315"/>
        </w:trPr>
        <w:tc>
          <w:tcPr>
            <w:tcW w:w="1716"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Biomass</w:t>
            </w:r>
          </w:p>
        </w:tc>
        <w:tc>
          <w:tcPr>
            <w:tcW w:w="2552" w:type="dxa"/>
            <w:tcBorders>
              <w:top w:val="nil"/>
              <w:left w:val="single" w:sz="4" w:space="0" w:color="auto"/>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71.776.216,62</w:t>
            </w:r>
          </w:p>
        </w:tc>
        <w:tc>
          <w:tcPr>
            <w:tcW w:w="850" w:type="dxa"/>
            <w:tcBorders>
              <w:top w:val="nil"/>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4,84</w:t>
            </w:r>
          </w:p>
        </w:tc>
        <w:tc>
          <w:tcPr>
            <w:tcW w:w="2552" w:type="dxa"/>
            <w:tcBorders>
              <w:top w:val="nil"/>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134.929.718,77</w:t>
            </w:r>
          </w:p>
        </w:tc>
        <w:tc>
          <w:tcPr>
            <w:tcW w:w="755" w:type="dxa"/>
            <w:tcBorders>
              <w:top w:val="nil"/>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2,52</w:t>
            </w:r>
          </w:p>
        </w:tc>
        <w:tc>
          <w:tcPr>
            <w:tcW w:w="1371" w:type="dxa"/>
            <w:tcBorders>
              <w:top w:val="nil"/>
              <w:left w:val="nil"/>
              <w:bottom w:val="single" w:sz="4" w:space="0" w:color="auto"/>
              <w:right w:val="single" w:sz="8"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87,99</w:t>
            </w:r>
          </w:p>
        </w:tc>
      </w:tr>
      <w:tr w:rsidR="0099399A" w:rsidRPr="00422D1D" w:rsidTr="0099399A">
        <w:trPr>
          <w:trHeight w:val="315"/>
        </w:trPr>
        <w:tc>
          <w:tcPr>
            <w:tcW w:w="1716"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Wind</w:t>
            </w:r>
          </w:p>
        </w:tc>
        <w:tc>
          <w:tcPr>
            <w:tcW w:w="2552" w:type="dxa"/>
            <w:tcBorders>
              <w:top w:val="nil"/>
              <w:left w:val="single" w:sz="4" w:space="0" w:color="auto"/>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10.038.095,17</w:t>
            </w:r>
          </w:p>
        </w:tc>
        <w:tc>
          <w:tcPr>
            <w:tcW w:w="850" w:type="dxa"/>
            <w:tcBorders>
              <w:top w:val="nil"/>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0,68</w:t>
            </w:r>
          </w:p>
        </w:tc>
        <w:tc>
          <w:tcPr>
            <w:tcW w:w="2552" w:type="dxa"/>
            <w:tcBorders>
              <w:top w:val="nil"/>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41.487.589,52</w:t>
            </w:r>
          </w:p>
        </w:tc>
        <w:tc>
          <w:tcPr>
            <w:tcW w:w="755" w:type="dxa"/>
            <w:tcBorders>
              <w:top w:val="nil"/>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0,78</w:t>
            </w:r>
          </w:p>
        </w:tc>
        <w:tc>
          <w:tcPr>
            <w:tcW w:w="1371" w:type="dxa"/>
            <w:tcBorders>
              <w:top w:val="nil"/>
              <w:left w:val="nil"/>
              <w:bottom w:val="single" w:sz="4" w:space="0" w:color="auto"/>
              <w:right w:val="single" w:sz="8"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313,30</w:t>
            </w:r>
          </w:p>
        </w:tc>
      </w:tr>
      <w:tr w:rsidR="0099399A" w:rsidRPr="00422D1D" w:rsidTr="0099399A">
        <w:trPr>
          <w:trHeight w:val="315"/>
        </w:trPr>
        <w:tc>
          <w:tcPr>
            <w:tcW w:w="1716"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Hydro</w:t>
            </w:r>
          </w:p>
        </w:tc>
        <w:tc>
          <w:tcPr>
            <w:tcW w:w="2552" w:type="dxa"/>
            <w:tcBorders>
              <w:top w:val="nil"/>
              <w:left w:val="single" w:sz="4" w:space="0" w:color="auto"/>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5.259.414,79</w:t>
            </w:r>
          </w:p>
        </w:tc>
        <w:tc>
          <w:tcPr>
            <w:tcW w:w="850" w:type="dxa"/>
            <w:tcBorders>
              <w:top w:val="nil"/>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0,35</w:t>
            </w:r>
          </w:p>
        </w:tc>
        <w:tc>
          <w:tcPr>
            <w:tcW w:w="2552" w:type="dxa"/>
            <w:tcBorders>
              <w:top w:val="nil"/>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12.131.327,19</w:t>
            </w:r>
          </w:p>
        </w:tc>
        <w:tc>
          <w:tcPr>
            <w:tcW w:w="755" w:type="dxa"/>
            <w:tcBorders>
              <w:top w:val="nil"/>
              <w:left w:val="nil"/>
              <w:bottom w:val="single" w:sz="4" w:space="0" w:color="auto"/>
              <w:right w:val="single" w:sz="4"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0,23</w:t>
            </w:r>
          </w:p>
        </w:tc>
        <w:tc>
          <w:tcPr>
            <w:tcW w:w="1371" w:type="dxa"/>
            <w:tcBorders>
              <w:top w:val="nil"/>
              <w:left w:val="nil"/>
              <w:bottom w:val="single" w:sz="4" w:space="0" w:color="auto"/>
              <w:right w:val="single" w:sz="8" w:space="0" w:color="auto"/>
            </w:tcBorders>
            <w:noWrap/>
            <w:vAlign w:val="bottom"/>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130,66</w:t>
            </w:r>
          </w:p>
        </w:tc>
      </w:tr>
      <w:tr w:rsidR="0099399A" w:rsidRPr="00422D1D" w:rsidTr="0099399A">
        <w:trPr>
          <w:trHeight w:val="315"/>
        </w:trPr>
        <w:tc>
          <w:tcPr>
            <w:tcW w:w="1716"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Grand Total</w:t>
            </w:r>
          </w:p>
        </w:tc>
        <w:tc>
          <w:tcPr>
            <w:tcW w:w="2552"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1.481.861.907,44</w:t>
            </w:r>
          </w:p>
        </w:tc>
        <w:tc>
          <w:tcPr>
            <w:tcW w:w="850"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c>
          <w:tcPr>
            <w:tcW w:w="2552"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5.350.187.848,31</w:t>
            </w:r>
          </w:p>
        </w:tc>
        <w:tc>
          <w:tcPr>
            <w:tcW w:w="755"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c>
          <w:tcPr>
            <w:tcW w:w="1371"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261,04</w:t>
            </w:r>
          </w:p>
        </w:tc>
      </w:tr>
    </w:tbl>
    <w:p w:rsidR="00F5335D" w:rsidRDefault="00F5335D" w:rsidP="00F5335D">
      <w:pPr>
        <w:spacing w:line="360" w:lineRule="auto"/>
        <w:jc w:val="both"/>
        <w:rPr>
          <w:rFonts w:ascii="Times New Roman" w:hAnsi="Times New Roman" w:cs="Times New Roman"/>
          <w:sz w:val="24"/>
          <w:szCs w:val="24"/>
        </w:rPr>
      </w:pPr>
    </w:p>
    <w:p w:rsidR="00F5335D" w:rsidRDefault="00F5335D" w:rsidP="00F5335D">
      <w:pPr>
        <w:spacing w:line="360" w:lineRule="auto"/>
        <w:jc w:val="both"/>
        <w:rPr>
          <w:rFonts w:ascii="Times New Roman" w:hAnsi="Times New Roman" w:cs="Times New Roman"/>
          <w:sz w:val="24"/>
          <w:szCs w:val="24"/>
        </w:rPr>
      </w:pPr>
    </w:p>
    <w:p w:rsidR="004C7560" w:rsidRDefault="004C7560" w:rsidP="00F5335D">
      <w:pPr>
        <w:spacing w:line="360" w:lineRule="auto"/>
        <w:jc w:val="both"/>
        <w:rPr>
          <w:rFonts w:ascii="Times New Roman" w:hAnsi="Times New Roman" w:cs="Times New Roman"/>
          <w:sz w:val="24"/>
          <w:szCs w:val="24"/>
        </w:rPr>
      </w:pPr>
    </w:p>
    <w:p w:rsidR="004C7560" w:rsidRDefault="004C7560" w:rsidP="00F5335D">
      <w:pPr>
        <w:spacing w:line="360" w:lineRule="auto"/>
        <w:jc w:val="both"/>
        <w:rPr>
          <w:rFonts w:ascii="Times New Roman" w:hAnsi="Times New Roman" w:cs="Times New Roman"/>
          <w:sz w:val="24"/>
          <w:szCs w:val="24"/>
        </w:rPr>
      </w:pPr>
    </w:p>
    <w:p w:rsidR="004C7560" w:rsidRDefault="004C7560" w:rsidP="00F5335D">
      <w:pPr>
        <w:spacing w:line="360" w:lineRule="auto"/>
        <w:jc w:val="both"/>
        <w:rPr>
          <w:rFonts w:ascii="Times New Roman" w:hAnsi="Times New Roman" w:cs="Times New Roman"/>
          <w:sz w:val="24"/>
          <w:szCs w:val="24"/>
        </w:rPr>
      </w:pPr>
    </w:p>
    <w:p w:rsidR="00F5335D" w:rsidRPr="00F5335D" w:rsidRDefault="00F5335D" w:rsidP="00B572B4">
      <w:pPr>
        <w:pStyle w:val="11ilebalayanlar"/>
      </w:pPr>
      <w:bookmarkStart w:id="313" w:name="_Toc520822004"/>
      <w:bookmarkStart w:id="314" w:name="_Toc12528938"/>
      <w:r w:rsidRPr="00422D1D">
        <w:t>1.5 Invoiced Electricity Consumption</w:t>
      </w:r>
      <w:bookmarkEnd w:id="313"/>
      <w:bookmarkEnd w:id="314"/>
    </w:p>
    <w:p w:rsidR="004C7560" w:rsidRDefault="004C7560" w:rsidP="00F5335D">
      <w:pPr>
        <w:spacing w:line="360" w:lineRule="auto"/>
        <w:jc w:val="both"/>
        <w:rPr>
          <w:rFonts w:ascii="Times New Roman" w:hAnsi="Times New Roman" w:cs="Times New Roman"/>
          <w:sz w:val="24"/>
          <w:szCs w:val="24"/>
        </w:rPr>
      </w:pPr>
    </w:p>
    <w:p w:rsidR="0099399A" w:rsidRPr="00422D1D" w:rsidRDefault="0099399A" w:rsidP="00F5335D">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 xml:space="preserve">This part gives information about the consumption of invoiced electric energy. In this sense, the consumption that are not subject to invoicing (technical and non-technical losses and unacceptable consumption), are not included in this section and dataset. Therefore, in the scope of Article 7 of the Electricity Market Law, the production that is made in order to meet the needs of the facilities that are rented, acquired through financial leasing, being inherited the operational right or the energy produced in the premises without leaving the transmission or distribution system, which are done by legal entities that own generation license, are not included in the invoiced consumption data since they are not regarded as a sales to the final consumer. Also, the electric energy that the facilities used for their own need from the system </w:t>
      </w:r>
      <w:r w:rsidRPr="00422D1D">
        <w:rPr>
          <w:rFonts w:ascii="Times New Roman" w:hAnsi="Times New Roman" w:cs="Times New Roman"/>
          <w:sz w:val="24"/>
          <w:szCs w:val="24"/>
        </w:rPr>
        <w:lastRenderedPageBreak/>
        <w:t>are not included in the invoiced consumption. In addition, real consumption data and consumption data contained in this section may vary due to differences in invoicing period.</w:t>
      </w:r>
    </w:p>
    <w:p w:rsidR="0099399A" w:rsidRPr="00422D1D" w:rsidRDefault="0099399A" w:rsidP="00F5335D">
      <w:pPr>
        <w:spacing w:line="360" w:lineRule="auto"/>
        <w:jc w:val="both"/>
        <w:rPr>
          <w:rFonts w:ascii="Times New Roman" w:hAnsi="Times New Roman" w:cs="Times New Roman"/>
          <w:sz w:val="24"/>
          <w:szCs w:val="24"/>
        </w:rPr>
      </w:pPr>
      <w:bookmarkStart w:id="315" w:name="_Toc450309955"/>
      <w:bookmarkStart w:id="316" w:name="_Toc450300299"/>
      <w:r w:rsidRPr="00422D1D">
        <w:rPr>
          <w:rFonts w:ascii="Times New Roman" w:hAnsi="Times New Roman" w:cs="Times New Roman"/>
          <w:sz w:val="24"/>
          <w:szCs w:val="24"/>
        </w:rPr>
        <w:t xml:space="preserve">The information about invoiced consumption in 2018 is given in Table 1.10. </w:t>
      </w:r>
      <w:r w:rsidRPr="00422D1D">
        <w:rPr>
          <w:rFonts w:ascii="Times New Roman" w:hAnsi="Times New Roman" w:cs="Times New Roman"/>
          <w:sz w:val="24"/>
          <w:szCs w:val="24"/>
          <w:shd w:val="clear" w:color="auto" w:fill="FFFFFF"/>
        </w:rPr>
        <w:t xml:space="preserve">23,84% of the </w:t>
      </w:r>
      <w:r w:rsidRPr="00422D1D">
        <w:rPr>
          <w:rFonts w:ascii="Times New Roman" w:hAnsi="Times New Roman" w:cs="Times New Roman"/>
          <w:sz w:val="24"/>
          <w:szCs w:val="24"/>
        </w:rPr>
        <w:t xml:space="preserve">233,61 </w:t>
      </w:r>
      <w:r w:rsidRPr="00422D1D">
        <w:rPr>
          <w:rFonts w:ascii="Times New Roman" w:hAnsi="Times New Roman" w:cs="Times New Roman"/>
          <w:sz w:val="24"/>
          <w:szCs w:val="24"/>
          <w:shd w:val="clear" w:color="auto" w:fill="FFFFFF"/>
        </w:rPr>
        <w:t xml:space="preserve">TWh was sold to consumers connected to the transmission voltage level with </w:t>
      </w:r>
      <w:r w:rsidRPr="00422D1D">
        <w:rPr>
          <w:rFonts w:ascii="Times New Roman" w:hAnsi="Times New Roman" w:cs="Times New Roman"/>
          <w:sz w:val="24"/>
          <w:szCs w:val="24"/>
        </w:rPr>
        <w:t>55,70 TWh,</w:t>
      </w:r>
      <w:r w:rsidRPr="00422D1D">
        <w:rPr>
          <w:rFonts w:ascii="Times New Roman" w:hAnsi="Times New Roman" w:cs="Times New Roman"/>
          <w:sz w:val="24"/>
          <w:szCs w:val="24"/>
          <w:shd w:val="clear" w:color="auto" w:fill="FFFFFF"/>
        </w:rPr>
        <w:t xml:space="preserve"> while the remaining 76,16 % (</w:t>
      </w:r>
      <w:r w:rsidRPr="00422D1D">
        <w:rPr>
          <w:rFonts w:ascii="Times New Roman" w:hAnsi="Times New Roman" w:cs="Times New Roman"/>
          <w:sz w:val="24"/>
          <w:szCs w:val="24"/>
        </w:rPr>
        <w:t xml:space="preserve">177,91 </w:t>
      </w:r>
      <w:r w:rsidRPr="00422D1D">
        <w:rPr>
          <w:rFonts w:ascii="Times New Roman" w:hAnsi="Times New Roman" w:cs="Times New Roman"/>
          <w:sz w:val="24"/>
          <w:szCs w:val="24"/>
          <w:shd w:val="clear" w:color="auto" w:fill="FFFFFF"/>
        </w:rPr>
        <w:t xml:space="preserve">TWh) was distributed to consumers connected to the distribution voltage level. </w:t>
      </w:r>
    </w:p>
    <w:p w:rsidR="0099399A" w:rsidRPr="00422D1D" w:rsidRDefault="0099399A" w:rsidP="00F5335D">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shd w:val="clear" w:color="auto" w:fill="FFFFFF"/>
        </w:rPr>
        <w:t xml:space="preserve">While </w:t>
      </w:r>
      <w:r w:rsidRPr="00422D1D">
        <w:rPr>
          <w:rFonts w:ascii="Times New Roman" w:hAnsi="Times New Roman" w:cs="Times New Roman"/>
          <w:sz w:val="24"/>
          <w:szCs w:val="24"/>
        </w:rPr>
        <w:t xml:space="preserve">69,17 </w:t>
      </w:r>
      <w:r w:rsidRPr="00422D1D">
        <w:rPr>
          <w:rFonts w:ascii="Times New Roman" w:hAnsi="Times New Roman" w:cs="Times New Roman"/>
          <w:sz w:val="24"/>
          <w:szCs w:val="24"/>
          <w:shd w:val="clear" w:color="auto" w:fill="FFFFFF"/>
        </w:rPr>
        <w:t xml:space="preserve">TWh sold to eligible consumers, consumption of non-eligible consumers was </w:t>
      </w:r>
      <w:r w:rsidRPr="00422D1D">
        <w:rPr>
          <w:rFonts w:ascii="Times New Roman" w:hAnsi="Times New Roman" w:cs="Times New Roman"/>
          <w:sz w:val="24"/>
          <w:szCs w:val="24"/>
        </w:rPr>
        <w:t xml:space="preserve">164,43 </w:t>
      </w:r>
      <w:r w:rsidRPr="00422D1D">
        <w:rPr>
          <w:rFonts w:ascii="Times New Roman" w:hAnsi="Times New Roman" w:cs="Times New Roman"/>
          <w:sz w:val="24"/>
          <w:szCs w:val="24"/>
          <w:shd w:val="clear" w:color="auto" w:fill="FFFFFF"/>
        </w:rPr>
        <w:t>TWh. The share of eligible consumers’ invoiced consumption was 29,62 %, while non-eligible consumers’ share was 70,38 %</w:t>
      </w:r>
      <w:r w:rsidRPr="00422D1D">
        <w:rPr>
          <w:rFonts w:ascii="Times New Roman" w:hAnsi="Times New Roman" w:cs="Times New Roman"/>
          <w:sz w:val="24"/>
          <w:szCs w:val="24"/>
        </w:rPr>
        <w:t>.</w:t>
      </w:r>
      <w:bookmarkEnd w:id="315"/>
      <w:bookmarkEnd w:id="316"/>
    </w:p>
    <w:p w:rsidR="0099399A" w:rsidRPr="00422D1D" w:rsidRDefault="0099399A" w:rsidP="00F5335D">
      <w:pPr>
        <w:pStyle w:val="Balk1"/>
      </w:pPr>
      <w:bookmarkStart w:id="317" w:name="_Toc520822046"/>
      <w:bookmarkStart w:id="318" w:name="_Toc494982830"/>
      <w:bookmarkStart w:id="319" w:name="_Toc10123843"/>
      <w:bookmarkStart w:id="320" w:name="_Toc10191426"/>
      <w:bookmarkStart w:id="321" w:name="_Toc12526219"/>
      <w:r w:rsidRPr="00422D1D">
        <w:t>Table 1.10: Sales to Eligible and Non-Eligible Consumers in 2018 (MWh)</w:t>
      </w:r>
      <w:bookmarkEnd w:id="317"/>
      <w:bookmarkEnd w:id="318"/>
      <w:bookmarkEnd w:id="319"/>
      <w:bookmarkEnd w:id="320"/>
      <w:bookmarkEnd w:id="321"/>
    </w:p>
    <w:tbl>
      <w:tblPr>
        <w:tblW w:w="9087" w:type="dxa"/>
        <w:tblInd w:w="55" w:type="dxa"/>
        <w:tblCellMar>
          <w:left w:w="70" w:type="dxa"/>
          <w:right w:w="70" w:type="dxa"/>
        </w:tblCellMar>
        <w:tblLook w:val="04A0" w:firstRow="1" w:lastRow="0" w:firstColumn="1" w:lastColumn="0" w:noHBand="0" w:noVBand="1"/>
      </w:tblPr>
      <w:tblGrid>
        <w:gridCol w:w="1720"/>
        <w:gridCol w:w="2548"/>
        <w:gridCol w:w="2693"/>
        <w:gridCol w:w="2126"/>
      </w:tblGrid>
      <w:tr w:rsidR="0099399A" w:rsidRPr="00422D1D" w:rsidTr="0099399A">
        <w:trPr>
          <w:trHeight w:val="1272"/>
        </w:trPr>
        <w:tc>
          <w:tcPr>
            <w:tcW w:w="172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themeColor="background1"/>
                <w:sz w:val="24"/>
                <w:szCs w:val="24"/>
                <w:lang w:eastAsia="tr-TR"/>
              </w:rPr>
            </w:pPr>
            <w:r w:rsidRPr="00422D1D">
              <w:rPr>
                <w:rFonts w:ascii="Times New Roman" w:eastAsia="Times New Roman" w:hAnsi="Times New Roman" w:cs="Times New Roman"/>
                <w:b/>
                <w:bCs/>
                <w:color w:val="FFFFFF" w:themeColor="background1"/>
                <w:sz w:val="24"/>
                <w:szCs w:val="24"/>
                <w:lang w:eastAsia="tr-TR"/>
              </w:rPr>
              <w:t>Consumer Type</w:t>
            </w:r>
          </w:p>
        </w:tc>
        <w:tc>
          <w:tcPr>
            <w:tcW w:w="2548" w:type="dxa"/>
            <w:tcBorders>
              <w:top w:val="single" w:sz="8" w:space="0" w:color="auto"/>
              <w:left w:val="nil"/>
              <w:bottom w:val="single" w:sz="8" w:space="0" w:color="auto"/>
              <w:right w:val="single" w:sz="8" w:space="0" w:color="auto"/>
            </w:tcBorders>
            <w:shd w:val="clear" w:color="auto" w:fill="FF0000"/>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themeColor="background1"/>
                <w:sz w:val="24"/>
                <w:szCs w:val="24"/>
                <w:lang w:eastAsia="tr-TR"/>
              </w:rPr>
            </w:pPr>
            <w:r w:rsidRPr="00422D1D">
              <w:rPr>
                <w:rFonts w:ascii="Times New Roman" w:eastAsia="Times New Roman" w:hAnsi="Times New Roman" w:cs="Times New Roman"/>
                <w:b/>
                <w:bCs/>
                <w:color w:val="FFFFFF" w:themeColor="background1"/>
                <w:sz w:val="24"/>
                <w:szCs w:val="24"/>
                <w:lang w:eastAsia="tr-TR"/>
              </w:rPr>
              <w:t>Consumption Amount of Consumers Connected to the Distribution Voltage Level (MWh)</w:t>
            </w:r>
          </w:p>
        </w:tc>
        <w:tc>
          <w:tcPr>
            <w:tcW w:w="2693" w:type="dxa"/>
            <w:tcBorders>
              <w:top w:val="single" w:sz="8" w:space="0" w:color="auto"/>
              <w:left w:val="nil"/>
              <w:bottom w:val="single" w:sz="8" w:space="0" w:color="auto"/>
              <w:right w:val="single" w:sz="8" w:space="0" w:color="auto"/>
            </w:tcBorders>
            <w:shd w:val="clear" w:color="auto" w:fill="FF0000"/>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themeColor="background1"/>
                <w:sz w:val="24"/>
                <w:szCs w:val="24"/>
                <w:lang w:eastAsia="tr-TR"/>
              </w:rPr>
            </w:pPr>
            <w:r w:rsidRPr="00422D1D">
              <w:rPr>
                <w:rFonts w:ascii="Times New Roman" w:eastAsia="Times New Roman" w:hAnsi="Times New Roman" w:cs="Times New Roman"/>
                <w:b/>
                <w:bCs/>
                <w:color w:val="FFFFFF" w:themeColor="background1"/>
                <w:sz w:val="24"/>
                <w:szCs w:val="24"/>
                <w:lang w:eastAsia="tr-TR"/>
              </w:rPr>
              <w:t>Consumption Amount of Consumers Connected to the Transmission Voltage Level (MWh)</w:t>
            </w:r>
          </w:p>
        </w:tc>
        <w:tc>
          <w:tcPr>
            <w:tcW w:w="2126" w:type="dxa"/>
            <w:tcBorders>
              <w:top w:val="single" w:sz="8" w:space="0" w:color="auto"/>
              <w:left w:val="nil"/>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themeColor="background1"/>
                <w:sz w:val="24"/>
                <w:szCs w:val="24"/>
                <w:lang w:eastAsia="tr-TR"/>
              </w:rPr>
            </w:pPr>
            <w:r w:rsidRPr="00422D1D">
              <w:rPr>
                <w:rFonts w:ascii="Times New Roman" w:eastAsia="Times New Roman" w:hAnsi="Times New Roman" w:cs="Times New Roman"/>
                <w:b/>
                <w:bCs/>
                <w:color w:val="FFFFFF" w:themeColor="background1"/>
                <w:sz w:val="24"/>
                <w:szCs w:val="24"/>
                <w:lang w:eastAsia="tr-TR"/>
              </w:rPr>
              <w:t>Total (MWh)</w:t>
            </w:r>
          </w:p>
        </w:tc>
      </w:tr>
      <w:tr w:rsidR="0099399A" w:rsidRPr="00422D1D" w:rsidTr="0099399A">
        <w:trPr>
          <w:trHeight w:val="54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F5335D">
            <w:pPr>
              <w:spacing w:line="240" w:lineRule="auto"/>
              <w:jc w:val="center"/>
              <w:rPr>
                <w:rFonts w:ascii="Times New Roman" w:eastAsia="Times New Roman" w:hAnsi="Times New Roman" w:cs="Times New Roman"/>
                <w:color w:val="FFFFFF" w:themeColor="background1"/>
                <w:sz w:val="24"/>
                <w:szCs w:val="24"/>
                <w:lang w:eastAsia="tr-TR"/>
              </w:rPr>
            </w:pPr>
            <w:r w:rsidRPr="00422D1D">
              <w:rPr>
                <w:rFonts w:ascii="Times New Roman" w:eastAsia="Times New Roman" w:hAnsi="Times New Roman" w:cs="Times New Roman"/>
                <w:color w:val="FFFFFF" w:themeColor="background1"/>
                <w:sz w:val="24"/>
                <w:szCs w:val="24"/>
                <w:lang w:eastAsia="tr-TR"/>
              </w:rPr>
              <w:t>Non-Eligible Consumer</w:t>
            </w:r>
          </w:p>
        </w:tc>
        <w:tc>
          <w:tcPr>
            <w:tcW w:w="2548" w:type="dxa"/>
            <w:tcBorders>
              <w:top w:val="nil"/>
              <w:left w:val="nil"/>
              <w:bottom w:val="single" w:sz="8" w:space="0" w:color="auto"/>
              <w:right w:val="single" w:sz="8" w:space="0" w:color="auto"/>
            </w:tcBorders>
            <w:noWrap/>
            <w:vAlign w:val="bottom"/>
            <w:hideMark/>
          </w:tcPr>
          <w:p w:rsidR="0099399A" w:rsidRPr="00422D1D" w:rsidRDefault="0099399A" w:rsidP="00F5335D">
            <w:pPr>
              <w:jc w:val="center"/>
              <w:rPr>
                <w:rFonts w:ascii="Times New Roman" w:hAnsi="Times New Roman" w:cs="Times New Roman"/>
              </w:rPr>
            </w:pPr>
            <w:r w:rsidRPr="00422D1D">
              <w:rPr>
                <w:rFonts w:ascii="Times New Roman" w:hAnsi="Times New Roman" w:cs="Times New Roman"/>
              </w:rPr>
              <w:t>147.685.452,79</w:t>
            </w:r>
          </w:p>
        </w:tc>
        <w:tc>
          <w:tcPr>
            <w:tcW w:w="2693" w:type="dxa"/>
            <w:tcBorders>
              <w:top w:val="nil"/>
              <w:left w:val="nil"/>
              <w:bottom w:val="single" w:sz="8" w:space="0" w:color="auto"/>
              <w:right w:val="single" w:sz="8" w:space="0" w:color="auto"/>
            </w:tcBorders>
            <w:noWrap/>
            <w:vAlign w:val="bottom"/>
            <w:hideMark/>
          </w:tcPr>
          <w:p w:rsidR="0099399A" w:rsidRPr="00422D1D" w:rsidRDefault="0099399A" w:rsidP="00F5335D">
            <w:pPr>
              <w:jc w:val="center"/>
              <w:rPr>
                <w:rFonts w:ascii="Times New Roman" w:hAnsi="Times New Roman" w:cs="Times New Roman"/>
              </w:rPr>
            </w:pPr>
            <w:r w:rsidRPr="00422D1D">
              <w:rPr>
                <w:rFonts w:ascii="Times New Roman" w:hAnsi="Times New Roman" w:cs="Times New Roman"/>
              </w:rPr>
              <w:t>16.747.847,16</w:t>
            </w:r>
          </w:p>
        </w:tc>
        <w:tc>
          <w:tcPr>
            <w:tcW w:w="2126" w:type="dxa"/>
            <w:tcBorders>
              <w:top w:val="nil"/>
              <w:left w:val="nil"/>
              <w:bottom w:val="single" w:sz="8" w:space="0" w:color="auto"/>
              <w:right w:val="single" w:sz="8" w:space="0" w:color="auto"/>
            </w:tcBorders>
            <w:noWrap/>
            <w:vAlign w:val="bottom"/>
            <w:hideMark/>
          </w:tcPr>
          <w:p w:rsidR="0099399A" w:rsidRPr="00422D1D" w:rsidRDefault="0099399A" w:rsidP="00F5335D">
            <w:pPr>
              <w:jc w:val="center"/>
              <w:rPr>
                <w:rFonts w:ascii="Times New Roman" w:hAnsi="Times New Roman" w:cs="Times New Roman"/>
              </w:rPr>
            </w:pPr>
            <w:r w:rsidRPr="00422D1D">
              <w:rPr>
                <w:rFonts w:ascii="Times New Roman" w:hAnsi="Times New Roman" w:cs="Times New Roman"/>
              </w:rPr>
              <w:t>164.433.299,95</w:t>
            </w:r>
          </w:p>
        </w:tc>
      </w:tr>
      <w:tr w:rsidR="0099399A" w:rsidRPr="00422D1D" w:rsidTr="0099399A">
        <w:trPr>
          <w:trHeight w:val="484"/>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F5335D">
            <w:pPr>
              <w:spacing w:line="240" w:lineRule="auto"/>
              <w:jc w:val="center"/>
              <w:rPr>
                <w:rFonts w:ascii="Times New Roman" w:eastAsia="Times New Roman" w:hAnsi="Times New Roman" w:cs="Times New Roman"/>
                <w:color w:val="FFFFFF" w:themeColor="background1"/>
                <w:sz w:val="24"/>
                <w:szCs w:val="24"/>
                <w:lang w:eastAsia="tr-TR"/>
              </w:rPr>
            </w:pPr>
            <w:r w:rsidRPr="00422D1D">
              <w:rPr>
                <w:rFonts w:ascii="Times New Roman" w:eastAsia="Times New Roman" w:hAnsi="Times New Roman" w:cs="Times New Roman"/>
                <w:color w:val="FFFFFF" w:themeColor="background1"/>
                <w:sz w:val="24"/>
                <w:szCs w:val="24"/>
                <w:lang w:eastAsia="tr-TR"/>
              </w:rPr>
              <w:t>Eligible Consumer</w:t>
            </w:r>
          </w:p>
        </w:tc>
        <w:tc>
          <w:tcPr>
            <w:tcW w:w="2548" w:type="dxa"/>
            <w:tcBorders>
              <w:top w:val="nil"/>
              <w:left w:val="nil"/>
              <w:bottom w:val="single" w:sz="8" w:space="0" w:color="auto"/>
              <w:right w:val="single" w:sz="8" w:space="0" w:color="auto"/>
            </w:tcBorders>
            <w:noWrap/>
            <w:vAlign w:val="bottom"/>
            <w:hideMark/>
          </w:tcPr>
          <w:p w:rsidR="0099399A" w:rsidRPr="00422D1D" w:rsidRDefault="0099399A" w:rsidP="00F5335D">
            <w:pPr>
              <w:jc w:val="center"/>
              <w:rPr>
                <w:rFonts w:ascii="Times New Roman" w:hAnsi="Times New Roman" w:cs="Times New Roman"/>
              </w:rPr>
            </w:pPr>
            <w:r w:rsidRPr="00422D1D">
              <w:rPr>
                <w:rFonts w:ascii="Times New Roman" w:hAnsi="Times New Roman" w:cs="Times New Roman"/>
              </w:rPr>
              <w:t>30.225.373,40</w:t>
            </w:r>
          </w:p>
        </w:tc>
        <w:tc>
          <w:tcPr>
            <w:tcW w:w="2693" w:type="dxa"/>
            <w:tcBorders>
              <w:top w:val="nil"/>
              <w:left w:val="nil"/>
              <w:bottom w:val="single" w:sz="8" w:space="0" w:color="auto"/>
              <w:right w:val="single" w:sz="8" w:space="0" w:color="auto"/>
            </w:tcBorders>
            <w:noWrap/>
            <w:vAlign w:val="bottom"/>
            <w:hideMark/>
          </w:tcPr>
          <w:p w:rsidR="0099399A" w:rsidRPr="00422D1D" w:rsidRDefault="0099399A" w:rsidP="00F5335D">
            <w:pPr>
              <w:jc w:val="center"/>
              <w:rPr>
                <w:rFonts w:ascii="Times New Roman" w:hAnsi="Times New Roman" w:cs="Times New Roman"/>
              </w:rPr>
            </w:pPr>
            <w:r w:rsidRPr="00422D1D">
              <w:rPr>
                <w:rFonts w:ascii="Times New Roman" w:hAnsi="Times New Roman" w:cs="Times New Roman"/>
              </w:rPr>
              <w:t>38.951.356,19</w:t>
            </w:r>
          </w:p>
        </w:tc>
        <w:tc>
          <w:tcPr>
            <w:tcW w:w="2126" w:type="dxa"/>
            <w:tcBorders>
              <w:top w:val="nil"/>
              <w:left w:val="nil"/>
              <w:bottom w:val="single" w:sz="8" w:space="0" w:color="auto"/>
              <w:right w:val="single" w:sz="8" w:space="0" w:color="auto"/>
            </w:tcBorders>
            <w:noWrap/>
            <w:vAlign w:val="bottom"/>
            <w:hideMark/>
          </w:tcPr>
          <w:p w:rsidR="0099399A" w:rsidRPr="00422D1D" w:rsidRDefault="0099399A" w:rsidP="00F5335D">
            <w:pPr>
              <w:jc w:val="center"/>
              <w:rPr>
                <w:rFonts w:ascii="Times New Roman" w:hAnsi="Times New Roman" w:cs="Times New Roman"/>
              </w:rPr>
            </w:pPr>
            <w:r w:rsidRPr="00422D1D">
              <w:rPr>
                <w:rFonts w:ascii="Times New Roman" w:hAnsi="Times New Roman" w:cs="Times New Roman"/>
              </w:rPr>
              <w:t>69.176.729,59</w:t>
            </w:r>
          </w:p>
        </w:tc>
      </w:tr>
      <w:tr w:rsidR="0099399A" w:rsidRPr="00422D1D" w:rsidTr="0099399A">
        <w:trPr>
          <w:trHeight w:val="559"/>
        </w:trPr>
        <w:tc>
          <w:tcPr>
            <w:tcW w:w="172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themeColor="background1"/>
                <w:sz w:val="24"/>
                <w:szCs w:val="24"/>
                <w:lang w:eastAsia="tr-TR"/>
              </w:rPr>
            </w:pPr>
            <w:r w:rsidRPr="00422D1D">
              <w:rPr>
                <w:rFonts w:ascii="Times New Roman" w:eastAsia="Times New Roman" w:hAnsi="Times New Roman" w:cs="Times New Roman"/>
                <w:b/>
                <w:bCs/>
                <w:color w:val="FFFFFF" w:themeColor="background1"/>
                <w:sz w:val="24"/>
                <w:szCs w:val="24"/>
                <w:lang w:eastAsia="tr-TR"/>
              </w:rPr>
              <w:t>Grand Total</w:t>
            </w:r>
          </w:p>
        </w:tc>
        <w:tc>
          <w:tcPr>
            <w:tcW w:w="2548" w:type="dxa"/>
            <w:tcBorders>
              <w:top w:val="nil"/>
              <w:left w:val="nil"/>
              <w:bottom w:val="single" w:sz="8" w:space="0" w:color="auto"/>
              <w:right w:val="single" w:sz="8" w:space="0" w:color="auto"/>
            </w:tcBorders>
            <w:shd w:val="clear" w:color="auto" w:fill="FF5050"/>
            <w:noWrap/>
            <w:vAlign w:val="bottom"/>
            <w:hideMark/>
          </w:tcPr>
          <w:p w:rsidR="0099399A" w:rsidRPr="00422D1D" w:rsidRDefault="0099399A" w:rsidP="00F5335D">
            <w:pPr>
              <w:jc w:val="center"/>
              <w:rPr>
                <w:rFonts w:ascii="Times New Roman" w:hAnsi="Times New Roman" w:cs="Times New Roman"/>
              </w:rPr>
            </w:pPr>
            <w:r w:rsidRPr="00422D1D">
              <w:rPr>
                <w:rFonts w:ascii="Times New Roman" w:hAnsi="Times New Roman" w:cs="Times New Roman"/>
              </w:rPr>
              <w:t>177.910.826,19</w:t>
            </w:r>
          </w:p>
        </w:tc>
        <w:tc>
          <w:tcPr>
            <w:tcW w:w="2693" w:type="dxa"/>
            <w:tcBorders>
              <w:top w:val="nil"/>
              <w:left w:val="nil"/>
              <w:bottom w:val="single" w:sz="8" w:space="0" w:color="auto"/>
              <w:right w:val="single" w:sz="8" w:space="0" w:color="auto"/>
            </w:tcBorders>
            <w:shd w:val="clear" w:color="auto" w:fill="FF5050"/>
            <w:noWrap/>
            <w:vAlign w:val="bottom"/>
            <w:hideMark/>
          </w:tcPr>
          <w:p w:rsidR="0099399A" w:rsidRPr="00422D1D" w:rsidRDefault="0099399A" w:rsidP="00F5335D">
            <w:pPr>
              <w:jc w:val="center"/>
              <w:rPr>
                <w:rFonts w:ascii="Times New Roman" w:hAnsi="Times New Roman" w:cs="Times New Roman"/>
              </w:rPr>
            </w:pPr>
            <w:r w:rsidRPr="00422D1D">
              <w:rPr>
                <w:rFonts w:ascii="Times New Roman" w:hAnsi="Times New Roman" w:cs="Times New Roman"/>
              </w:rPr>
              <w:t>55.699.203,35</w:t>
            </w:r>
          </w:p>
        </w:tc>
        <w:tc>
          <w:tcPr>
            <w:tcW w:w="2126" w:type="dxa"/>
            <w:tcBorders>
              <w:top w:val="nil"/>
              <w:left w:val="nil"/>
              <w:bottom w:val="single" w:sz="8" w:space="0" w:color="auto"/>
              <w:right w:val="single" w:sz="8" w:space="0" w:color="auto"/>
            </w:tcBorders>
            <w:shd w:val="clear" w:color="auto" w:fill="FF5050"/>
            <w:noWrap/>
            <w:vAlign w:val="bottom"/>
            <w:hideMark/>
          </w:tcPr>
          <w:p w:rsidR="0099399A" w:rsidRPr="00422D1D" w:rsidRDefault="0099399A" w:rsidP="00F5335D">
            <w:pPr>
              <w:jc w:val="center"/>
              <w:rPr>
                <w:rFonts w:ascii="Times New Roman" w:hAnsi="Times New Roman" w:cs="Times New Roman"/>
              </w:rPr>
            </w:pPr>
            <w:r w:rsidRPr="00422D1D">
              <w:rPr>
                <w:rFonts w:ascii="Times New Roman" w:hAnsi="Times New Roman" w:cs="Times New Roman"/>
              </w:rPr>
              <w:t>233.610.029,54</w:t>
            </w:r>
          </w:p>
        </w:tc>
      </w:tr>
    </w:tbl>
    <w:p w:rsidR="0099399A" w:rsidRPr="00422D1D" w:rsidRDefault="0099399A" w:rsidP="0099399A">
      <w:pPr>
        <w:tabs>
          <w:tab w:val="left" w:pos="7574"/>
        </w:tabs>
        <w:jc w:val="both"/>
        <w:rPr>
          <w:rFonts w:ascii="Times New Roman" w:hAnsi="Times New Roman" w:cs="Times New Roman"/>
          <w:sz w:val="24"/>
        </w:rPr>
      </w:pPr>
    </w:p>
    <w:p w:rsidR="00F5335D" w:rsidRDefault="00F5335D" w:rsidP="00F5335D">
      <w:pPr>
        <w:spacing w:line="360" w:lineRule="auto"/>
        <w:jc w:val="both"/>
        <w:rPr>
          <w:rFonts w:ascii="Times New Roman" w:hAnsi="Times New Roman" w:cs="Times New Roman"/>
          <w:sz w:val="24"/>
          <w:szCs w:val="24"/>
        </w:rPr>
      </w:pPr>
    </w:p>
    <w:p w:rsidR="0099399A" w:rsidRPr="00422D1D" w:rsidRDefault="0099399A" w:rsidP="00F5335D">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rPr>
        <w:t>Distribution of consumption by distribution regions is given in Table 1.11. The highest consumption was in Toroslar EDAŞ region with 27,52 TWh and the lowest consumption with 1,97 TWh was in Vangölü EDAŞ region. The region where the highest consumption connected to distribution voltage level was Boğaziçi EDAŞ, whereas the lowest region was Vangölü EDAŞ. In addition, the region where the consumption connected to transmission was the highest in Toroslar and the lowest in Çoruh EDAŞ region.</w:t>
      </w:r>
    </w:p>
    <w:p w:rsidR="0099399A" w:rsidRPr="00422D1D" w:rsidRDefault="0099399A" w:rsidP="00F5335D">
      <w:pPr>
        <w:pStyle w:val="Balk1"/>
      </w:pPr>
      <w:bookmarkStart w:id="322" w:name="_Toc520822047"/>
      <w:bookmarkStart w:id="323" w:name="_Toc494982831"/>
      <w:bookmarkStart w:id="324" w:name="_Toc10123844"/>
      <w:bookmarkStart w:id="325" w:name="_Toc10191427"/>
      <w:bookmarkStart w:id="326" w:name="_Toc12526220"/>
      <w:r w:rsidRPr="00422D1D">
        <w:lastRenderedPageBreak/>
        <w:t>Table 1.11: Distribution of Invoiced Consumption by Distribution Regions in 2018 (MWh-%)</w:t>
      </w:r>
      <w:bookmarkEnd w:id="322"/>
      <w:bookmarkEnd w:id="323"/>
      <w:bookmarkEnd w:id="324"/>
      <w:bookmarkEnd w:id="325"/>
      <w:bookmarkEnd w:id="326"/>
    </w:p>
    <w:tbl>
      <w:tblPr>
        <w:tblW w:w="9591" w:type="dxa"/>
        <w:tblInd w:w="55" w:type="dxa"/>
        <w:tblCellMar>
          <w:left w:w="70" w:type="dxa"/>
          <w:right w:w="70" w:type="dxa"/>
        </w:tblCellMar>
        <w:tblLook w:val="04A0" w:firstRow="1" w:lastRow="0" w:firstColumn="1" w:lastColumn="0" w:noHBand="0" w:noVBand="1"/>
      </w:tblPr>
      <w:tblGrid>
        <w:gridCol w:w="2850"/>
        <w:gridCol w:w="2127"/>
        <w:gridCol w:w="1984"/>
        <w:gridCol w:w="1843"/>
        <w:gridCol w:w="787"/>
      </w:tblGrid>
      <w:tr w:rsidR="0099399A" w:rsidRPr="00422D1D" w:rsidTr="0099399A">
        <w:trPr>
          <w:trHeight w:val="1035"/>
          <w:tblHeader/>
        </w:trPr>
        <w:tc>
          <w:tcPr>
            <w:tcW w:w="285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Distribution Regions</w:t>
            </w:r>
          </w:p>
        </w:tc>
        <w:tc>
          <w:tcPr>
            <w:tcW w:w="2127" w:type="dxa"/>
            <w:tcBorders>
              <w:top w:val="single" w:sz="8" w:space="0" w:color="auto"/>
              <w:left w:val="nil"/>
              <w:bottom w:val="single" w:sz="8" w:space="0" w:color="auto"/>
              <w:right w:val="single" w:sz="8" w:space="0" w:color="auto"/>
            </w:tcBorders>
            <w:shd w:val="clear" w:color="auto" w:fill="FF0000"/>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Consumption of Consumers Connected to Distribution (MWh)</w:t>
            </w:r>
          </w:p>
        </w:tc>
        <w:tc>
          <w:tcPr>
            <w:tcW w:w="1984" w:type="dxa"/>
            <w:tcBorders>
              <w:top w:val="single" w:sz="8" w:space="0" w:color="auto"/>
              <w:left w:val="nil"/>
              <w:bottom w:val="single" w:sz="8" w:space="0" w:color="auto"/>
              <w:right w:val="single" w:sz="8" w:space="0" w:color="auto"/>
            </w:tcBorders>
            <w:shd w:val="clear" w:color="auto" w:fill="FF0000"/>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Consumption of Consumers Connected to Transmission (MWh)</w:t>
            </w:r>
          </w:p>
        </w:tc>
        <w:tc>
          <w:tcPr>
            <w:tcW w:w="1843" w:type="dxa"/>
            <w:tcBorders>
              <w:top w:val="single" w:sz="8" w:space="0" w:color="auto"/>
              <w:left w:val="nil"/>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Total (MWh)</w:t>
            </w:r>
          </w:p>
        </w:tc>
        <w:tc>
          <w:tcPr>
            <w:tcW w:w="787" w:type="dxa"/>
            <w:tcBorders>
              <w:top w:val="single" w:sz="8" w:space="0" w:color="auto"/>
              <w:left w:val="nil"/>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Share (%)</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TOROSLAR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15.327.680,68</w:t>
            </w:r>
          </w:p>
        </w:tc>
        <w:tc>
          <w:tcPr>
            <w:tcW w:w="198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12.190.165,26</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27.517.845,94</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11,78</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BOĞAZİÇİ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25.958.517,34</w:t>
            </w:r>
          </w:p>
        </w:tc>
        <w:tc>
          <w:tcPr>
            <w:tcW w:w="198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1.465.658,34</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27.424.175,68</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11,74</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GDZ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14.827.527,09</w:t>
            </w:r>
          </w:p>
        </w:tc>
        <w:tc>
          <w:tcPr>
            <w:tcW w:w="198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6.265.710,33</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21.093.237,42</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9,03</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ULUDAĞ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12.116.127,37</w:t>
            </w:r>
          </w:p>
        </w:tc>
        <w:tc>
          <w:tcPr>
            <w:tcW w:w="198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6.662.150,36</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18.778.277,73</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8,04</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BAŞKENT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15.216.716,88</w:t>
            </w:r>
          </w:p>
        </w:tc>
        <w:tc>
          <w:tcPr>
            <w:tcW w:w="198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3.298.388,90</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18.515.105,78</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7,93</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SAKARYA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9.072.742,57</w:t>
            </w:r>
          </w:p>
        </w:tc>
        <w:tc>
          <w:tcPr>
            <w:tcW w:w="198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6.921.062,59</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15.993.805,16</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6,85</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İST. AND. YAK.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11.818.912,08</w:t>
            </w:r>
          </w:p>
        </w:tc>
        <w:tc>
          <w:tcPr>
            <w:tcW w:w="198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1.209.031,09</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13.027.943,17</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5,58</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DİCLE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10.140.239,92</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1.060.375,10</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11.200.615,02</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4,79</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MERAM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8.892.519,08</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1.571.986,85</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10.464.505,94</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4,48</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AKDENİZ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9.074.363,66</w:t>
            </w:r>
          </w:p>
        </w:tc>
        <w:tc>
          <w:tcPr>
            <w:tcW w:w="1984" w:type="dxa"/>
            <w:tcBorders>
              <w:top w:val="nil"/>
              <w:left w:val="nil"/>
              <w:bottom w:val="single" w:sz="8" w:space="0" w:color="auto"/>
              <w:right w:val="single" w:sz="8" w:space="0" w:color="auto"/>
            </w:tcBorders>
            <w:shd w:val="clear" w:color="auto" w:fill="FFFFFF"/>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1.288.509,01</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10.362.872,67</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4,44</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TRAKYA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6.637.491,06</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3.411.300,67</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10.048.791,73</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4,30</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OSMANGAZİ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6.330.630,54</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3.585.829,34</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9.916.459,88</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4,24</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ADM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8.836.235,84</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998.233,46</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9.834.469,30</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4,21</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YEŞİLIRMAK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4.945.764,21</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1.352.205,09</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6.297.969,30</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2,70</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AKEDAŞ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3.576.137,48</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1.560.110,40</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5.136.247,88</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2,20</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ÇORUH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3.622.402,48</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71.285,00</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3.693.687,48</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1,58</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C30646">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 xml:space="preserve">KAYSERİ </w:t>
            </w:r>
            <w:r w:rsidR="00C30646">
              <w:rPr>
                <w:rFonts w:ascii="Times New Roman" w:eastAsia="Times New Roman" w:hAnsi="Times New Roman" w:cs="Times New Roman"/>
                <w:color w:val="FFFFFF"/>
                <w:sz w:val="20"/>
                <w:szCs w:val="20"/>
                <w:lang w:eastAsia="tr-TR"/>
              </w:rPr>
              <w:t>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2.336.403,14</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1.321.350,48</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3.657.753,62</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1,57</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FIRAT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2.512.622,54</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751.338,65</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3.263.961,19</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1,40</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ÇAMLIBEL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2.497.145,64</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411.547,10</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2.908.692,74</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1,25</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ARAS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2.319.765,46</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183.277,27</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2.503.042,73</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1,07</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sz w:val="20"/>
                <w:szCs w:val="20"/>
                <w:lang w:eastAsia="tr-TR"/>
              </w:rPr>
            </w:pPr>
            <w:r w:rsidRPr="00422D1D">
              <w:rPr>
                <w:rFonts w:ascii="Times New Roman" w:eastAsia="Times New Roman" w:hAnsi="Times New Roman" w:cs="Times New Roman"/>
                <w:color w:val="FFFFFF"/>
                <w:sz w:val="20"/>
                <w:szCs w:val="20"/>
                <w:lang w:eastAsia="tr-TR"/>
              </w:rPr>
              <w:t>VANGÖLÜ EDAŞ</w:t>
            </w:r>
          </w:p>
        </w:tc>
        <w:tc>
          <w:tcPr>
            <w:tcW w:w="212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1.850.881,15</w:t>
            </w:r>
          </w:p>
        </w:tc>
        <w:tc>
          <w:tcPr>
            <w:tcW w:w="198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119.688,06</w:t>
            </w:r>
          </w:p>
        </w:tc>
        <w:tc>
          <w:tcPr>
            <w:tcW w:w="184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1.970.569,21</w:t>
            </w:r>
          </w:p>
        </w:tc>
        <w:tc>
          <w:tcPr>
            <w:tcW w:w="787"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0,84</w:t>
            </w:r>
          </w:p>
        </w:tc>
      </w:tr>
      <w:tr w:rsidR="0099399A" w:rsidRPr="00422D1D" w:rsidTr="0099399A">
        <w:trPr>
          <w:trHeight w:val="315"/>
        </w:trPr>
        <w:tc>
          <w:tcPr>
            <w:tcW w:w="285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Grand Total</w:t>
            </w:r>
          </w:p>
        </w:tc>
        <w:tc>
          <w:tcPr>
            <w:tcW w:w="2127"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177.910.826,19</w:t>
            </w:r>
          </w:p>
        </w:tc>
        <w:tc>
          <w:tcPr>
            <w:tcW w:w="1984"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55.699.203,35</w:t>
            </w:r>
          </w:p>
        </w:tc>
        <w:tc>
          <w:tcPr>
            <w:tcW w:w="1843"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233.610.029,54</w:t>
            </w:r>
          </w:p>
        </w:tc>
        <w:tc>
          <w:tcPr>
            <w:tcW w:w="787"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r>
    </w:tbl>
    <w:p w:rsidR="0099399A" w:rsidRPr="00422D1D" w:rsidRDefault="0099399A" w:rsidP="0099399A">
      <w:pPr>
        <w:tabs>
          <w:tab w:val="left" w:pos="7574"/>
        </w:tabs>
        <w:jc w:val="both"/>
        <w:rPr>
          <w:rFonts w:ascii="Times New Roman" w:hAnsi="Times New Roman" w:cs="Times New Roman"/>
          <w:sz w:val="24"/>
        </w:rPr>
      </w:pPr>
    </w:p>
    <w:p w:rsidR="0099399A" w:rsidRPr="00422D1D" w:rsidRDefault="0099399A" w:rsidP="00F5335D">
      <w:pPr>
        <w:spacing w:line="360" w:lineRule="auto"/>
        <w:jc w:val="both"/>
        <w:rPr>
          <w:rFonts w:ascii="Times New Roman" w:hAnsi="Times New Roman" w:cs="Times New Roman"/>
          <w:sz w:val="24"/>
          <w:szCs w:val="24"/>
          <w:shd w:val="clear" w:color="auto" w:fill="FFFFFF"/>
        </w:rPr>
      </w:pPr>
      <w:bookmarkStart w:id="327" w:name="_Toc450309957"/>
      <w:bookmarkStart w:id="328" w:name="_Toc450300301"/>
      <w:r w:rsidRPr="00422D1D">
        <w:rPr>
          <w:rFonts w:ascii="Times New Roman" w:hAnsi="Times New Roman" w:cs="Times New Roman"/>
          <w:sz w:val="24"/>
          <w:szCs w:val="24"/>
          <w:shd w:val="clear" w:color="auto" w:fill="FFFFFF"/>
        </w:rPr>
        <w:t xml:space="preserve">The distribution of invoiced consumption by consumer type is shown in Figure 1.20 and Table 1.12. The industrial consumption was the first with a share of 41,52 %. The consumption of the commercial sector was the second with 29,23 % and the household </w:t>
      </w:r>
      <w:r w:rsidRPr="00422D1D">
        <w:rPr>
          <w:rFonts w:ascii="Times New Roman" w:hAnsi="Times New Roman" w:cs="Times New Roman"/>
          <w:sz w:val="24"/>
          <w:szCs w:val="24"/>
          <w:shd w:val="clear" w:color="auto" w:fill="FFFFFF"/>
        </w:rPr>
        <w:lastRenderedPageBreak/>
        <w:t>consumption was the third with 23,45 %. The total electricity consumption used in lighting and agricultural irrigation was 5,81 %.</w:t>
      </w:r>
    </w:p>
    <w:p w:rsidR="0099399A" w:rsidRPr="00F5335D" w:rsidRDefault="0099399A" w:rsidP="00F5335D">
      <w:pPr>
        <w:pStyle w:val="Balk1"/>
      </w:pPr>
      <w:bookmarkStart w:id="329" w:name="_Toc520822048"/>
      <w:bookmarkStart w:id="330" w:name="_Toc494982832"/>
      <w:bookmarkStart w:id="331" w:name="_Toc10123845"/>
      <w:bookmarkStart w:id="332" w:name="_Toc10191428"/>
      <w:bookmarkStart w:id="333" w:name="_Toc12526221"/>
      <w:bookmarkEnd w:id="327"/>
      <w:bookmarkEnd w:id="328"/>
      <w:r w:rsidRPr="00F5335D">
        <w:t>Table 1.12: Distribution of Invoiced Consumption by Consumer Type as Eligible and Non-Eligible Consumers in 2018 (MWh)</w:t>
      </w:r>
      <w:bookmarkEnd w:id="329"/>
      <w:bookmarkEnd w:id="330"/>
      <w:bookmarkEnd w:id="331"/>
      <w:bookmarkEnd w:id="332"/>
      <w:bookmarkEnd w:id="333"/>
    </w:p>
    <w:tbl>
      <w:tblPr>
        <w:tblW w:w="9654" w:type="dxa"/>
        <w:jc w:val="center"/>
        <w:tblCellMar>
          <w:left w:w="70" w:type="dxa"/>
          <w:right w:w="70" w:type="dxa"/>
        </w:tblCellMar>
        <w:tblLook w:val="04A0" w:firstRow="1" w:lastRow="0" w:firstColumn="1" w:lastColumn="0" w:noHBand="0" w:noVBand="1"/>
      </w:tblPr>
      <w:tblGrid>
        <w:gridCol w:w="1858"/>
        <w:gridCol w:w="1701"/>
        <w:gridCol w:w="851"/>
        <w:gridCol w:w="1559"/>
        <w:gridCol w:w="992"/>
        <w:gridCol w:w="1670"/>
        <w:gridCol w:w="1023"/>
      </w:tblGrid>
      <w:tr w:rsidR="0099399A" w:rsidRPr="00422D1D" w:rsidTr="00F5335D">
        <w:trPr>
          <w:trHeight w:val="465"/>
          <w:jc w:val="center"/>
        </w:trPr>
        <w:tc>
          <w:tcPr>
            <w:tcW w:w="1858" w:type="dxa"/>
            <w:vMerge w:val="restart"/>
            <w:tcBorders>
              <w:top w:val="single" w:sz="8" w:space="0" w:color="auto"/>
              <w:left w:val="single" w:sz="8" w:space="0" w:color="auto"/>
              <w:bottom w:val="single" w:sz="8" w:space="0" w:color="000000"/>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Consumer Type</w:t>
            </w:r>
          </w:p>
        </w:tc>
        <w:tc>
          <w:tcPr>
            <w:tcW w:w="7796" w:type="dxa"/>
            <w:gridSpan w:val="6"/>
            <w:tcBorders>
              <w:top w:val="single" w:sz="8" w:space="0" w:color="auto"/>
              <w:left w:val="nil"/>
              <w:bottom w:val="single" w:sz="8" w:space="0" w:color="auto"/>
              <w:right w:val="single" w:sz="8" w:space="0" w:color="000000"/>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Consumption Amount(MWh)</w:t>
            </w:r>
          </w:p>
        </w:tc>
      </w:tr>
      <w:tr w:rsidR="0099399A" w:rsidRPr="00422D1D" w:rsidTr="00F5335D">
        <w:trPr>
          <w:trHeight w:val="827"/>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99399A" w:rsidRPr="00422D1D" w:rsidRDefault="0099399A" w:rsidP="00F5335D">
            <w:pPr>
              <w:jc w:val="center"/>
              <w:rPr>
                <w:rFonts w:ascii="Times New Roman" w:eastAsia="Times New Roman" w:hAnsi="Times New Roman" w:cs="Times New Roman"/>
                <w:b/>
                <w:bCs/>
                <w:color w:val="FFFFFF"/>
                <w:lang w:val="tr-TR" w:eastAsia="tr-TR"/>
              </w:rPr>
            </w:pPr>
          </w:p>
        </w:tc>
        <w:tc>
          <w:tcPr>
            <w:tcW w:w="1701" w:type="dxa"/>
            <w:tcBorders>
              <w:top w:val="nil"/>
              <w:left w:val="nil"/>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Non-Eligible Consumer</w:t>
            </w:r>
          </w:p>
        </w:tc>
        <w:tc>
          <w:tcPr>
            <w:tcW w:w="851" w:type="dxa"/>
            <w:tcBorders>
              <w:top w:val="nil"/>
              <w:left w:val="nil"/>
              <w:bottom w:val="single" w:sz="8" w:space="0" w:color="auto"/>
              <w:right w:val="single" w:sz="8" w:space="0" w:color="auto"/>
            </w:tcBorders>
            <w:shd w:val="clear" w:color="auto" w:fill="FF0000"/>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 xml:space="preserve">Share </w:t>
            </w:r>
            <w:r w:rsidRPr="00422D1D">
              <w:rPr>
                <w:rFonts w:ascii="Times New Roman" w:eastAsia="Times New Roman" w:hAnsi="Times New Roman" w:cs="Times New Roman"/>
                <w:b/>
                <w:bCs/>
                <w:color w:val="FFFFFF"/>
                <w:lang w:eastAsia="tr-TR"/>
              </w:rPr>
              <w:br/>
              <w:t>(%)</w:t>
            </w:r>
          </w:p>
        </w:tc>
        <w:tc>
          <w:tcPr>
            <w:tcW w:w="1559" w:type="dxa"/>
            <w:tcBorders>
              <w:top w:val="nil"/>
              <w:left w:val="nil"/>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Eligible Consumer</w:t>
            </w:r>
          </w:p>
        </w:tc>
        <w:tc>
          <w:tcPr>
            <w:tcW w:w="992" w:type="dxa"/>
            <w:tcBorders>
              <w:top w:val="nil"/>
              <w:left w:val="nil"/>
              <w:bottom w:val="single" w:sz="8" w:space="0" w:color="auto"/>
              <w:right w:val="single" w:sz="8" w:space="0" w:color="auto"/>
            </w:tcBorders>
            <w:shd w:val="clear" w:color="auto" w:fill="FF0000"/>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 xml:space="preserve">Share </w:t>
            </w:r>
            <w:r w:rsidRPr="00422D1D">
              <w:rPr>
                <w:rFonts w:ascii="Times New Roman" w:eastAsia="Times New Roman" w:hAnsi="Times New Roman" w:cs="Times New Roman"/>
                <w:b/>
                <w:bCs/>
                <w:color w:val="FFFFFF"/>
                <w:lang w:eastAsia="tr-TR"/>
              </w:rPr>
              <w:br/>
              <w:t>(%)</w:t>
            </w:r>
          </w:p>
        </w:tc>
        <w:tc>
          <w:tcPr>
            <w:tcW w:w="1670" w:type="dxa"/>
            <w:tcBorders>
              <w:top w:val="nil"/>
              <w:left w:val="nil"/>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Total</w:t>
            </w:r>
          </w:p>
        </w:tc>
        <w:tc>
          <w:tcPr>
            <w:tcW w:w="1023" w:type="dxa"/>
            <w:tcBorders>
              <w:top w:val="nil"/>
              <w:left w:val="nil"/>
              <w:bottom w:val="single" w:sz="8" w:space="0" w:color="auto"/>
              <w:right w:val="single" w:sz="8" w:space="0" w:color="auto"/>
            </w:tcBorders>
            <w:shd w:val="clear" w:color="auto" w:fill="FF0000"/>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 xml:space="preserve">Share </w:t>
            </w:r>
            <w:r w:rsidRPr="00422D1D">
              <w:rPr>
                <w:rFonts w:ascii="Times New Roman" w:eastAsia="Times New Roman" w:hAnsi="Times New Roman" w:cs="Times New Roman"/>
                <w:b/>
                <w:bCs/>
                <w:color w:val="FFFFFF"/>
                <w:lang w:eastAsia="tr-TR"/>
              </w:rPr>
              <w:br/>
              <w:t>(%)</w:t>
            </w:r>
          </w:p>
        </w:tc>
      </w:tr>
      <w:tr w:rsidR="0099399A" w:rsidRPr="00422D1D" w:rsidTr="00F5335D">
        <w:trPr>
          <w:trHeight w:val="437"/>
          <w:jc w:val="center"/>
        </w:trPr>
        <w:tc>
          <w:tcPr>
            <w:tcW w:w="1858"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F5335D">
            <w:pPr>
              <w:spacing w:line="240" w:lineRule="auto"/>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Industry</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49.104.564,12</w:t>
            </w:r>
          </w:p>
        </w:tc>
        <w:tc>
          <w:tcPr>
            <w:tcW w:w="85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29,86</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47.891.284,07</w:t>
            </w:r>
          </w:p>
        </w:tc>
        <w:tc>
          <w:tcPr>
            <w:tcW w:w="992"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69,23</w:t>
            </w:r>
          </w:p>
        </w:tc>
        <w:tc>
          <w:tcPr>
            <w:tcW w:w="167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96.995.848,19</w:t>
            </w:r>
          </w:p>
        </w:tc>
        <w:tc>
          <w:tcPr>
            <w:tcW w:w="102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41,52</w:t>
            </w:r>
          </w:p>
        </w:tc>
      </w:tr>
      <w:tr w:rsidR="0099399A" w:rsidRPr="00422D1D" w:rsidTr="00F5335D">
        <w:trPr>
          <w:trHeight w:val="558"/>
          <w:jc w:val="center"/>
        </w:trPr>
        <w:tc>
          <w:tcPr>
            <w:tcW w:w="1858"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F5335D">
            <w:pPr>
              <w:spacing w:line="240" w:lineRule="auto"/>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Commercial</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51.769.098,88</w:t>
            </w:r>
          </w:p>
        </w:tc>
        <w:tc>
          <w:tcPr>
            <w:tcW w:w="85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31,48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16.520.154,79</w:t>
            </w:r>
          </w:p>
        </w:tc>
        <w:tc>
          <w:tcPr>
            <w:tcW w:w="992"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23,88</w:t>
            </w:r>
          </w:p>
        </w:tc>
        <w:tc>
          <w:tcPr>
            <w:tcW w:w="167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68.289.253,67</w:t>
            </w:r>
          </w:p>
        </w:tc>
        <w:tc>
          <w:tcPr>
            <w:tcW w:w="102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29,23</w:t>
            </w:r>
          </w:p>
        </w:tc>
      </w:tr>
      <w:tr w:rsidR="0099399A" w:rsidRPr="00422D1D" w:rsidTr="00F5335D">
        <w:trPr>
          <w:trHeight w:val="396"/>
          <w:jc w:val="center"/>
        </w:trPr>
        <w:tc>
          <w:tcPr>
            <w:tcW w:w="1858"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F5335D">
            <w:pPr>
              <w:spacing w:line="240" w:lineRule="auto"/>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Household</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50.145.851,17</w:t>
            </w:r>
          </w:p>
        </w:tc>
        <w:tc>
          <w:tcPr>
            <w:tcW w:w="85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30,50</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4.624.128,39</w:t>
            </w:r>
          </w:p>
        </w:tc>
        <w:tc>
          <w:tcPr>
            <w:tcW w:w="992"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6,68</w:t>
            </w:r>
          </w:p>
        </w:tc>
        <w:tc>
          <w:tcPr>
            <w:tcW w:w="167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54.769.979,56</w:t>
            </w:r>
          </w:p>
        </w:tc>
        <w:tc>
          <w:tcPr>
            <w:tcW w:w="102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23,45</w:t>
            </w:r>
          </w:p>
        </w:tc>
      </w:tr>
      <w:tr w:rsidR="0099399A" w:rsidRPr="00422D1D" w:rsidTr="00F5335D">
        <w:trPr>
          <w:trHeight w:val="558"/>
          <w:jc w:val="center"/>
        </w:trPr>
        <w:tc>
          <w:tcPr>
            <w:tcW w:w="1858"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F5335D">
            <w:pPr>
              <w:spacing w:line="240" w:lineRule="auto"/>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Irrigation</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8.675.761,25</w:t>
            </w:r>
          </w:p>
        </w:tc>
        <w:tc>
          <w:tcPr>
            <w:tcW w:w="85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5,28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123.383,98</w:t>
            </w:r>
          </w:p>
        </w:tc>
        <w:tc>
          <w:tcPr>
            <w:tcW w:w="992"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0,18</w:t>
            </w:r>
          </w:p>
        </w:tc>
        <w:tc>
          <w:tcPr>
            <w:tcW w:w="167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8.799.145,22</w:t>
            </w:r>
          </w:p>
        </w:tc>
        <w:tc>
          <w:tcPr>
            <w:tcW w:w="102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3,77</w:t>
            </w:r>
          </w:p>
        </w:tc>
      </w:tr>
      <w:tr w:rsidR="0099399A" w:rsidRPr="00422D1D" w:rsidTr="00F5335D">
        <w:trPr>
          <w:trHeight w:val="538"/>
          <w:jc w:val="center"/>
        </w:trPr>
        <w:tc>
          <w:tcPr>
            <w:tcW w:w="1858"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F5335D">
            <w:pPr>
              <w:spacing w:line="240" w:lineRule="auto"/>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Lighting</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4.738.024,53</w:t>
            </w:r>
          </w:p>
        </w:tc>
        <w:tc>
          <w:tcPr>
            <w:tcW w:w="85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2,88</w:t>
            </w:r>
          </w:p>
        </w:tc>
        <w:tc>
          <w:tcPr>
            <w:tcW w:w="1559"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17.778,36</w:t>
            </w:r>
          </w:p>
        </w:tc>
        <w:tc>
          <w:tcPr>
            <w:tcW w:w="992"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0,03</w:t>
            </w:r>
          </w:p>
        </w:tc>
        <w:tc>
          <w:tcPr>
            <w:tcW w:w="167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4.755.802,89</w:t>
            </w:r>
          </w:p>
        </w:tc>
        <w:tc>
          <w:tcPr>
            <w:tcW w:w="1023"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2,04</w:t>
            </w:r>
          </w:p>
        </w:tc>
      </w:tr>
      <w:tr w:rsidR="0099399A" w:rsidRPr="00422D1D" w:rsidTr="00F5335D">
        <w:trPr>
          <w:trHeight w:val="829"/>
          <w:jc w:val="center"/>
        </w:trPr>
        <w:tc>
          <w:tcPr>
            <w:tcW w:w="1858"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F5335D">
            <w:pPr>
              <w:spacing w:line="240" w:lineRule="auto"/>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Grand Total</w:t>
            </w:r>
          </w:p>
        </w:tc>
        <w:tc>
          <w:tcPr>
            <w:tcW w:w="1701"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164.433.299,95</w:t>
            </w:r>
          </w:p>
        </w:tc>
        <w:tc>
          <w:tcPr>
            <w:tcW w:w="851"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c>
          <w:tcPr>
            <w:tcW w:w="1559"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69.176.729,59</w:t>
            </w:r>
          </w:p>
        </w:tc>
        <w:tc>
          <w:tcPr>
            <w:tcW w:w="992"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c>
          <w:tcPr>
            <w:tcW w:w="1670"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233.610.029,54</w:t>
            </w:r>
          </w:p>
        </w:tc>
        <w:tc>
          <w:tcPr>
            <w:tcW w:w="1023"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r>
    </w:tbl>
    <w:p w:rsidR="0099399A" w:rsidRPr="00422D1D" w:rsidRDefault="0099399A" w:rsidP="0099399A">
      <w:pPr>
        <w:tabs>
          <w:tab w:val="left" w:pos="7574"/>
        </w:tabs>
        <w:jc w:val="both"/>
        <w:rPr>
          <w:rFonts w:ascii="Times New Roman" w:hAnsi="Times New Roman" w:cs="Times New Roman"/>
          <w:sz w:val="24"/>
        </w:rPr>
      </w:pPr>
    </w:p>
    <w:p w:rsidR="0099399A" w:rsidRPr="00422D1D" w:rsidRDefault="00B25F9A" w:rsidP="00F5335D">
      <w:pPr>
        <w:pStyle w:val="Balk2"/>
      </w:pPr>
      <w:bookmarkStart w:id="334" w:name="_Toc520822097"/>
      <w:bookmarkStart w:id="335" w:name="_Toc10123846"/>
      <w:bookmarkStart w:id="336" w:name="_Toc12526222"/>
      <w:bookmarkStart w:id="337" w:name="_Toc12535863"/>
      <w:r>
        <w:t>Figure 1.19</w:t>
      </w:r>
      <w:r w:rsidR="0099399A" w:rsidRPr="00422D1D">
        <w:t>: Distribution of Invoiced Consumption by Consumer Type in 2018 (%)</w:t>
      </w:r>
      <w:bookmarkEnd w:id="334"/>
      <w:bookmarkEnd w:id="335"/>
      <w:bookmarkEnd w:id="336"/>
      <w:bookmarkEnd w:id="337"/>
    </w:p>
    <w:p w:rsidR="0099399A" w:rsidRPr="00422D1D" w:rsidRDefault="0099399A" w:rsidP="0099399A">
      <w:pPr>
        <w:tabs>
          <w:tab w:val="left" w:pos="7574"/>
        </w:tabs>
        <w:jc w:val="both"/>
        <w:rPr>
          <w:rFonts w:ascii="Times New Roman" w:hAnsi="Times New Roman" w:cs="Times New Roman"/>
          <w:sz w:val="24"/>
        </w:rPr>
      </w:pPr>
      <w:r w:rsidRPr="00422D1D">
        <w:rPr>
          <w:rFonts w:ascii="Times New Roman" w:hAnsi="Times New Roman" w:cs="Times New Roman"/>
          <w:noProof/>
          <w:lang w:bidi="ar-SA"/>
        </w:rPr>
        <w:drawing>
          <wp:inline distT="0" distB="0" distL="0" distR="0" wp14:anchorId="05E195D1" wp14:editId="3A3D38AF">
            <wp:extent cx="5934075" cy="3562350"/>
            <wp:effectExtent l="0" t="0" r="9525" b="19050"/>
            <wp:docPr id="62" name="Grafik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9399A" w:rsidRPr="00422D1D" w:rsidRDefault="0099399A" w:rsidP="0099399A">
      <w:pPr>
        <w:tabs>
          <w:tab w:val="left" w:pos="7574"/>
        </w:tabs>
        <w:jc w:val="both"/>
        <w:rPr>
          <w:rFonts w:ascii="Times New Roman" w:hAnsi="Times New Roman" w:cs="Times New Roman"/>
          <w:sz w:val="24"/>
        </w:rPr>
      </w:pPr>
    </w:p>
    <w:p w:rsidR="004C7560" w:rsidRDefault="004C7560" w:rsidP="00F5335D">
      <w:pPr>
        <w:pStyle w:val="Balk1"/>
      </w:pPr>
      <w:bookmarkStart w:id="338" w:name="_Toc10123847"/>
      <w:bookmarkStart w:id="339" w:name="_Toc10191429"/>
    </w:p>
    <w:p w:rsidR="0099399A" w:rsidRPr="00422D1D" w:rsidRDefault="0099399A" w:rsidP="00F5335D">
      <w:pPr>
        <w:pStyle w:val="Balk1"/>
      </w:pPr>
      <w:bookmarkStart w:id="340" w:name="_Toc12526223"/>
      <w:r w:rsidRPr="00422D1D">
        <w:t>Table 1.13: Development of Invoiced Consumption by Consumer Type by Years (MWh)</w:t>
      </w:r>
      <w:bookmarkEnd w:id="338"/>
      <w:bookmarkEnd w:id="339"/>
      <w:bookmarkEnd w:id="340"/>
    </w:p>
    <w:tbl>
      <w:tblPr>
        <w:tblW w:w="8804" w:type="dxa"/>
        <w:tblInd w:w="55" w:type="dxa"/>
        <w:tblCellMar>
          <w:left w:w="70" w:type="dxa"/>
          <w:right w:w="70" w:type="dxa"/>
        </w:tblCellMar>
        <w:tblLook w:val="04A0" w:firstRow="1" w:lastRow="0" w:firstColumn="1" w:lastColumn="0" w:noHBand="0" w:noVBand="1"/>
      </w:tblPr>
      <w:tblGrid>
        <w:gridCol w:w="2567"/>
        <w:gridCol w:w="2126"/>
        <w:gridCol w:w="2126"/>
        <w:gridCol w:w="1985"/>
        <w:gridCol w:w="146"/>
      </w:tblGrid>
      <w:tr w:rsidR="0099399A" w:rsidRPr="00422D1D" w:rsidTr="0099399A">
        <w:trPr>
          <w:trHeight w:val="315"/>
        </w:trPr>
        <w:tc>
          <w:tcPr>
            <w:tcW w:w="2567" w:type="dxa"/>
            <w:vMerge w:val="restart"/>
            <w:tcBorders>
              <w:top w:val="single" w:sz="8" w:space="0" w:color="auto"/>
              <w:left w:val="single" w:sz="8" w:space="0" w:color="auto"/>
              <w:bottom w:val="single" w:sz="8" w:space="0" w:color="000000"/>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Consumer Type</w:t>
            </w:r>
          </w:p>
        </w:tc>
        <w:tc>
          <w:tcPr>
            <w:tcW w:w="6237" w:type="dxa"/>
            <w:gridSpan w:val="3"/>
            <w:tcBorders>
              <w:top w:val="single" w:sz="8" w:space="0" w:color="auto"/>
              <w:left w:val="nil"/>
              <w:bottom w:val="single" w:sz="8" w:space="0" w:color="auto"/>
              <w:right w:val="nil"/>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Consumption Amount (MWh)</w:t>
            </w:r>
          </w:p>
        </w:tc>
        <w:tc>
          <w:tcPr>
            <w:tcW w:w="6" w:type="dxa"/>
            <w:tcBorders>
              <w:top w:val="nil"/>
              <w:left w:val="nil"/>
              <w:bottom w:val="nil"/>
              <w:right w:val="nil"/>
            </w:tcBorders>
            <w:vAlign w:val="center"/>
            <w:hideMark/>
          </w:tcPr>
          <w:p w:rsidR="0099399A" w:rsidRPr="00422D1D" w:rsidRDefault="0099399A" w:rsidP="0099399A">
            <w:pPr>
              <w:jc w:val="both"/>
              <w:rPr>
                <w:rFonts w:ascii="Times New Roman" w:eastAsia="Times New Roman" w:hAnsi="Times New Roman" w:cs="Times New Roman"/>
                <w:b/>
                <w:bCs/>
                <w:color w:val="FFFFFF"/>
                <w:lang w:eastAsia="tr-TR"/>
              </w:rPr>
            </w:pPr>
          </w:p>
        </w:tc>
      </w:tr>
      <w:tr w:rsidR="0099399A" w:rsidRPr="00422D1D" w:rsidTr="0099399A">
        <w:trPr>
          <w:trHeight w:val="30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99399A" w:rsidRPr="00422D1D" w:rsidRDefault="0099399A" w:rsidP="00F5335D">
            <w:pPr>
              <w:jc w:val="center"/>
              <w:rPr>
                <w:rFonts w:ascii="Times New Roman" w:eastAsia="Times New Roman" w:hAnsi="Times New Roman" w:cs="Times New Roman"/>
                <w:b/>
                <w:bCs/>
                <w:color w:val="FFFFFF"/>
                <w:lang w:val="tr-TR" w:eastAsia="tr-TR"/>
              </w:rPr>
            </w:pPr>
          </w:p>
        </w:tc>
        <w:tc>
          <w:tcPr>
            <w:tcW w:w="2126" w:type="dxa"/>
            <w:vMerge w:val="restart"/>
            <w:tcBorders>
              <w:top w:val="nil"/>
              <w:left w:val="single" w:sz="8" w:space="0" w:color="auto"/>
              <w:bottom w:val="single" w:sz="8" w:space="0" w:color="000000"/>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val="tr-TR" w:eastAsia="tr-TR"/>
              </w:rPr>
            </w:pPr>
            <w:r w:rsidRPr="00422D1D">
              <w:rPr>
                <w:rFonts w:ascii="Times New Roman" w:eastAsia="Times New Roman" w:hAnsi="Times New Roman" w:cs="Times New Roman"/>
                <w:b/>
                <w:bCs/>
                <w:color w:val="FFFFFF"/>
                <w:lang w:eastAsia="tr-TR"/>
              </w:rPr>
              <w:t>2016</w:t>
            </w:r>
          </w:p>
        </w:tc>
        <w:tc>
          <w:tcPr>
            <w:tcW w:w="2126" w:type="dxa"/>
            <w:vMerge w:val="restart"/>
            <w:tcBorders>
              <w:top w:val="nil"/>
              <w:left w:val="single" w:sz="8" w:space="0" w:color="auto"/>
              <w:bottom w:val="single" w:sz="8" w:space="0" w:color="000000"/>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2017</w:t>
            </w:r>
          </w:p>
        </w:tc>
        <w:tc>
          <w:tcPr>
            <w:tcW w:w="1985" w:type="dxa"/>
            <w:vMerge w:val="restart"/>
            <w:tcBorders>
              <w:top w:val="nil"/>
              <w:left w:val="single" w:sz="8" w:space="0" w:color="auto"/>
              <w:bottom w:val="single" w:sz="8" w:space="0" w:color="000000"/>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2018</w:t>
            </w:r>
          </w:p>
        </w:tc>
        <w:tc>
          <w:tcPr>
            <w:tcW w:w="6" w:type="dxa"/>
            <w:tcBorders>
              <w:top w:val="nil"/>
              <w:left w:val="nil"/>
              <w:bottom w:val="nil"/>
              <w:right w:val="nil"/>
            </w:tcBorders>
            <w:vAlign w:val="center"/>
            <w:hideMark/>
          </w:tcPr>
          <w:p w:rsidR="0099399A" w:rsidRPr="00422D1D" w:rsidRDefault="0099399A" w:rsidP="0099399A">
            <w:pPr>
              <w:jc w:val="both"/>
              <w:rPr>
                <w:rFonts w:ascii="Times New Roman" w:eastAsia="Times New Roman" w:hAnsi="Times New Roman" w:cs="Times New Roman"/>
                <w:b/>
                <w:bCs/>
                <w:color w:val="FFFFFF"/>
                <w:lang w:eastAsia="tr-TR"/>
              </w:rPr>
            </w:pPr>
          </w:p>
        </w:tc>
      </w:tr>
      <w:tr w:rsidR="0099399A" w:rsidRPr="00422D1D" w:rsidTr="0099399A">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99399A" w:rsidRPr="00422D1D" w:rsidRDefault="0099399A" w:rsidP="0099399A">
            <w:pPr>
              <w:jc w:val="both"/>
              <w:rPr>
                <w:rFonts w:ascii="Times New Roman" w:eastAsia="Times New Roman" w:hAnsi="Times New Roman" w:cs="Times New Roman"/>
                <w:b/>
                <w:bCs/>
                <w:color w:val="FFFFFF"/>
                <w:lang w:val="tr-TR" w:eastAsia="tr-TR"/>
              </w:rPr>
            </w:pPr>
          </w:p>
        </w:tc>
        <w:tc>
          <w:tcPr>
            <w:tcW w:w="0" w:type="auto"/>
            <w:vMerge/>
            <w:tcBorders>
              <w:top w:val="nil"/>
              <w:left w:val="single" w:sz="8" w:space="0" w:color="auto"/>
              <w:bottom w:val="single" w:sz="8" w:space="0" w:color="000000"/>
              <w:right w:val="single" w:sz="8" w:space="0" w:color="auto"/>
            </w:tcBorders>
            <w:vAlign w:val="center"/>
            <w:hideMark/>
          </w:tcPr>
          <w:p w:rsidR="0099399A" w:rsidRPr="00422D1D" w:rsidRDefault="0099399A" w:rsidP="0099399A">
            <w:pPr>
              <w:jc w:val="both"/>
              <w:rPr>
                <w:rFonts w:ascii="Times New Roman" w:eastAsia="Times New Roman" w:hAnsi="Times New Roman" w:cs="Times New Roman"/>
                <w:b/>
                <w:bCs/>
                <w:color w:val="FFFFFF"/>
                <w:lang w:val="tr-TR" w:eastAsia="tr-TR"/>
              </w:rPr>
            </w:pPr>
          </w:p>
        </w:tc>
        <w:tc>
          <w:tcPr>
            <w:tcW w:w="0" w:type="auto"/>
            <w:vMerge/>
            <w:tcBorders>
              <w:top w:val="nil"/>
              <w:left w:val="single" w:sz="8" w:space="0" w:color="auto"/>
              <w:bottom w:val="single" w:sz="8" w:space="0" w:color="000000"/>
              <w:right w:val="single" w:sz="8" w:space="0" w:color="auto"/>
            </w:tcBorders>
            <w:vAlign w:val="center"/>
            <w:hideMark/>
          </w:tcPr>
          <w:p w:rsidR="0099399A" w:rsidRPr="00422D1D" w:rsidRDefault="0099399A" w:rsidP="0099399A">
            <w:pPr>
              <w:jc w:val="both"/>
              <w:rPr>
                <w:rFonts w:ascii="Times New Roman" w:eastAsia="Times New Roman" w:hAnsi="Times New Roman" w:cs="Times New Roman"/>
                <w:b/>
                <w:bCs/>
                <w:color w:val="FFFFFF"/>
                <w:lang w:val="tr-TR" w:eastAsia="tr-TR"/>
              </w:rPr>
            </w:pPr>
          </w:p>
        </w:tc>
        <w:tc>
          <w:tcPr>
            <w:tcW w:w="0" w:type="auto"/>
            <w:vMerge/>
            <w:tcBorders>
              <w:top w:val="nil"/>
              <w:left w:val="single" w:sz="8" w:space="0" w:color="auto"/>
              <w:bottom w:val="single" w:sz="8" w:space="0" w:color="000000"/>
              <w:right w:val="single" w:sz="8" w:space="0" w:color="auto"/>
            </w:tcBorders>
            <w:vAlign w:val="center"/>
            <w:hideMark/>
          </w:tcPr>
          <w:p w:rsidR="0099399A" w:rsidRPr="00422D1D" w:rsidRDefault="0099399A" w:rsidP="0099399A">
            <w:pPr>
              <w:jc w:val="both"/>
              <w:rPr>
                <w:rFonts w:ascii="Times New Roman" w:eastAsia="Times New Roman" w:hAnsi="Times New Roman" w:cs="Times New Roman"/>
                <w:b/>
                <w:bCs/>
                <w:color w:val="FFFFFF"/>
                <w:lang w:val="tr-TR" w:eastAsia="tr-TR"/>
              </w:rPr>
            </w:pPr>
          </w:p>
        </w:tc>
        <w:tc>
          <w:tcPr>
            <w:tcW w:w="6" w:type="dxa"/>
            <w:tcBorders>
              <w:top w:val="nil"/>
              <w:left w:val="nil"/>
              <w:bottom w:val="nil"/>
              <w:right w:val="nil"/>
            </w:tcBorders>
            <w:vAlign w:val="center"/>
            <w:hideMark/>
          </w:tcPr>
          <w:p w:rsidR="0099399A" w:rsidRPr="00422D1D" w:rsidRDefault="0099399A" w:rsidP="0099399A">
            <w:pPr>
              <w:jc w:val="both"/>
              <w:rPr>
                <w:rFonts w:ascii="Times New Roman" w:hAnsi="Times New Roman" w:cs="Times New Roman"/>
                <w:sz w:val="20"/>
                <w:szCs w:val="20"/>
              </w:rPr>
            </w:pPr>
          </w:p>
        </w:tc>
      </w:tr>
      <w:tr w:rsidR="0099399A" w:rsidRPr="00422D1D" w:rsidTr="0099399A">
        <w:trPr>
          <w:trHeight w:val="315"/>
        </w:trPr>
        <w:tc>
          <w:tcPr>
            <w:tcW w:w="2567"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val="tr-TR" w:eastAsia="tr-TR"/>
              </w:rPr>
            </w:pPr>
            <w:r w:rsidRPr="00422D1D">
              <w:rPr>
                <w:rFonts w:ascii="Times New Roman" w:eastAsia="Times New Roman" w:hAnsi="Times New Roman" w:cs="Times New Roman"/>
                <w:color w:val="FFFFFF"/>
                <w:lang w:eastAsia="tr-TR"/>
              </w:rPr>
              <w:t>Industy</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89.951.150,54</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94.965.625,60</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96.995.848,19</w:t>
            </w:r>
          </w:p>
        </w:tc>
        <w:tc>
          <w:tcPr>
            <w:tcW w:w="6" w:type="dxa"/>
            <w:tcBorders>
              <w:top w:val="nil"/>
              <w:left w:val="nil"/>
              <w:bottom w:val="nil"/>
              <w:right w:val="nil"/>
            </w:tcBorders>
            <w:vAlign w:val="center"/>
            <w:hideMark/>
          </w:tcPr>
          <w:p w:rsidR="0099399A" w:rsidRPr="00422D1D" w:rsidRDefault="0099399A" w:rsidP="0099399A">
            <w:pPr>
              <w:jc w:val="both"/>
              <w:rPr>
                <w:rFonts w:ascii="Times New Roman" w:eastAsia="Times New Roman" w:hAnsi="Times New Roman" w:cs="Times New Roman"/>
                <w:color w:val="000000"/>
                <w:lang w:eastAsia="tr-TR"/>
              </w:rPr>
            </w:pPr>
          </w:p>
        </w:tc>
      </w:tr>
      <w:tr w:rsidR="0099399A" w:rsidRPr="00422D1D" w:rsidTr="0099399A">
        <w:trPr>
          <w:trHeight w:val="315"/>
        </w:trPr>
        <w:tc>
          <w:tcPr>
            <w:tcW w:w="2567"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val="tr-TR" w:eastAsia="tr-TR"/>
              </w:rPr>
            </w:pPr>
            <w:r w:rsidRPr="00422D1D">
              <w:rPr>
                <w:rFonts w:ascii="Times New Roman" w:eastAsia="Times New Roman" w:hAnsi="Times New Roman" w:cs="Times New Roman"/>
                <w:color w:val="FFFFFF"/>
                <w:lang w:eastAsia="tr-TR"/>
              </w:rPr>
              <w:t>Commercial</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60.853.719,65</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66.454.453,03</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68.289.253,67</w:t>
            </w:r>
          </w:p>
        </w:tc>
        <w:tc>
          <w:tcPr>
            <w:tcW w:w="6" w:type="dxa"/>
            <w:tcBorders>
              <w:top w:val="nil"/>
              <w:left w:val="nil"/>
              <w:bottom w:val="nil"/>
              <w:right w:val="nil"/>
            </w:tcBorders>
            <w:vAlign w:val="center"/>
            <w:hideMark/>
          </w:tcPr>
          <w:p w:rsidR="0099399A" w:rsidRPr="00422D1D" w:rsidRDefault="0099399A" w:rsidP="0099399A">
            <w:pPr>
              <w:jc w:val="both"/>
              <w:rPr>
                <w:rFonts w:ascii="Times New Roman" w:eastAsia="Times New Roman" w:hAnsi="Times New Roman" w:cs="Times New Roman"/>
                <w:color w:val="000000"/>
                <w:lang w:eastAsia="tr-TR"/>
              </w:rPr>
            </w:pPr>
          </w:p>
        </w:tc>
      </w:tr>
      <w:tr w:rsidR="0099399A" w:rsidRPr="00422D1D" w:rsidTr="0099399A">
        <w:trPr>
          <w:trHeight w:val="315"/>
        </w:trPr>
        <w:tc>
          <w:tcPr>
            <w:tcW w:w="2567"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val="tr-TR" w:eastAsia="tr-TR"/>
              </w:rPr>
            </w:pPr>
            <w:r w:rsidRPr="00422D1D">
              <w:rPr>
                <w:rFonts w:ascii="Times New Roman" w:eastAsia="Times New Roman" w:hAnsi="Times New Roman" w:cs="Times New Roman"/>
                <w:color w:val="FFFFFF"/>
                <w:lang w:eastAsia="tr-TR"/>
              </w:rPr>
              <w:t>Household</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51.090.263,33</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53.531.710,78</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54.769.979,56</w:t>
            </w:r>
          </w:p>
        </w:tc>
        <w:tc>
          <w:tcPr>
            <w:tcW w:w="6" w:type="dxa"/>
            <w:tcBorders>
              <w:top w:val="nil"/>
              <w:left w:val="nil"/>
              <w:bottom w:val="nil"/>
              <w:right w:val="nil"/>
            </w:tcBorders>
            <w:vAlign w:val="center"/>
            <w:hideMark/>
          </w:tcPr>
          <w:p w:rsidR="0099399A" w:rsidRPr="00422D1D" w:rsidRDefault="0099399A" w:rsidP="0099399A">
            <w:pPr>
              <w:jc w:val="both"/>
              <w:rPr>
                <w:rFonts w:ascii="Times New Roman" w:eastAsia="Times New Roman" w:hAnsi="Times New Roman" w:cs="Times New Roman"/>
                <w:color w:val="000000"/>
                <w:lang w:eastAsia="tr-TR"/>
              </w:rPr>
            </w:pPr>
          </w:p>
        </w:tc>
      </w:tr>
      <w:tr w:rsidR="0099399A" w:rsidRPr="00422D1D" w:rsidTr="0099399A">
        <w:trPr>
          <w:trHeight w:val="315"/>
        </w:trPr>
        <w:tc>
          <w:tcPr>
            <w:tcW w:w="2567"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val="tr-TR" w:eastAsia="tr-TR"/>
              </w:rPr>
            </w:pPr>
            <w:r w:rsidRPr="00422D1D">
              <w:rPr>
                <w:rFonts w:ascii="Times New Roman" w:eastAsia="Times New Roman" w:hAnsi="Times New Roman" w:cs="Times New Roman"/>
                <w:color w:val="FFFFFF"/>
                <w:lang w:val="tr-TR" w:eastAsia="tr-TR"/>
              </w:rPr>
              <w:t>Irrigation</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6.307.604,94</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6.537.064,52</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8.799.145,22</w:t>
            </w:r>
          </w:p>
        </w:tc>
        <w:tc>
          <w:tcPr>
            <w:tcW w:w="6" w:type="dxa"/>
            <w:tcBorders>
              <w:top w:val="nil"/>
              <w:left w:val="nil"/>
              <w:bottom w:val="nil"/>
              <w:right w:val="nil"/>
            </w:tcBorders>
            <w:vAlign w:val="center"/>
            <w:hideMark/>
          </w:tcPr>
          <w:p w:rsidR="0099399A" w:rsidRPr="00422D1D" w:rsidRDefault="0099399A" w:rsidP="0099399A">
            <w:pPr>
              <w:jc w:val="both"/>
              <w:rPr>
                <w:rFonts w:ascii="Times New Roman" w:eastAsia="Times New Roman" w:hAnsi="Times New Roman" w:cs="Times New Roman"/>
                <w:color w:val="000000"/>
                <w:lang w:eastAsia="tr-TR"/>
              </w:rPr>
            </w:pPr>
          </w:p>
        </w:tc>
      </w:tr>
      <w:tr w:rsidR="0099399A" w:rsidRPr="00422D1D" w:rsidTr="0099399A">
        <w:trPr>
          <w:trHeight w:val="315"/>
        </w:trPr>
        <w:tc>
          <w:tcPr>
            <w:tcW w:w="2567"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val="tr-TR" w:eastAsia="tr-TR"/>
              </w:rPr>
            </w:pPr>
            <w:r w:rsidRPr="00422D1D">
              <w:rPr>
                <w:rFonts w:ascii="Times New Roman" w:eastAsia="Times New Roman" w:hAnsi="Times New Roman" w:cs="Times New Roman"/>
                <w:color w:val="FFFFFF"/>
                <w:lang w:eastAsia="tr-TR"/>
              </w:rPr>
              <w:t>Lighting</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4.218.466,49</w:t>
            </w:r>
          </w:p>
        </w:tc>
        <w:tc>
          <w:tcPr>
            <w:tcW w:w="2126"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4.341.372,83</w:t>
            </w:r>
          </w:p>
        </w:tc>
        <w:tc>
          <w:tcPr>
            <w:tcW w:w="1985"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4.755.802,89</w:t>
            </w:r>
          </w:p>
        </w:tc>
        <w:tc>
          <w:tcPr>
            <w:tcW w:w="6" w:type="dxa"/>
            <w:tcBorders>
              <w:top w:val="nil"/>
              <w:left w:val="nil"/>
              <w:bottom w:val="nil"/>
              <w:right w:val="nil"/>
            </w:tcBorders>
            <w:vAlign w:val="center"/>
            <w:hideMark/>
          </w:tcPr>
          <w:p w:rsidR="0099399A" w:rsidRPr="00422D1D" w:rsidRDefault="0099399A" w:rsidP="0099399A">
            <w:pPr>
              <w:jc w:val="both"/>
              <w:rPr>
                <w:rFonts w:ascii="Times New Roman" w:eastAsia="Times New Roman" w:hAnsi="Times New Roman" w:cs="Times New Roman"/>
                <w:color w:val="000000"/>
                <w:lang w:eastAsia="tr-TR"/>
              </w:rPr>
            </w:pPr>
          </w:p>
        </w:tc>
      </w:tr>
      <w:tr w:rsidR="0099399A" w:rsidRPr="00422D1D" w:rsidTr="0099399A">
        <w:trPr>
          <w:trHeight w:val="315"/>
        </w:trPr>
        <w:tc>
          <w:tcPr>
            <w:tcW w:w="2567"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val="tr-TR" w:eastAsia="tr-TR"/>
              </w:rPr>
            </w:pPr>
            <w:r w:rsidRPr="00422D1D">
              <w:rPr>
                <w:rFonts w:ascii="Times New Roman" w:eastAsia="Times New Roman" w:hAnsi="Times New Roman" w:cs="Times New Roman"/>
                <w:b/>
                <w:bCs/>
                <w:color w:val="FFFFFF"/>
                <w:lang w:eastAsia="tr-TR"/>
              </w:rPr>
              <w:t>Grand Total</w:t>
            </w:r>
          </w:p>
        </w:tc>
        <w:tc>
          <w:tcPr>
            <w:tcW w:w="2126"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212.421.204,94</w:t>
            </w:r>
          </w:p>
        </w:tc>
        <w:tc>
          <w:tcPr>
            <w:tcW w:w="2126"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225.830.226,76</w:t>
            </w:r>
          </w:p>
        </w:tc>
        <w:tc>
          <w:tcPr>
            <w:tcW w:w="1985"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233.610.029,54</w:t>
            </w:r>
          </w:p>
        </w:tc>
        <w:tc>
          <w:tcPr>
            <w:tcW w:w="6" w:type="dxa"/>
            <w:tcBorders>
              <w:top w:val="nil"/>
              <w:left w:val="nil"/>
              <w:bottom w:val="nil"/>
              <w:right w:val="nil"/>
            </w:tcBorders>
            <w:vAlign w:val="center"/>
            <w:hideMark/>
          </w:tcPr>
          <w:p w:rsidR="0099399A" w:rsidRPr="00422D1D" w:rsidRDefault="0099399A" w:rsidP="0099399A">
            <w:pPr>
              <w:jc w:val="both"/>
              <w:rPr>
                <w:rFonts w:ascii="Times New Roman" w:eastAsia="Times New Roman" w:hAnsi="Times New Roman" w:cs="Times New Roman"/>
                <w:b/>
                <w:bCs/>
                <w:color w:val="FFFFFF"/>
                <w:lang w:eastAsia="tr-TR"/>
              </w:rPr>
            </w:pPr>
          </w:p>
        </w:tc>
      </w:tr>
    </w:tbl>
    <w:p w:rsidR="0099399A" w:rsidRPr="00422D1D" w:rsidRDefault="0099399A" w:rsidP="0099399A">
      <w:pPr>
        <w:tabs>
          <w:tab w:val="left" w:pos="7574"/>
        </w:tabs>
        <w:jc w:val="both"/>
        <w:rPr>
          <w:rFonts w:ascii="Times New Roman" w:hAnsi="Times New Roman" w:cs="Times New Roman"/>
          <w:sz w:val="24"/>
        </w:rPr>
      </w:pPr>
    </w:p>
    <w:p w:rsidR="0099399A" w:rsidRPr="00422D1D" w:rsidRDefault="0099399A" w:rsidP="0099399A">
      <w:pPr>
        <w:tabs>
          <w:tab w:val="left" w:pos="7574"/>
        </w:tabs>
        <w:jc w:val="both"/>
        <w:rPr>
          <w:rFonts w:ascii="Times New Roman" w:hAnsi="Times New Roman" w:cs="Times New Roman"/>
          <w:sz w:val="24"/>
        </w:rPr>
      </w:pPr>
    </w:p>
    <w:p w:rsidR="0099399A" w:rsidRDefault="0099399A" w:rsidP="00F5335D">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shd w:val="clear" w:color="auto" w:fill="FFFFFF"/>
        </w:rPr>
        <w:t>The distribution of invoiced consumption by provinces is shown in Table 1.14. The highest consumption was in Istanbul with 40,45 TWh and corresponded to 17,32 % of total consumption. Following provinces were Izmir with a share of 7,04 %, Ankara with a share of 6,12 %, Bursa with 5,06 % and Kocaeli with 4,39 %</w:t>
      </w:r>
      <w:r w:rsidRPr="00422D1D">
        <w:rPr>
          <w:rFonts w:ascii="Times New Roman" w:hAnsi="Times New Roman" w:cs="Times New Roman"/>
          <w:sz w:val="24"/>
          <w:szCs w:val="24"/>
        </w:rPr>
        <w:t>.</w:t>
      </w:r>
      <w:bookmarkStart w:id="341" w:name="_Toc450309958"/>
      <w:bookmarkStart w:id="342" w:name="_Toc450300302"/>
    </w:p>
    <w:p w:rsidR="004C7560" w:rsidRPr="00422D1D" w:rsidRDefault="004C7560" w:rsidP="00F5335D">
      <w:pPr>
        <w:spacing w:line="360" w:lineRule="auto"/>
        <w:jc w:val="both"/>
        <w:rPr>
          <w:rFonts w:ascii="Times New Roman" w:hAnsi="Times New Roman" w:cs="Times New Roman"/>
          <w:sz w:val="24"/>
          <w:szCs w:val="24"/>
        </w:rPr>
      </w:pPr>
    </w:p>
    <w:p w:rsidR="0099399A" w:rsidRPr="00422D1D" w:rsidRDefault="0099399A" w:rsidP="00F5335D">
      <w:pPr>
        <w:pStyle w:val="Balk1"/>
      </w:pPr>
      <w:bookmarkStart w:id="343" w:name="_Toc520822049"/>
      <w:bookmarkStart w:id="344" w:name="_Toc494982833"/>
      <w:bookmarkStart w:id="345" w:name="_Toc10123848"/>
      <w:bookmarkStart w:id="346" w:name="_Toc10191430"/>
      <w:bookmarkStart w:id="347" w:name="_Toc12526224"/>
      <w:bookmarkEnd w:id="341"/>
      <w:bookmarkEnd w:id="342"/>
      <w:r w:rsidRPr="00422D1D">
        <w:t>Table 1.14: Distribution of Invoiced Consumption by Province (MWh - %)</w:t>
      </w:r>
      <w:bookmarkEnd w:id="343"/>
      <w:bookmarkEnd w:id="344"/>
      <w:bookmarkEnd w:id="345"/>
      <w:bookmarkEnd w:id="346"/>
      <w:bookmarkEnd w:id="347"/>
    </w:p>
    <w:tbl>
      <w:tblPr>
        <w:tblW w:w="9229" w:type="dxa"/>
        <w:tblInd w:w="55" w:type="dxa"/>
        <w:tblCellMar>
          <w:left w:w="70" w:type="dxa"/>
          <w:right w:w="70" w:type="dxa"/>
        </w:tblCellMar>
        <w:tblLook w:val="04A0" w:firstRow="1" w:lastRow="0" w:firstColumn="1" w:lastColumn="0" w:noHBand="0" w:noVBand="1"/>
      </w:tblPr>
      <w:tblGrid>
        <w:gridCol w:w="2219"/>
        <w:gridCol w:w="2140"/>
        <w:gridCol w:w="2094"/>
        <w:gridCol w:w="1701"/>
        <w:gridCol w:w="1134"/>
      </w:tblGrid>
      <w:tr w:rsidR="0099399A" w:rsidRPr="00422D1D" w:rsidTr="0099399A">
        <w:trPr>
          <w:trHeight w:val="1162"/>
          <w:tblHeader/>
        </w:trPr>
        <w:tc>
          <w:tcPr>
            <w:tcW w:w="2160" w:type="dxa"/>
            <w:tcBorders>
              <w:top w:val="single" w:sz="8" w:space="0" w:color="auto"/>
              <w:left w:val="single" w:sz="8" w:space="0" w:color="auto"/>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PROVINCE</w:t>
            </w:r>
          </w:p>
        </w:tc>
        <w:tc>
          <w:tcPr>
            <w:tcW w:w="2140" w:type="dxa"/>
            <w:tcBorders>
              <w:top w:val="single" w:sz="8" w:space="0" w:color="auto"/>
              <w:left w:val="nil"/>
              <w:bottom w:val="single" w:sz="8" w:space="0" w:color="auto"/>
              <w:right w:val="single" w:sz="8" w:space="0" w:color="auto"/>
            </w:tcBorders>
            <w:shd w:val="clear" w:color="auto" w:fill="FF0000"/>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themeColor="background1"/>
                <w:sz w:val="20"/>
                <w:szCs w:val="20"/>
                <w:lang w:eastAsia="tr-TR"/>
              </w:rPr>
              <w:t xml:space="preserve">Consumption of Consumers Connected to Dist. Vol. </w:t>
            </w:r>
            <w:r w:rsidRPr="00422D1D">
              <w:rPr>
                <w:rFonts w:ascii="Times New Roman" w:eastAsia="Times New Roman" w:hAnsi="Times New Roman" w:cs="Times New Roman"/>
                <w:b/>
                <w:bCs/>
                <w:color w:val="FFFFFF"/>
                <w:sz w:val="20"/>
                <w:szCs w:val="20"/>
                <w:lang w:eastAsia="tr-TR"/>
              </w:rPr>
              <w:t>(MWh)</w:t>
            </w:r>
          </w:p>
        </w:tc>
        <w:tc>
          <w:tcPr>
            <w:tcW w:w="2094" w:type="dxa"/>
            <w:tcBorders>
              <w:top w:val="single" w:sz="8" w:space="0" w:color="auto"/>
              <w:left w:val="nil"/>
              <w:bottom w:val="single" w:sz="8" w:space="0" w:color="auto"/>
              <w:right w:val="single" w:sz="8" w:space="0" w:color="auto"/>
            </w:tcBorders>
            <w:shd w:val="clear" w:color="auto" w:fill="FF0000"/>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themeColor="background1"/>
                <w:sz w:val="20"/>
                <w:szCs w:val="20"/>
                <w:lang w:eastAsia="tr-TR"/>
              </w:rPr>
              <w:t>Consumption of Consumers Connected to Trans.Vol.</w:t>
            </w:r>
            <w:r w:rsidRPr="00422D1D">
              <w:rPr>
                <w:rFonts w:ascii="Times New Roman" w:eastAsia="Times New Roman" w:hAnsi="Times New Roman" w:cs="Times New Roman"/>
                <w:b/>
                <w:bCs/>
                <w:color w:val="FFFFFF"/>
                <w:sz w:val="20"/>
                <w:szCs w:val="20"/>
                <w:lang w:eastAsia="tr-TR"/>
              </w:rPr>
              <w:t xml:space="preserve"> (MWh)</w:t>
            </w:r>
          </w:p>
        </w:tc>
        <w:tc>
          <w:tcPr>
            <w:tcW w:w="1701" w:type="dxa"/>
            <w:tcBorders>
              <w:top w:val="single" w:sz="8" w:space="0" w:color="auto"/>
              <w:left w:val="nil"/>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Total (MWh)</w:t>
            </w:r>
          </w:p>
        </w:tc>
        <w:tc>
          <w:tcPr>
            <w:tcW w:w="1134" w:type="dxa"/>
            <w:tcBorders>
              <w:top w:val="single" w:sz="8" w:space="0" w:color="auto"/>
              <w:left w:val="nil"/>
              <w:bottom w:val="single" w:sz="8" w:space="0" w:color="auto"/>
              <w:right w:val="single" w:sz="8" w:space="0" w:color="auto"/>
            </w:tcBorders>
            <w:shd w:val="clear" w:color="auto" w:fill="FF0000"/>
            <w:noWrap/>
            <w:vAlign w:val="center"/>
            <w:hideMark/>
          </w:tcPr>
          <w:p w:rsidR="0099399A" w:rsidRPr="00422D1D" w:rsidRDefault="0099399A" w:rsidP="00F5335D">
            <w:pPr>
              <w:spacing w:line="240" w:lineRule="auto"/>
              <w:jc w:val="center"/>
              <w:rPr>
                <w:rFonts w:ascii="Times New Roman" w:eastAsia="Times New Roman" w:hAnsi="Times New Roman" w:cs="Times New Roman"/>
                <w:b/>
                <w:bCs/>
                <w:color w:val="FFFFFF"/>
                <w:sz w:val="20"/>
                <w:szCs w:val="20"/>
                <w:lang w:eastAsia="tr-TR"/>
              </w:rPr>
            </w:pPr>
            <w:r w:rsidRPr="00422D1D">
              <w:rPr>
                <w:rFonts w:ascii="Times New Roman" w:eastAsia="Times New Roman" w:hAnsi="Times New Roman" w:cs="Times New Roman"/>
                <w:b/>
                <w:bCs/>
                <w:color w:val="FFFFFF"/>
                <w:sz w:val="20"/>
                <w:szCs w:val="20"/>
                <w:lang w:eastAsia="tr-TR"/>
              </w:rPr>
              <w:t>Share (%)</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596D92">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İSTANBUL (</w:t>
            </w:r>
            <w:r w:rsidR="00596D92">
              <w:rPr>
                <w:rFonts w:ascii="Times New Roman" w:eastAsia="Times New Roman" w:hAnsi="Times New Roman" w:cs="Times New Roman"/>
                <w:color w:val="FFFFFF"/>
                <w:lang w:eastAsia="tr-TR"/>
              </w:rPr>
              <w:t>TOTAL</w:t>
            </w:r>
            <w:r w:rsidRPr="00422D1D">
              <w:rPr>
                <w:rFonts w:ascii="Times New Roman" w:eastAsia="Times New Roman" w:hAnsi="Times New Roman" w:cs="Times New Roman"/>
                <w:color w:val="FFFFFF"/>
                <w:lang w:eastAsia="tr-TR"/>
              </w:rPr>
              <w:t>)</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37.777.429,42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2.674.689,43</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40.452.118,85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17,32</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596D92">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İSTANBUL (</w:t>
            </w:r>
            <w:r w:rsidR="00596D92">
              <w:rPr>
                <w:rFonts w:ascii="Times New Roman" w:eastAsia="Times New Roman" w:hAnsi="Times New Roman" w:cs="Times New Roman"/>
                <w:color w:val="FFFFFF"/>
                <w:lang w:eastAsia="tr-TR"/>
              </w:rPr>
              <w:t>EUROPEAN SIDE</w:t>
            </w:r>
            <w:r w:rsidRPr="00422D1D">
              <w:rPr>
                <w:rFonts w:ascii="Times New Roman" w:eastAsia="Times New Roman" w:hAnsi="Times New Roman" w:cs="Times New Roman"/>
                <w:color w:val="FFFFFF"/>
                <w:lang w:eastAsia="tr-TR"/>
              </w:rPr>
              <w:t>)</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25.958.517,34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1.465.658,34</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27.424.175,68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11,74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İZMİR</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11.590.067,15</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4.866.829,45</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16.456.896,60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7,04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ANKARA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11.723.699,11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2.581.524,98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14.305.224,09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6,12</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596D92">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İSTANBUL (</w:t>
            </w:r>
            <w:r w:rsidR="00596D92">
              <w:rPr>
                <w:rFonts w:ascii="Times New Roman" w:eastAsia="Times New Roman" w:hAnsi="Times New Roman" w:cs="Times New Roman"/>
                <w:color w:val="FFFFFF"/>
                <w:lang w:eastAsia="tr-TR"/>
              </w:rPr>
              <w:t>ANATOLIAN SIDE)</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11.818.912,08</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1.209.031,09</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13.027.943,17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5,58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BURSA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7.229.082,79</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4.592.523,17</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11.821.605,96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5,06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KOCAELİ</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5.185.867,55</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5.078.740,07</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10.264.607,62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4,39</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lastRenderedPageBreak/>
              <w:t>ANTALYA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7.546.354,20</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728.933,34</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8.275.287,54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GAZİANTEP</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3.079.916,26</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4.399.340,49</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7.479.256,75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ADANA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4.719.828,13</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1.986.976,25</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6.706.804,38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2,87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TEKİRDAĞ</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3.843.979,59</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2.807.679,90</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6.651.659,49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2,85</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KONYA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5.409.806,16</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941.317,96</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6.351.124,12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2,72</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ŞANLIURFA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4.375.686,31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373.559,61</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4.749.245,92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2,03</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MANİSA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3.237.459,94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1.398.880,88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4.636.340,82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HATAY</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2.801.410,62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1.769.786,40</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4.571.197,02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MERSİN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3.820.627,01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614.290,81</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4.434.917,82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OSMANİYE</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665.887,00</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3.383.944,11</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4.049.831,11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1,73</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KAHRAMANMARAŞ</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2.721.815,91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1.315.152,88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4.036.968,79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1,73</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SAKARYA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2.227.306,31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1522862,71</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3.750.169,02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1,61</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KAYSERİ</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2.330.239,32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1.321.350,48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3.651.589,80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MUĞLA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3.315.656,24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320.134,86</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3.635.791,10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DENİZLİ</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3.036.637,89</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487.336,78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3.523.974,67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1,51</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BALIKESİR</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3.014.119,81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312.737,93</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3.326.857,74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1,42</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SAMSUN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2.054.856,25</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1.149.339,38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3.204.195,63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ÇANAKKALE</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1.240.762,47</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1.756.889,26</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2.997.651,73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ESKİŞEHİR</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1.858.207,07</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1.127.205,58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2.985.412,65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DİYARBAKIR</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2.405.792,87</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346.977,13</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2.752.770,00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AYDIN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2.483.941,71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190.761,82</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2.674.703,53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KIRKLARELİ</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1.720.519,34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598.730,49</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2.319.249,83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0,99</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BİLECİK</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1.103.115,14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781.193,10</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1.884.308,24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0,81</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AFYONKARAHİSAR</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1.514.608,34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275.561,33</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1.790.169,67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MARDİN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1.611.184,60</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143.037,34</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1.754.221,94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0,75</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MALATYA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1.133.603,34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521.944,45</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1.655.547,79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0,71</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UŞAK</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820.699,71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817.512,66</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1.638.212,37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0,70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lastRenderedPageBreak/>
              <w:t>KÜTAHYA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1.034.000,27</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584356,67</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1.618.356,94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0,69</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TRABZON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1.451.247,15</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49256,27</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1.500.503,42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0,64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SİVAS</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1.073.060,53</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257259,17</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1.330.319,70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ORDU</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1.215.513,96</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47.609,53</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1.263.123,49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ZONGULDAK</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1.027.625,23</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160.630,30</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1.188.255,53</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0,51</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ISPARTA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979.663,77</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205.904,53</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1.185.568,30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0,51</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ELAZIĞ</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950.281,34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229.394,20</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1.179.675,54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0,50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ADIYAMAN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854.321,58</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244.957,52</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1.099.279,10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NİĞDE</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819.625,33</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275.549,37</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1.095.174,70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EDİRNE</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1.072.992,12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4.890,28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1.077.882,40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DÜZCE</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829.562,86</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206.417,66</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1.035.980,52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AKSARAY</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877.351,16</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157.767,41</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1.035.118,57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VAN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945.469,12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19.359,84</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964.828,96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0,41</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BOLU</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830.005,84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113.042,15</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943.047,99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KASTAMONU</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685.403,91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244.261,48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929.665,39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0,40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BURDUR</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548.345,70</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353.671,14</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902.016,84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0,39</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BATMAN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702.699,27</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185.315,30</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888.014,57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ERZURUM</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879.855,59</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879.855,59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ÇORUM</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777.905,44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86.490,11</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864.395,55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TOKAT</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726.277,62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120.852,35</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847.129,97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KARAMAN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631.308,42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182.766,16</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814.074,58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0,35</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NEVŞEHİR</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762.025,12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762.025,12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0,33</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RİZE</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750.591,41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750.591,41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0,32</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YOZGAT</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703.971,31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33.435,58</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737.406,89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0,32</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GİRESUN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661.846,04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661.846,04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YALOVA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632.162,31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632.162,31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ŞIRNAK</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600.351,17</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600.351,17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lastRenderedPageBreak/>
              <w:t>AMASYA</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550.734,17</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48.483,23</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599.217,40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KIRIKKALE</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486.251,22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84.204,04</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570.455,26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KARABÜK</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468.778,11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97.085,60</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565.863,71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ÇANKIRI</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375.257,83</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120.681,84</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495.939,67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0,21</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ERZİNCAN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324.171,11</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145.900,65</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470.071,76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BARTIN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449.701,45</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10.000,66</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459.702,11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SİİRT</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444.525,70</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11485,72</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456.011,42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0,20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AĞRI</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381.845,93</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37.376,62</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419.222,55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KIRŞEHİR</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392.402,90</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14.585,95</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406.988,85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MUŞ</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303.793,36</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100.328,22</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404.121,58</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ARTVİN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396.163,20</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396.163,20</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0,17</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GÜMÜŞHANE</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362.554,68</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22.028,73</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384.583,41</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SİNOP</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346.754,38</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20282,84</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367.037,22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0,16</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BİTLİS</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357.185,85</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357.185,85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0,15</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KARS</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318.278,44</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318.278,44</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BİNGÖL</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305.535,17</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305.535,17</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0,13</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KİLİS</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240.011,66</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35.827,20</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275.838,86</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0,12</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HAKKARİ</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244.432,82</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244.432,82</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0,10</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IĞDIR</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192.274,05</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192.274,05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0,08</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ARDAHAN</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124.466,45</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124.466,45</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TUNCELİ</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123.202,69</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123.202,69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0,05</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color w:val="FFFFFF"/>
                <w:lang w:eastAsia="tr-TR"/>
              </w:rPr>
            </w:pPr>
            <w:r w:rsidRPr="00422D1D">
              <w:rPr>
                <w:rFonts w:ascii="Times New Roman" w:eastAsia="Times New Roman" w:hAnsi="Times New Roman" w:cs="Times New Roman"/>
                <w:color w:val="FFFFFF"/>
                <w:lang w:eastAsia="tr-TR"/>
              </w:rPr>
              <w:t>BAYBURT</w:t>
            </w:r>
          </w:p>
        </w:tc>
        <w:tc>
          <w:tcPr>
            <w:tcW w:w="2140"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98.873,89</w:t>
            </w:r>
          </w:p>
        </w:tc>
        <w:tc>
          <w:tcPr>
            <w:tcW w:w="209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 </w:t>
            </w:r>
          </w:p>
        </w:tc>
        <w:tc>
          <w:tcPr>
            <w:tcW w:w="1701"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98.873,89</w:t>
            </w:r>
          </w:p>
        </w:tc>
        <w:tc>
          <w:tcPr>
            <w:tcW w:w="1134" w:type="dxa"/>
            <w:tcBorders>
              <w:top w:val="nil"/>
              <w:left w:val="nil"/>
              <w:bottom w:val="single" w:sz="8" w:space="0" w:color="auto"/>
              <w:right w:val="single" w:sz="8" w:space="0" w:color="auto"/>
            </w:tcBorders>
            <w:noWrap/>
            <w:vAlign w:val="center"/>
            <w:hideMark/>
          </w:tcPr>
          <w:p w:rsidR="0099399A" w:rsidRPr="00422D1D" w:rsidRDefault="0099399A" w:rsidP="0099399A">
            <w:pPr>
              <w:spacing w:line="240" w:lineRule="auto"/>
              <w:jc w:val="both"/>
              <w:rPr>
                <w:rFonts w:ascii="Times New Roman" w:eastAsia="Times New Roman" w:hAnsi="Times New Roman" w:cs="Times New Roman"/>
                <w:color w:val="000000"/>
                <w:lang w:eastAsia="tr-TR"/>
              </w:rPr>
            </w:pPr>
            <w:r w:rsidRPr="00422D1D">
              <w:rPr>
                <w:rFonts w:ascii="Times New Roman" w:eastAsia="Times New Roman" w:hAnsi="Times New Roman" w:cs="Times New Roman"/>
                <w:color w:val="000000"/>
                <w:lang w:eastAsia="tr-TR"/>
              </w:rPr>
              <w:t>0,04</w:t>
            </w:r>
          </w:p>
        </w:tc>
      </w:tr>
      <w:tr w:rsidR="0099399A" w:rsidRPr="00422D1D" w:rsidTr="0099399A">
        <w:trPr>
          <w:trHeight w:val="315"/>
        </w:trPr>
        <w:tc>
          <w:tcPr>
            <w:tcW w:w="216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Grand Total</w:t>
            </w:r>
          </w:p>
        </w:tc>
        <w:tc>
          <w:tcPr>
            <w:tcW w:w="2140"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177.910.826,19</w:t>
            </w:r>
          </w:p>
        </w:tc>
        <w:tc>
          <w:tcPr>
            <w:tcW w:w="2094"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55.699.203,35</w:t>
            </w:r>
          </w:p>
        </w:tc>
        <w:tc>
          <w:tcPr>
            <w:tcW w:w="1701"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233.610.029,54</w:t>
            </w:r>
          </w:p>
        </w:tc>
        <w:tc>
          <w:tcPr>
            <w:tcW w:w="1134" w:type="dxa"/>
            <w:tcBorders>
              <w:top w:val="nil"/>
              <w:left w:val="nil"/>
              <w:bottom w:val="single" w:sz="8" w:space="0" w:color="auto"/>
              <w:right w:val="single" w:sz="8" w:space="0" w:color="auto"/>
            </w:tcBorders>
            <w:shd w:val="clear" w:color="auto" w:fill="FF5050"/>
            <w:noWrap/>
            <w:vAlign w:val="center"/>
            <w:hideMark/>
          </w:tcPr>
          <w:p w:rsidR="0099399A" w:rsidRPr="00422D1D" w:rsidRDefault="0099399A" w:rsidP="0099399A">
            <w:pPr>
              <w:spacing w:line="240" w:lineRule="auto"/>
              <w:jc w:val="both"/>
              <w:rPr>
                <w:rFonts w:ascii="Times New Roman" w:eastAsia="Times New Roman" w:hAnsi="Times New Roman" w:cs="Times New Roman"/>
                <w:b/>
                <w:bCs/>
                <w:color w:val="FFFFFF"/>
                <w:lang w:eastAsia="tr-TR"/>
              </w:rPr>
            </w:pPr>
            <w:r w:rsidRPr="00422D1D">
              <w:rPr>
                <w:rFonts w:ascii="Times New Roman" w:eastAsia="Times New Roman" w:hAnsi="Times New Roman" w:cs="Times New Roman"/>
                <w:b/>
                <w:bCs/>
                <w:color w:val="FFFFFF"/>
                <w:lang w:eastAsia="tr-TR"/>
              </w:rPr>
              <w:t>100,00</w:t>
            </w:r>
          </w:p>
        </w:tc>
      </w:tr>
    </w:tbl>
    <w:p w:rsidR="0099399A" w:rsidRPr="00422D1D" w:rsidRDefault="0099399A" w:rsidP="0099399A">
      <w:pPr>
        <w:tabs>
          <w:tab w:val="left" w:pos="7574"/>
        </w:tabs>
        <w:jc w:val="both"/>
        <w:rPr>
          <w:rFonts w:ascii="Times New Roman" w:hAnsi="Times New Roman" w:cs="Times New Roman"/>
          <w:sz w:val="24"/>
        </w:rPr>
      </w:pPr>
    </w:p>
    <w:p w:rsidR="0099399A" w:rsidRPr="00422D1D" w:rsidRDefault="0099399A" w:rsidP="0099399A">
      <w:pPr>
        <w:tabs>
          <w:tab w:val="left" w:pos="7574"/>
        </w:tabs>
        <w:jc w:val="both"/>
        <w:rPr>
          <w:rFonts w:ascii="Times New Roman" w:hAnsi="Times New Roman" w:cs="Times New Roman"/>
          <w:sz w:val="24"/>
        </w:rPr>
      </w:pPr>
    </w:p>
    <w:p w:rsidR="0099399A" w:rsidRPr="00422D1D" w:rsidRDefault="0099399A" w:rsidP="00596D92">
      <w:pPr>
        <w:pStyle w:val="Balk1"/>
      </w:pPr>
      <w:bookmarkStart w:id="348" w:name="_Toc520822050"/>
      <w:bookmarkStart w:id="349" w:name="_Toc494982834"/>
      <w:bookmarkStart w:id="350" w:name="_Toc450309959"/>
      <w:bookmarkStart w:id="351" w:name="_Toc450300303"/>
      <w:bookmarkStart w:id="352" w:name="_Toc10123849"/>
      <w:bookmarkStart w:id="353" w:name="_Toc10191431"/>
      <w:bookmarkStart w:id="354" w:name="_Toc12526225"/>
      <w:r w:rsidRPr="00422D1D">
        <w:lastRenderedPageBreak/>
        <w:t>Table 1.15: Distribution of Invoiced Consumption by Province and Consumer Type (MWh)</w:t>
      </w:r>
      <w:bookmarkEnd w:id="348"/>
      <w:bookmarkEnd w:id="349"/>
      <w:bookmarkEnd w:id="350"/>
      <w:bookmarkEnd w:id="351"/>
      <w:bookmarkEnd w:id="352"/>
      <w:bookmarkEnd w:id="353"/>
      <w:bookmarkEnd w:id="354"/>
    </w:p>
    <w:tbl>
      <w:tblPr>
        <w:tblW w:w="9920" w:type="dxa"/>
        <w:jc w:val="center"/>
        <w:tblCellMar>
          <w:left w:w="70" w:type="dxa"/>
          <w:right w:w="70" w:type="dxa"/>
        </w:tblCellMar>
        <w:tblLook w:val="04A0" w:firstRow="1" w:lastRow="0" w:firstColumn="1" w:lastColumn="0" w:noHBand="0" w:noVBand="1"/>
      </w:tblPr>
      <w:tblGrid>
        <w:gridCol w:w="2030"/>
        <w:gridCol w:w="1190"/>
        <w:gridCol w:w="1300"/>
        <w:gridCol w:w="1300"/>
        <w:gridCol w:w="1207"/>
        <w:gridCol w:w="1300"/>
        <w:gridCol w:w="1390"/>
        <w:gridCol w:w="760"/>
      </w:tblGrid>
      <w:tr w:rsidR="0099399A" w:rsidRPr="00422D1D" w:rsidTr="00596D92">
        <w:trPr>
          <w:trHeight w:val="600"/>
          <w:tblHeader/>
          <w:jc w:val="center"/>
        </w:trPr>
        <w:tc>
          <w:tcPr>
            <w:tcW w:w="1600" w:type="dxa"/>
            <w:tcBorders>
              <w:top w:val="single" w:sz="4" w:space="0" w:color="auto"/>
              <w:left w:val="single" w:sz="8" w:space="0" w:color="auto"/>
              <w:bottom w:val="single" w:sz="4" w:space="0" w:color="auto"/>
              <w:right w:val="single" w:sz="8" w:space="0" w:color="auto"/>
            </w:tcBorders>
            <w:shd w:val="clear" w:color="auto" w:fill="FF000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PROVINCE</w:t>
            </w:r>
          </w:p>
        </w:tc>
        <w:tc>
          <w:tcPr>
            <w:tcW w:w="1180" w:type="dxa"/>
            <w:tcBorders>
              <w:top w:val="single" w:sz="4" w:space="0" w:color="auto"/>
              <w:left w:val="nil"/>
              <w:bottom w:val="single" w:sz="4" w:space="0" w:color="auto"/>
              <w:right w:val="single" w:sz="8" w:space="0" w:color="auto"/>
            </w:tcBorders>
            <w:shd w:val="clear" w:color="auto" w:fill="FF000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Lighting</w:t>
            </w:r>
          </w:p>
        </w:tc>
        <w:tc>
          <w:tcPr>
            <w:tcW w:w="1300" w:type="dxa"/>
            <w:tcBorders>
              <w:top w:val="single" w:sz="4" w:space="0" w:color="auto"/>
              <w:left w:val="nil"/>
              <w:bottom w:val="single" w:sz="4" w:space="0" w:color="auto"/>
              <w:right w:val="single" w:sz="8" w:space="0" w:color="auto"/>
            </w:tcBorders>
            <w:shd w:val="clear" w:color="auto" w:fill="FF000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Household</w:t>
            </w:r>
          </w:p>
        </w:tc>
        <w:tc>
          <w:tcPr>
            <w:tcW w:w="1300" w:type="dxa"/>
            <w:tcBorders>
              <w:top w:val="single" w:sz="4" w:space="0" w:color="auto"/>
              <w:left w:val="nil"/>
              <w:bottom w:val="single" w:sz="4" w:space="0" w:color="auto"/>
              <w:right w:val="single" w:sz="8" w:space="0" w:color="auto"/>
            </w:tcBorders>
            <w:shd w:val="clear" w:color="auto" w:fill="FF000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Industry</w:t>
            </w:r>
          </w:p>
        </w:tc>
        <w:tc>
          <w:tcPr>
            <w:tcW w:w="1180" w:type="dxa"/>
            <w:tcBorders>
              <w:top w:val="single" w:sz="4" w:space="0" w:color="auto"/>
              <w:left w:val="nil"/>
              <w:bottom w:val="single" w:sz="4" w:space="0" w:color="auto"/>
              <w:right w:val="single" w:sz="8" w:space="0" w:color="auto"/>
            </w:tcBorders>
            <w:shd w:val="clear" w:color="auto" w:fill="FF0000"/>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 xml:space="preserve">Agricultural Irrigation </w:t>
            </w:r>
          </w:p>
        </w:tc>
        <w:tc>
          <w:tcPr>
            <w:tcW w:w="1300" w:type="dxa"/>
            <w:tcBorders>
              <w:top w:val="single" w:sz="4" w:space="0" w:color="auto"/>
              <w:left w:val="nil"/>
              <w:bottom w:val="single" w:sz="4" w:space="0" w:color="auto"/>
              <w:right w:val="single" w:sz="8" w:space="0" w:color="auto"/>
            </w:tcBorders>
            <w:shd w:val="clear" w:color="auto" w:fill="FF000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Commerce</w:t>
            </w:r>
          </w:p>
        </w:tc>
        <w:tc>
          <w:tcPr>
            <w:tcW w:w="1300" w:type="dxa"/>
            <w:tcBorders>
              <w:top w:val="single" w:sz="4" w:space="0" w:color="auto"/>
              <w:left w:val="nil"/>
              <w:bottom w:val="single" w:sz="4" w:space="0" w:color="auto"/>
              <w:right w:val="single" w:sz="8" w:space="0" w:color="auto"/>
            </w:tcBorders>
            <w:shd w:val="clear" w:color="auto" w:fill="FF0000"/>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Grand Total</w:t>
            </w:r>
          </w:p>
        </w:tc>
        <w:tc>
          <w:tcPr>
            <w:tcW w:w="760" w:type="dxa"/>
            <w:tcBorders>
              <w:top w:val="single" w:sz="4" w:space="0" w:color="auto"/>
              <w:left w:val="nil"/>
              <w:bottom w:val="single" w:sz="4" w:space="0" w:color="auto"/>
              <w:right w:val="single" w:sz="8" w:space="0" w:color="auto"/>
            </w:tcBorders>
            <w:shd w:val="clear" w:color="auto" w:fill="FF000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Share (%)</w:t>
            </w:r>
          </w:p>
        </w:tc>
      </w:tr>
      <w:tr w:rsidR="0099399A" w:rsidRPr="00422D1D" w:rsidTr="00596D92">
        <w:trPr>
          <w:trHeight w:val="315"/>
          <w:jc w:val="center"/>
        </w:trPr>
        <w:tc>
          <w:tcPr>
            <w:tcW w:w="1600" w:type="dxa"/>
            <w:tcBorders>
              <w:top w:val="single" w:sz="4" w:space="0" w:color="auto"/>
              <w:left w:val="single" w:sz="8" w:space="0" w:color="auto"/>
              <w:bottom w:val="single" w:sz="4"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ADANA</w:t>
            </w:r>
          </w:p>
        </w:tc>
        <w:tc>
          <w:tcPr>
            <w:tcW w:w="1180" w:type="dxa"/>
            <w:tcBorders>
              <w:top w:val="single" w:sz="4" w:space="0" w:color="auto"/>
              <w:left w:val="nil"/>
              <w:bottom w:val="single" w:sz="4"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107.779,16</w:t>
            </w:r>
          </w:p>
        </w:tc>
        <w:tc>
          <w:tcPr>
            <w:tcW w:w="1300" w:type="dxa"/>
            <w:tcBorders>
              <w:top w:val="single" w:sz="4" w:space="0" w:color="auto"/>
              <w:left w:val="nil"/>
              <w:bottom w:val="single" w:sz="4"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1.706.348,39</w:t>
            </w:r>
          </w:p>
        </w:tc>
        <w:tc>
          <w:tcPr>
            <w:tcW w:w="1300" w:type="dxa"/>
            <w:tcBorders>
              <w:top w:val="single" w:sz="4" w:space="0" w:color="auto"/>
              <w:left w:val="nil"/>
              <w:bottom w:val="single" w:sz="4"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3.148.643,27</w:t>
            </w:r>
          </w:p>
        </w:tc>
        <w:tc>
          <w:tcPr>
            <w:tcW w:w="1180" w:type="dxa"/>
            <w:tcBorders>
              <w:top w:val="single" w:sz="4" w:space="0" w:color="auto"/>
              <w:left w:val="nil"/>
              <w:bottom w:val="single" w:sz="4"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140.867,36</w:t>
            </w:r>
          </w:p>
        </w:tc>
        <w:tc>
          <w:tcPr>
            <w:tcW w:w="1300" w:type="dxa"/>
            <w:tcBorders>
              <w:top w:val="single" w:sz="4" w:space="0" w:color="auto"/>
              <w:left w:val="nil"/>
              <w:bottom w:val="single" w:sz="4"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1.603.166,20</w:t>
            </w:r>
          </w:p>
        </w:tc>
        <w:tc>
          <w:tcPr>
            <w:tcW w:w="1300" w:type="dxa"/>
            <w:tcBorders>
              <w:top w:val="single" w:sz="4" w:space="0" w:color="auto"/>
              <w:left w:val="nil"/>
              <w:bottom w:val="single" w:sz="4"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6.706.804,38</w:t>
            </w:r>
          </w:p>
        </w:tc>
        <w:tc>
          <w:tcPr>
            <w:tcW w:w="760" w:type="dxa"/>
            <w:tcBorders>
              <w:top w:val="single" w:sz="4" w:space="0" w:color="auto"/>
              <w:left w:val="nil"/>
              <w:bottom w:val="single" w:sz="4"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2,87</w:t>
            </w:r>
          </w:p>
        </w:tc>
      </w:tr>
      <w:tr w:rsidR="0099399A" w:rsidRPr="00422D1D" w:rsidTr="00596D92">
        <w:trPr>
          <w:trHeight w:val="315"/>
          <w:jc w:val="center"/>
        </w:trPr>
        <w:tc>
          <w:tcPr>
            <w:tcW w:w="1600" w:type="dxa"/>
            <w:tcBorders>
              <w:top w:val="single" w:sz="4" w:space="0" w:color="auto"/>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ADIYAMAN</w:t>
            </w:r>
          </w:p>
        </w:tc>
        <w:tc>
          <w:tcPr>
            <w:tcW w:w="1180" w:type="dxa"/>
            <w:tcBorders>
              <w:top w:val="single" w:sz="4" w:space="0" w:color="auto"/>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29.391,49</w:t>
            </w:r>
          </w:p>
        </w:tc>
        <w:tc>
          <w:tcPr>
            <w:tcW w:w="1300" w:type="dxa"/>
            <w:tcBorders>
              <w:top w:val="single" w:sz="4" w:space="0" w:color="auto"/>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268.092,08</w:t>
            </w:r>
          </w:p>
        </w:tc>
        <w:tc>
          <w:tcPr>
            <w:tcW w:w="1300" w:type="dxa"/>
            <w:tcBorders>
              <w:top w:val="single" w:sz="4" w:space="0" w:color="auto"/>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466.066,53</w:t>
            </w:r>
          </w:p>
        </w:tc>
        <w:tc>
          <w:tcPr>
            <w:tcW w:w="1180" w:type="dxa"/>
            <w:tcBorders>
              <w:top w:val="single" w:sz="4" w:space="0" w:color="auto"/>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63.286,95</w:t>
            </w:r>
          </w:p>
        </w:tc>
        <w:tc>
          <w:tcPr>
            <w:tcW w:w="1300" w:type="dxa"/>
            <w:tcBorders>
              <w:top w:val="single" w:sz="4" w:space="0" w:color="auto"/>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272.442,05</w:t>
            </w:r>
          </w:p>
        </w:tc>
        <w:tc>
          <w:tcPr>
            <w:tcW w:w="1300" w:type="dxa"/>
            <w:tcBorders>
              <w:top w:val="single" w:sz="4" w:space="0" w:color="auto"/>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1.099.279,10</w:t>
            </w:r>
          </w:p>
        </w:tc>
        <w:tc>
          <w:tcPr>
            <w:tcW w:w="760" w:type="dxa"/>
            <w:tcBorders>
              <w:top w:val="single" w:sz="4" w:space="0" w:color="auto"/>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0,47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AFYONKARAHİSAR</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59.946,43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376.838,74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724.148,68</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142.651,25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486.584,57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1.790.169,67</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0,77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AĞRI</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20.628,96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188.868,09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53.043,17</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230,29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156.452,03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419.222,55</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0,18</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AKSARAY</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28.059,19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212.031,97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270.209,54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253.001,76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271.816,11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1.035.118,57</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0,44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AMASYA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30.901,03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201.159,07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157.435,71</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23.002,71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186.718,87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599.217,40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ANKARA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257.946,46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3.951.312,28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4.228.945,71</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158.091,14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5.708.928,50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14.305.224,09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6,12</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ANTALYA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172.512,24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2.392.589,89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1.133.113,47</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174.467,30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4.402.604,64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8.275.287,54</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3,54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ARDAHAN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9.633,91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42.751,18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2.069,41</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0,00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70.011,95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124.466,45</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0,05</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ARTVİN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32.324,24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121.034,35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126.859,36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161,43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115.783,82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396.163,20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AYDIN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80.509,37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930.143,08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628.096,38</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72.793,63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963.161,09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2.674.703,53</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BALIKESİR</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103.156,34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931.875,07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1.246.818,79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42.661,91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1.002.345,63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3.326.857,74</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1,42</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BARTIN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25.123,01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126.425,67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199.381,04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751,43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108.020,96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459.702,11</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BATMAN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23.151,25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293.966,20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279.119,67</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26.298,74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265.478,72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888.014,57</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0,38</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BAYBURT</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10.495,34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40.589,37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4.958,29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143,01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42.687,88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98.873,89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0,04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BİLECİK</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20.370,95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118.610,43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1.599.571,44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4.636,77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141.118,65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1.884.308,24</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0,81</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BİNGÖL</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12.469,50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117.777,66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63.113,36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451,66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111.722,99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305.535,17</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0,13</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BİTLİS</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24.849,68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131.277,41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28.057,72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38.165,75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134.835,30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357.185,85</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0,15</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BOLU</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28.152,37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180.743,35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383.162,50</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1.427,83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349.561,95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943.047,99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0,40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BURDUR</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25.251,05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150.370,49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513.151,12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35.401,02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177.843,15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902.016,84</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0,39</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BURSA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134.891,08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1.959.862,76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7.279.275,18</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82.629,31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2.364.947,62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11.821.605,96</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5,06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ÇANAKKALE</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44.183,10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370.429,77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2.046.043,43</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35.264,81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501.730,61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2.997.651,73</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1,28</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ÇANKIRI</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23.081,87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108.419,07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260.450,00</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2.296,88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101.691,86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495.939,67</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0,21</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ÇORUM</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41.603,86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294.892,89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238.138,36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22.634,79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267.125,65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864.395,55</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0,37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DENİZLİ</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79.521,31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672.112,56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1.929.623,01</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73.020,57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769.697,23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3.523.974,67</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1,51</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DİYARBAKIR</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50.024,27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755.962,69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644.455,46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496.074,28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806.253,31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2.752.770,00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1,18</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DÜZCE</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29.673,25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226.872,32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532.869,33</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658,70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245.906,92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1.035.980,52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0,44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EDİRNE</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31.217,40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267.152,95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319.196,59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113.194,88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347.120,59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1.077.882,40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0,46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lastRenderedPageBreak/>
              <w:t>ELAZIĞ</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36.183,05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283.253,08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397.421,57</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43.665,58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419.152,27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1.179.675,54</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0,50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ERZİNCAN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20.012,89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117.713,06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168.956,12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11.931,77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151.457,92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470.071,76</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ERZURUM</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49.197,69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362.683,36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66.654,56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2.199,75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399.120,23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879.855,59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0,38</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ESKİŞEHİR</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49.113,11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555.277,72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1.574.864,43</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176.879,97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629.277,42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2.985.412,65</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1,28</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GAZİANTEP</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79.115,80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1.181.216,57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4.936.336,02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125.881,44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1.156.706,92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7.479.256,75</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3,20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GİRESUN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62.314,92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296.857,77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75.616,15</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280,44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226.776,75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661.846,04</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0,28</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GÜMÜŞHANE</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20.042,76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67.781,18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227.175,32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415,60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69.168,55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384.583,41</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HAKKARİ</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11.547,33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109.124,04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3.226,88</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47,18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120.487,38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244.432,82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HATAY</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87.371,26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1.161.012,37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2.187.331,12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206.563,49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928.918,78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4.571.197,02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IĞDIR</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14.182,67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80.293,66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6.048,54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832,96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90.916,23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192.274,05</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0,08</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ISPARTA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40.572,11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269.702,45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438.418,17</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56.790,42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380.085,14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1.185.568,30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0,51</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 xml:space="preserve">İSTANBUL </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513.804,28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11.684.879,25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10.264.977,68</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5.934,62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17.982.523,02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40.452.118,85</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17,32</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İZMİR</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230.094,27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4.209.803,25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7.370.266,79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384.751,79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4.261.980,50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16.456.896,60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7,04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KAHRAMANMARAŞ</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63.848,15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543.425,39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2.606.978,84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70.377,10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752.339,30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4.036.968,79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1,73</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KARABÜK</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25.207,03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142.881,86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241.732,56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1.131,91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154.910,36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565.863,71</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KARAMAN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17.351,27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132.295,08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263.615,79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226.390,11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174.422,33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814.074,58</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0,35</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KARS</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14.509,04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106.766,88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55.356,23</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153,43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141.492,87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318.278,44</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KASTAMONU</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46.872,96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224.802,32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441.399,60</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4.354,37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212.236,14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929.665,39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0,40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KAYSERİ</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110.895,78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776.304,66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1.807.275,58</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164.328,09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792.785,69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3.651.589,80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KIRIKKALE</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22.709,14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162.983,39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212.290,92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3.876,56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168.595,25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570.455,26</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KIRKLARELİ</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29.634,30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236.474,45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1.698.767,92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8.297,80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346.075,37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2.319.249,83</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0,99</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KIRŞEHİR</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22.145,31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133.350,23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88.426,54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25.177,51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137.889,26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406.988,85</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KİLİS</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10.109,11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105.036,43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42.735,39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18.670,78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99.287,15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275.838,86</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0,12</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KOCAELİ</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90.936,36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1.222.315,12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7.320.666,93</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5.038,72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1.625.650,49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10.264.607,62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4,39</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KONYA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151.806,84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1.240.866,17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2.039.728,88</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1.346.091,68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1.572.630,55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6.351.124,12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2,72</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KÜTAHYA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46.171,69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305.933,61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948.553,55</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6.071,32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311.626,78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1.618.356,94</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0,69</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MALATYA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53.480,50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412.151,83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642.439,99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96.531,39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450.944,08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1.655.547,79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0,71</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MANİSA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80.672,22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937.316,30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2.204.596,39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305.796,76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1.107.959,15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4.636.340,82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1,98</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MARDİN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17.323,11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372.147,37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377.236,06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604.010,99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383.504,43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1.754.221,94</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0,75</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MERSİN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104.094,75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1.364.994,94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1.353.472,02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178.180,65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1.434.175,46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4.434.917,82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lastRenderedPageBreak/>
              <w:t>MUĞLA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81.856,22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1.010.289,25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734.822,41</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42.317,76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1.766.505,45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3.635.791,10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MUŞ</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19.683,72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144.373,66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113.069,57</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1.765,54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125.229,09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404.121,58</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NEVŞEHİR</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34.224,89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179.947,31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157.348,44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160.030,46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230.474,02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762.025,12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0,33</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NİĞDE</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32.849,89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181.839,29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502.662,65</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167.256,21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210.566,66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1.095.174,70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0,47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ORDU</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72.949,16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464.784,16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374.925,56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264,98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350.199,63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1.263.123,49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0,54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OSMANİYE</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28.486,08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309.173,88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3.444.287,33</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16.187,09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251.696,72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4.049.831,11</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1,73</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RİZE</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50.184,66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242.077,68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235.649,05</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3,57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222.676,45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750.591,41</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0,32</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SAKARYA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63.963,14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665.820,65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2.224.727,39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9.195,41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786.462,44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3.750.169,02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1,61</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SAMSUN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102.495,07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846.888,04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1.447.994,86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36.773,11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770.044,54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3.204.195,63</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SİİRT</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20.104,51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134.110,77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174.208,19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9.363,88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118.224,06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456.011,42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SİNOP</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24.826,03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151.656,28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87.350,87</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1.359,96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101.844,08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367.037,22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0,16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SİVAS</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54.474,84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326.995,96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571.712,44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39.294,20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337.842,26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1.330.319,70</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0,57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ŞANLIURFA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58.689,38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986.730,83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685.984,06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2.030.013,58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987.828,08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4.749.245,92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2,03</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ŞIRNAK</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16.956,79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196.190,54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21.223,48</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46.460,07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319.520,30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600.351,17</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TEKİRDAĞ</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77.491,30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579.582,59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5.177.472,74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14.812,24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802.300,62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6.651.659,49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2,85</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TOKAT</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44.295,36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315.066,72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216.410,59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6.963,37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264.393,94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847.129,97</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0,36</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TRABZON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95.765,93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626.741,24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219.632,95</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799,64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557.563,67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1.500.503,42</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0,64</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TUNCELİ</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10.090,51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43.191,91</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9.426,16</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1.121,32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59.372,79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123.202,69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0,05</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UŞAK</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29.142,92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215.196,89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1.151.374,91</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19.440,75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223.056,90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1.638.212,37</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0,70</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VAN</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49.344,62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410.002,39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109.730,39</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2.620,52</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393.131,03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964.828,96</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0,41</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YALOVA</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18.013,34</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205.145,06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186.486,02</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6.331,59</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216.186,30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632.162,31</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0,27</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YOZGAT</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37.139,86</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210.447,75</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164.852,94</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101.338,07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223.628,27</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737.406,89</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0,32</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ZONGULDAK</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74.606,90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385.573,18</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415.912,13</w:t>
            </w:r>
          </w:p>
        </w:tc>
        <w:tc>
          <w:tcPr>
            <w:tcW w:w="118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511,60</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311.651,73</w:t>
            </w:r>
          </w:p>
        </w:tc>
        <w:tc>
          <w:tcPr>
            <w:tcW w:w="130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1.188.255,53</w:t>
            </w:r>
          </w:p>
        </w:tc>
        <w:tc>
          <w:tcPr>
            <w:tcW w:w="760" w:type="dxa"/>
            <w:tcBorders>
              <w:top w:val="nil"/>
              <w:left w:val="nil"/>
              <w:bottom w:val="single" w:sz="8" w:space="0" w:color="auto"/>
              <w:right w:val="single" w:sz="8" w:space="0" w:color="auto"/>
            </w:tcBorders>
            <w:vAlign w:val="center"/>
            <w:hideMark/>
          </w:tcPr>
          <w:p w:rsidR="0099399A" w:rsidRPr="00596D92" w:rsidRDefault="0099399A" w:rsidP="0099399A">
            <w:pPr>
              <w:spacing w:line="240" w:lineRule="auto"/>
              <w:jc w:val="both"/>
              <w:rPr>
                <w:rFonts w:ascii="Times New Roman" w:eastAsia="Times New Roman" w:hAnsi="Times New Roman" w:cs="Times New Roman"/>
                <w:color w:val="333333"/>
                <w:sz w:val="20"/>
                <w:szCs w:val="20"/>
                <w:lang w:eastAsia="tr-TR"/>
              </w:rPr>
            </w:pPr>
            <w:r w:rsidRPr="00596D92">
              <w:rPr>
                <w:rFonts w:ascii="Times New Roman" w:eastAsia="Times New Roman" w:hAnsi="Times New Roman" w:cs="Times New Roman"/>
                <w:color w:val="333333"/>
                <w:sz w:val="20"/>
                <w:szCs w:val="20"/>
                <w:lang w:eastAsia="tr-TR"/>
              </w:rPr>
              <w:t>0,51</w:t>
            </w:r>
          </w:p>
        </w:tc>
      </w:tr>
      <w:tr w:rsidR="0099399A" w:rsidRPr="00422D1D" w:rsidTr="00596D92">
        <w:trPr>
          <w:trHeight w:val="315"/>
          <w:jc w:val="center"/>
        </w:trPr>
        <w:tc>
          <w:tcPr>
            <w:tcW w:w="1600" w:type="dxa"/>
            <w:tcBorders>
              <w:top w:val="nil"/>
              <w:left w:val="single" w:sz="8" w:space="0" w:color="auto"/>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color w:val="FFFFFF"/>
                <w:sz w:val="20"/>
                <w:szCs w:val="20"/>
                <w:lang w:eastAsia="tr-TR"/>
              </w:rPr>
            </w:pPr>
            <w:r w:rsidRPr="00596D92">
              <w:rPr>
                <w:rFonts w:ascii="Times New Roman" w:eastAsia="Times New Roman" w:hAnsi="Times New Roman" w:cs="Times New Roman"/>
                <w:color w:val="FFFFFF"/>
                <w:sz w:val="20"/>
                <w:szCs w:val="20"/>
                <w:lang w:eastAsia="tr-TR"/>
              </w:rPr>
              <w:t>Grand Total</w:t>
            </w:r>
          </w:p>
        </w:tc>
        <w:tc>
          <w:tcPr>
            <w:tcW w:w="1180" w:type="dxa"/>
            <w:tcBorders>
              <w:top w:val="nil"/>
              <w:left w:val="nil"/>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4.755.802,89</w:t>
            </w:r>
          </w:p>
        </w:tc>
        <w:tc>
          <w:tcPr>
            <w:tcW w:w="1300" w:type="dxa"/>
            <w:tcBorders>
              <w:top w:val="nil"/>
              <w:left w:val="nil"/>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54.769.979,56</w:t>
            </w:r>
          </w:p>
        </w:tc>
        <w:tc>
          <w:tcPr>
            <w:tcW w:w="1300" w:type="dxa"/>
            <w:tcBorders>
              <w:top w:val="nil"/>
              <w:left w:val="nil"/>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96.995.848,19</w:t>
            </w:r>
          </w:p>
        </w:tc>
        <w:tc>
          <w:tcPr>
            <w:tcW w:w="1180" w:type="dxa"/>
            <w:tcBorders>
              <w:top w:val="nil"/>
              <w:left w:val="nil"/>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8.799.145,22</w:t>
            </w:r>
          </w:p>
        </w:tc>
        <w:tc>
          <w:tcPr>
            <w:tcW w:w="1300" w:type="dxa"/>
            <w:tcBorders>
              <w:top w:val="nil"/>
              <w:left w:val="nil"/>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68.289.253,67</w:t>
            </w:r>
          </w:p>
        </w:tc>
        <w:tc>
          <w:tcPr>
            <w:tcW w:w="1300" w:type="dxa"/>
            <w:tcBorders>
              <w:top w:val="nil"/>
              <w:left w:val="nil"/>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233.610.029,54</w:t>
            </w:r>
          </w:p>
        </w:tc>
        <w:tc>
          <w:tcPr>
            <w:tcW w:w="760" w:type="dxa"/>
            <w:tcBorders>
              <w:top w:val="nil"/>
              <w:left w:val="nil"/>
              <w:bottom w:val="single" w:sz="8" w:space="0" w:color="auto"/>
              <w:right w:val="single" w:sz="8" w:space="0" w:color="auto"/>
            </w:tcBorders>
            <w:shd w:val="clear" w:color="auto" w:fill="FF5050"/>
            <w:noWrap/>
            <w:vAlign w:val="center"/>
            <w:hideMark/>
          </w:tcPr>
          <w:p w:rsidR="0099399A" w:rsidRPr="00596D92" w:rsidRDefault="0099399A" w:rsidP="0099399A">
            <w:pPr>
              <w:spacing w:line="240" w:lineRule="auto"/>
              <w:jc w:val="both"/>
              <w:rPr>
                <w:rFonts w:ascii="Times New Roman" w:eastAsia="Times New Roman" w:hAnsi="Times New Roman" w:cs="Times New Roman"/>
                <w:b/>
                <w:bCs/>
                <w:color w:val="FFFFFF"/>
                <w:sz w:val="20"/>
                <w:szCs w:val="20"/>
                <w:lang w:eastAsia="tr-TR"/>
              </w:rPr>
            </w:pPr>
            <w:r w:rsidRPr="00596D92">
              <w:rPr>
                <w:rFonts w:ascii="Times New Roman" w:eastAsia="Times New Roman" w:hAnsi="Times New Roman" w:cs="Times New Roman"/>
                <w:b/>
                <w:bCs/>
                <w:color w:val="FFFFFF"/>
                <w:sz w:val="20"/>
                <w:szCs w:val="20"/>
                <w:lang w:eastAsia="tr-TR"/>
              </w:rPr>
              <w:t>100,00</w:t>
            </w:r>
          </w:p>
        </w:tc>
      </w:tr>
    </w:tbl>
    <w:p w:rsidR="0099399A" w:rsidRPr="00422D1D" w:rsidRDefault="0099399A" w:rsidP="0099399A">
      <w:pPr>
        <w:tabs>
          <w:tab w:val="left" w:pos="7574"/>
        </w:tabs>
        <w:jc w:val="both"/>
        <w:rPr>
          <w:rFonts w:ascii="Times New Roman" w:hAnsi="Times New Roman" w:cs="Times New Roman"/>
          <w:sz w:val="24"/>
        </w:rPr>
      </w:pPr>
    </w:p>
    <w:p w:rsidR="0099399A" w:rsidRPr="00422D1D" w:rsidRDefault="0099399A" w:rsidP="0099399A">
      <w:pPr>
        <w:tabs>
          <w:tab w:val="left" w:pos="7574"/>
        </w:tabs>
        <w:jc w:val="both"/>
        <w:rPr>
          <w:rFonts w:ascii="Times New Roman" w:hAnsi="Times New Roman" w:cs="Times New Roman"/>
          <w:sz w:val="24"/>
        </w:rPr>
      </w:pPr>
    </w:p>
    <w:p w:rsidR="0099399A" w:rsidRPr="00596D92" w:rsidRDefault="0099399A" w:rsidP="00596D92">
      <w:pPr>
        <w:spacing w:line="360" w:lineRule="auto"/>
        <w:jc w:val="both"/>
        <w:rPr>
          <w:rFonts w:ascii="Times New Roman" w:hAnsi="Times New Roman" w:cs="Times New Roman"/>
          <w:sz w:val="24"/>
          <w:szCs w:val="24"/>
        </w:rPr>
      </w:pPr>
      <w:r w:rsidRPr="00422D1D">
        <w:rPr>
          <w:rFonts w:ascii="Times New Roman" w:hAnsi="Times New Roman" w:cs="Times New Roman"/>
          <w:sz w:val="24"/>
          <w:szCs w:val="24"/>
          <w:shd w:val="clear" w:color="auto" w:fill="FFFFFF"/>
        </w:rPr>
        <w:t>The distribution of invoiced consumption by months is shown in Figure 1.21. The highest consumption was in July, the lowest consumption was in April.</w:t>
      </w:r>
    </w:p>
    <w:p w:rsidR="0099399A" w:rsidRPr="00422D1D" w:rsidRDefault="00B25F9A" w:rsidP="00596D92">
      <w:pPr>
        <w:pStyle w:val="Balk2"/>
      </w:pPr>
      <w:bookmarkStart w:id="355" w:name="_Toc520822098"/>
      <w:bookmarkStart w:id="356" w:name="_Toc494988630"/>
      <w:bookmarkStart w:id="357" w:name="_Toc10123850"/>
      <w:bookmarkStart w:id="358" w:name="_Toc12526226"/>
      <w:bookmarkStart w:id="359" w:name="_Toc12535864"/>
      <w:r>
        <w:lastRenderedPageBreak/>
        <w:t>Figure 1.20</w:t>
      </w:r>
      <w:r w:rsidR="0099399A" w:rsidRPr="00422D1D">
        <w:t>: Distribution of Invoiced Consumption by Months (MWh)</w:t>
      </w:r>
      <w:bookmarkEnd w:id="355"/>
      <w:bookmarkEnd w:id="356"/>
      <w:bookmarkEnd w:id="357"/>
      <w:bookmarkEnd w:id="358"/>
      <w:bookmarkEnd w:id="359"/>
    </w:p>
    <w:p w:rsidR="0099399A" w:rsidRPr="00422D1D" w:rsidRDefault="0099399A" w:rsidP="00596D92">
      <w:pPr>
        <w:tabs>
          <w:tab w:val="left" w:pos="7574"/>
        </w:tabs>
        <w:jc w:val="center"/>
        <w:rPr>
          <w:rFonts w:ascii="Times New Roman" w:hAnsi="Times New Roman" w:cs="Times New Roman"/>
          <w:sz w:val="24"/>
        </w:rPr>
      </w:pPr>
      <w:r w:rsidRPr="00422D1D">
        <w:rPr>
          <w:rFonts w:ascii="Times New Roman" w:hAnsi="Times New Roman" w:cs="Times New Roman"/>
          <w:noProof/>
          <w:sz w:val="24"/>
          <w:lang w:bidi="ar-SA"/>
        </w:rPr>
        <w:drawing>
          <wp:inline distT="0" distB="0" distL="0" distR="0" wp14:anchorId="59B46F88" wp14:editId="7A27AC10">
            <wp:extent cx="5130165" cy="3087370"/>
            <wp:effectExtent l="0" t="0" r="0" b="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30165" cy="3087370"/>
                    </a:xfrm>
                    <a:prstGeom prst="rect">
                      <a:avLst/>
                    </a:prstGeom>
                    <a:noFill/>
                    <a:ln>
                      <a:noFill/>
                    </a:ln>
                  </pic:spPr>
                </pic:pic>
              </a:graphicData>
            </a:graphic>
          </wp:inline>
        </w:drawing>
      </w:r>
    </w:p>
    <w:p w:rsidR="0099399A" w:rsidRPr="00422D1D" w:rsidRDefault="0099399A" w:rsidP="0099399A">
      <w:pPr>
        <w:jc w:val="both"/>
        <w:rPr>
          <w:rFonts w:ascii="Times New Roman" w:hAnsi="Times New Roman" w:cs="Times New Roman"/>
          <w:sz w:val="24"/>
        </w:rPr>
      </w:pPr>
    </w:p>
    <w:p w:rsidR="0099399A" w:rsidRPr="00422D1D" w:rsidRDefault="0099399A" w:rsidP="0099399A">
      <w:pPr>
        <w:jc w:val="both"/>
        <w:rPr>
          <w:rFonts w:ascii="Times New Roman" w:hAnsi="Times New Roman" w:cs="Times New Roman"/>
          <w:sz w:val="24"/>
        </w:rPr>
      </w:pPr>
    </w:p>
    <w:p w:rsidR="0099399A" w:rsidRPr="00422D1D" w:rsidRDefault="0099399A" w:rsidP="0099399A">
      <w:pPr>
        <w:spacing w:line="360" w:lineRule="auto"/>
        <w:jc w:val="both"/>
        <w:rPr>
          <w:rFonts w:ascii="Times New Roman" w:hAnsi="Times New Roman" w:cs="Times New Roman"/>
          <w:sz w:val="24"/>
          <w:szCs w:val="24"/>
          <w:shd w:val="clear" w:color="auto" w:fill="FFFFFF"/>
        </w:rPr>
      </w:pPr>
      <w:r w:rsidRPr="00422D1D">
        <w:rPr>
          <w:rFonts w:ascii="Times New Roman" w:hAnsi="Times New Roman" w:cs="Times New Roman"/>
          <w:sz w:val="24"/>
          <w:szCs w:val="24"/>
          <w:shd w:val="clear" w:color="auto" w:fill="FFFFFF"/>
        </w:rPr>
        <w:t>The development of consumption over years is shown in Figure 1.22. The consumption decreased only in 2001 and 2009 compared to the previous years, with the effect of economic crisis. The highest increase rate compared to the previous year was 13,75 % in 1997. In 2018, the rate of increase was 3.69% compared to the previous year.</w:t>
      </w:r>
    </w:p>
    <w:p w:rsidR="0099399A" w:rsidRPr="00422D1D" w:rsidRDefault="00B25F9A" w:rsidP="00596D92">
      <w:pPr>
        <w:pStyle w:val="Balk2"/>
      </w:pPr>
      <w:bookmarkStart w:id="360" w:name="_Toc520822099"/>
      <w:bookmarkStart w:id="361" w:name="_Toc494988631"/>
      <w:bookmarkStart w:id="362" w:name="_Toc10123851"/>
      <w:bookmarkStart w:id="363" w:name="_Toc12526227"/>
      <w:bookmarkStart w:id="364" w:name="_Toc12535865"/>
      <w:r>
        <w:t>Figure 1.21</w:t>
      </w:r>
      <w:r w:rsidR="0099399A" w:rsidRPr="00422D1D">
        <w:t>: Development of Gross Consumption by Years (GWh)</w:t>
      </w:r>
      <w:bookmarkEnd w:id="360"/>
      <w:bookmarkEnd w:id="361"/>
      <w:bookmarkEnd w:id="362"/>
      <w:bookmarkEnd w:id="363"/>
      <w:bookmarkEnd w:id="364"/>
    </w:p>
    <w:p w:rsidR="0099399A" w:rsidRPr="00422D1D" w:rsidRDefault="0099399A" w:rsidP="00596D92">
      <w:pPr>
        <w:jc w:val="center"/>
        <w:rPr>
          <w:rFonts w:ascii="Times New Roman" w:hAnsi="Times New Roman" w:cs="Times New Roman"/>
        </w:rPr>
      </w:pPr>
      <w:r w:rsidRPr="00422D1D">
        <w:rPr>
          <w:rFonts w:ascii="Times New Roman" w:hAnsi="Times New Roman" w:cs="Times New Roman"/>
          <w:noProof/>
          <w:lang w:bidi="ar-SA"/>
        </w:rPr>
        <w:drawing>
          <wp:inline distT="0" distB="0" distL="0" distR="0" wp14:anchorId="5F00E516" wp14:editId="40615FD3">
            <wp:extent cx="5848350" cy="2819400"/>
            <wp:effectExtent l="0" t="0" r="0" b="0"/>
            <wp:docPr id="64" name="Resim 64"/>
            <wp:cNvGraphicFramePr/>
            <a:graphic xmlns:a="http://schemas.openxmlformats.org/drawingml/2006/main">
              <a:graphicData uri="http://schemas.openxmlformats.org/drawingml/2006/picture">
                <pic:pic xmlns:pic="http://schemas.openxmlformats.org/drawingml/2006/picture">
                  <pic:nvPicPr>
                    <pic:cNvPr id="28" name="Resim 28"/>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48350" cy="2819400"/>
                    </a:xfrm>
                    <a:prstGeom prst="rect">
                      <a:avLst/>
                    </a:prstGeom>
                    <a:noFill/>
                  </pic:spPr>
                </pic:pic>
              </a:graphicData>
            </a:graphic>
          </wp:inline>
        </w:drawing>
      </w:r>
    </w:p>
    <w:p w:rsidR="0099399A" w:rsidRPr="00422D1D" w:rsidRDefault="0099399A" w:rsidP="0099399A">
      <w:pPr>
        <w:spacing w:line="360" w:lineRule="auto"/>
        <w:jc w:val="both"/>
        <w:rPr>
          <w:rFonts w:ascii="Times New Roman" w:hAnsi="Times New Roman" w:cs="Times New Roman"/>
          <w:sz w:val="24"/>
          <w:szCs w:val="24"/>
          <w:shd w:val="clear" w:color="auto" w:fill="FFFFFF"/>
        </w:rPr>
      </w:pPr>
    </w:p>
    <w:p w:rsidR="0099399A" w:rsidRPr="00596D92" w:rsidRDefault="0099399A" w:rsidP="00B572B4">
      <w:pPr>
        <w:pStyle w:val="11ilebalayanlar"/>
      </w:pPr>
      <w:bookmarkStart w:id="365" w:name="_Toc520822005"/>
      <w:bookmarkStart w:id="366" w:name="_Toc12528939"/>
      <w:r w:rsidRPr="00596D92">
        <w:lastRenderedPageBreak/>
        <w:t>1.6 Import and Export</w:t>
      </w:r>
      <w:bookmarkEnd w:id="365"/>
      <w:bookmarkEnd w:id="366"/>
    </w:p>
    <w:p w:rsidR="0099399A" w:rsidRPr="00596D92" w:rsidRDefault="0099399A" w:rsidP="00B572B4">
      <w:pPr>
        <w:pStyle w:val="11ilebalayanlar"/>
      </w:pPr>
      <w:bookmarkStart w:id="367" w:name="_Toc12528940"/>
      <w:r w:rsidRPr="00596D92">
        <w:t>1.6.1 Import</w:t>
      </w:r>
      <w:bookmarkEnd w:id="367"/>
      <w:r w:rsidRPr="00596D92">
        <w:t xml:space="preserve"> </w:t>
      </w:r>
    </w:p>
    <w:p w:rsidR="0099399A" w:rsidRPr="00596D92" w:rsidRDefault="0099399A" w:rsidP="00596D92">
      <w:pPr>
        <w:pStyle w:val="Tablo1"/>
        <w:spacing w:after="200" w:line="360" w:lineRule="auto"/>
        <w:rPr>
          <w:rFonts w:ascii="Times New Roman" w:hAnsi="Times New Roman"/>
          <w:b w:val="0"/>
          <w:sz w:val="24"/>
          <w:szCs w:val="24"/>
          <w:lang w:val="en-US"/>
        </w:rPr>
      </w:pPr>
      <w:r w:rsidRPr="00596D92">
        <w:rPr>
          <w:rFonts w:ascii="Times New Roman" w:hAnsi="Times New Roman"/>
          <w:b w:val="0"/>
          <w:sz w:val="24"/>
          <w:szCs w:val="24"/>
          <w:shd w:val="clear" w:color="auto" w:fill="FFFFFF"/>
          <w:lang w:val="en-US"/>
        </w:rPr>
        <w:t xml:space="preserve">The data on electricity imports in 2018 by months is shown in Figure 1.23. 83,29 % of the total </w:t>
      </w:r>
      <w:r w:rsidRPr="00596D92">
        <w:rPr>
          <w:rFonts w:ascii="Times New Roman" w:hAnsi="Times New Roman"/>
          <w:b w:val="0"/>
          <w:sz w:val="24"/>
          <w:szCs w:val="24"/>
          <w:lang w:val="en-US"/>
        </w:rPr>
        <w:t>2.466.009,25</w:t>
      </w:r>
      <w:r w:rsidRPr="00596D92">
        <w:rPr>
          <w:rFonts w:ascii="Times New Roman" w:hAnsi="Times New Roman"/>
          <w:b w:val="0"/>
          <w:sz w:val="24"/>
          <w:szCs w:val="24"/>
          <w:shd w:val="clear" w:color="auto" w:fill="FFFFFF"/>
          <w:lang w:val="en-US"/>
        </w:rPr>
        <w:t xml:space="preserve"> MWh electricity imports in 2018 were from Bulgaria, 16,27 % from Georgia, and 0,44 % from Greece. On the monthly basis, the highest electricity imports were made in May, while the lowest was in March.</w:t>
      </w:r>
    </w:p>
    <w:p w:rsidR="0099399A" w:rsidRPr="00422D1D" w:rsidRDefault="0099399A" w:rsidP="0099399A">
      <w:pPr>
        <w:pStyle w:val="Tablo1"/>
        <w:spacing w:after="200" w:line="360" w:lineRule="auto"/>
        <w:rPr>
          <w:rFonts w:ascii="Times New Roman" w:hAnsi="Times New Roman"/>
          <w:b w:val="0"/>
          <w:sz w:val="24"/>
          <w:szCs w:val="24"/>
        </w:rPr>
      </w:pPr>
    </w:p>
    <w:p w:rsidR="0099399A" w:rsidRPr="00422D1D" w:rsidRDefault="00B25F9A" w:rsidP="00596D92">
      <w:pPr>
        <w:pStyle w:val="Balk2"/>
      </w:pPr>
      <w:bookmarkStart w:id="368" w:name="_Toc520822100"/>
      <w:bookmarkStart w:id="369" w:name="_Toc494988632"/>
      <w:bookmarkStart w:id="370" w:name="_Toc10123854"/>
      <w:bookmarkStart w:id="371" w:name="_Toc12526230"/>
      <w:bookmarkStart w:id="372" w:name="_Toc12535866"/>
      <w:r>
        <w:t>Figure 1.22</w:t>
      </w:r>
      <w:r w:rsidR="0099399A" w:rsidRPr="00422D1D">
        <w:t xml:space="preserve">: Electricity Imports in </w:t>
      </w:r>
      <w:r w:rsidR="0099399A" w:rsidRPr="00422D1D">
        <w:rPr>
          <w:szCs w:val="24"/>
        </w:rPr>
        <w:t>2018 by Months</w:t>
      </w:r>
      <w:r w:rsidR="0099399A" w:rsidRPr="00422D1D">
        <w:t xml:space="preserve"> (MWh)</w:t>
      </w:r>
      <w:bookmarkEnd w:id="368"/>
      <w:bookmarkEnd w:id="369"/>
      <w:bookmarkEnd w:id="370"/>
      <w:bookmarkEnd w:id="371"/>
      <w:bookmarkEnd w:id="372"/>
    </w:p>
    <w:p w:rsidR="0099399A" w:rsidRPr="00422D1D" w:rsidRDefault="0099399A" w:rsidP="00596D92">
      <w:pPr>
        <w:tabs>
          <w:tab w:val="left" w:pos="2244"/>
        </w:tabs>
        <w:jc w:val="center"/>
        <w:rPr>
          <w:rFonts w:ascii="Times New Roman" w:hAnsi="Times New Roman" w:cs="Times New Roman"/>
          <w:sz w:val="24"/>
        </w:rPr>
      </w:pPr>
      <w:r w:rsidRPr="00422D1D">
        <w:rPr>
          <w:rFonts w:ascii="Times New Roman" w:hAnsi="Times New Roman" w:cs="Times New Roman"/>
          <w:noProof/>
          <w:sz w:val="24"/>
          <w:lang w:bidi="ar-SA"/>
        </w:rPr>
        <w:drawing>
          <wp:inline distT="0" distB="0" distL="0" distR="0" wp14:anchorId="72A5EB87" wp14:editId="62499DFD">
            <wp:extent cx="5943600" cy="2834640"/>
            <wp:effectExtent l="0" t="0" r="0" b="381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2834640"/>
                    </a:xfrm>
                    <a:prstGeom prst="rect">
                      <a:avLst/>
                    </a:prstGeom>
                    <a:noFill/>
                    <a:ln>
                      <a:noFill/>
                    </a:ln>
                  </pic:spPr>
                </pic:pic>
              </a:graphicData>
            </a:graphic>
          </wp:inline>
        </w:drawing>
      </w:r>
    </w:p>
    <w:p w:rsidR="0099399A" w:rsidRPr="00422D1D" w:rsidRDefault="0099399A" w:rsidP="0099399A">
      <w:pPr>
        <w:jc w:val="both"/>
        <w:rPr>
          <w:rFonts w:ascii="Times New Roman" w:hAnsi="Times New Roman" w:cs="Times New Roman"/>
          <w:sz w:val="24"/>
        </w:rPr>
      </w:pPr>
    </w:p>
    <w:p w:rsidR="0099399A" w:rsidRPr="00596D92" w:rsidRDefault="0099399A" w:rsidP="00B572B4">
      <w:pPr>
        <w:pStyle w:val="11ilebalayanlar"/>
      </w:pPr>
      <w:bookmarkStart w:id="373" w:name="_Toc12528941"/>
      <w:r w:rsidRPr="00596D92">
        <w:t>1.6.2 Export</w:t>
      </w:r>
      <w:bookmarkEnd w:id="373"/>
    </w:p>
    <w:p w:rsidR="0099399A" w:rsidRPr="00596D92" w:rsidRDefault="0099399A" w:rsidP="00596D92">
      <w:pPr>
        <w:pStyle w:val="Tablo1"/>
        <w:spacing w:after="200" w:line="360" w:lineRule="auto"/>
        <w:rPr>
          <w:rFonts w:ascii="Times New Roman" w:hAnsi="Times New Roman"/>
          <w:b w:val="0"/>
          <w:sz w:val="24"/>
          <w:szCs w:val="24"/>
          <w:shd w:val="clear" w:color="auto" w:fill="FFFFFF"/>
          <w:lang w:val="en-US"/>
        </w:rPr>
      </w:pPr>
      <w:r w:rsidRPr="00596D92">
        <w:rPr>
          <w:rFonts w:ascii="Times New Roman" w:hAnsi="Times New Roman"/>
          <w:b w:val="0"/>
          <w:sz w:val="24"/>
          <w:szCs w:val="24"/>
          <w:shd w:val="clear" w:color="auto" w:fill="FFFFFF"/>
          <w:lang w:val="en-US"/>
        </w:rPr>
        <w:t xml:space="preserve">The data on electricity exports in 2018 by months is shown in Figure 1.24. 94,71 % of the total </w:t>
      </w:r>
      <w:r w:rsidRPr="00596D92">
        <w:rPr>
          <w:rFonts w:ascii="Times New Roman" w:hAnsi="Times New Roman"/>
          <w:b w:val="0"/>
          <w:sz w:val="24"/>
          <w:szCs w:val="24"/>
          <w:lang w:val="en-US"/>
        </w:rPr>
        <w:t xml:space="preserve">3.073.600,77 </w:t>
      </w:r>
      <w:r w:rsidRPr="00596D92">
        <w:rPr>
          <w:rFonts w:ascii="Times New Roman" w:hAnsi="Times New Roman"/>
          <w:b w:val="0"/>
          <w:sz w:val="24"/>
          <w:szCs w:val="24"/>
          <w:shd w:val="clear" w:color="auto" w:fill="FFFFFF"/>
          <w:lang w:val="en-US"/>
        </w:rPr>
        <w:t>MWh electricity exports in 2018 were to Greece, and the remaining 5,29% to Bulgaria and Georgia. On the monthly basis, the highest electricity exports were made in December and the lowest in April.</w:t>
      </w:r>
      <w:bookmarkStart w:id="374" w:name="_Toc494988633"/>
      <w:bookmarkStart w:id="375" w:name="_Toc487101634"/>
    </w:p>
    <w:p w:rsidR="0099399A" w:rsidRPr="00422D1D" w:rsidRDefault="00B25F9A" w:rsidP="00596D92">
      <w:pPr>
        <w:pStyle w:val="Balk2"/>
      </w:pPr>
      <w:bookmarkStart w:id="376" w:name="_Toc520822101"/>
      <w:bookmarkStart w:id="377" w:name="_Toc10123856"/>
      <w:bookmarkStart w:id="378" w:name="_Toc12526232"/>
      <w:bookmarkStart w:id="379" w:name="_Toc12535867"/>
      <w:r>
        <w:lastRenderedPageBreak/>
        <w:t>Figure 1.23</w:t>
      </w:r>
      <w:r w:rsidR="0099399A" w:rsidRPr="00422D1D">
        <w:t xml:space="preserve">: Electricity Exports in </w:t>
      </w:r>
      <w:r w:rsidR="0099399A" w:rsidRPr="00422D1D">
        <w:rPr>
          <w:szCs w:val="24"/>
        </w:rPr>
        <w:t>2018 by Months</w:t>
      </w:r>
      <w:r w:rsidR="0099399A" w:rsidRPr="00422D1D">
        <w:t xml:space="preserve"> (MWh)</w:t>
      </w:r>
      <w:bookmarkEnd w:id="374"/>
      <w:bookmarkEnd w:id="375"/>
      <w:bookmarkEnd w:id="376"/>
      <w:bookmarkEnd w:id="377"/>
      <w:bookmarkEnd w:id="378"/>
      <w:bookmarkEnd w:id="379"/>
    </w:p>
    <w:p w:rsidR="0099399A" w:rsidRPr="00422D1D" w:rsidRDefault="00C76A11" w:rsidP="0099399A">
      <w:pPr>
        <w:jc w:val="both"/>
        <w:rPr>
          <w:rFonts w:ascii="Times New Roman" w:hAnsi="Times New Roman" w:cs="Times New Roman"/>
          <w:sz w:val="24"/>
        </w:rPr>
      </w:pPr>
      <w:r>
        <w:rPr>
          <w:rFonts w:ascii="Times New Roman" w:hAnsi="Times New Roman" w:cs="Times New Roman"/>
          <w:noProof/>
          <w:sz w:val="24"/>
          <w:lang w:bidi="ar-SA"/>
        </w:rPr>
        <w:drawing>
          <wp:inline distT="0" distB="0" distL="0" distR="0" wp14:anchorId="3D3EEE2B" wp14:editId="3243B9BE">
            <wp:extent cx="5647055" cy="3218815"/>
            <wp:effectExtent l="0" t="0" r="0" b="635"/>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47055" cy="3218815"/>
                    </a:xfrm>
                    <a:prstGeom prst="rect">
                      <a:avLst/>
                    </a:prstGeom>
                    <a:noFill/>
                    <a:ln>
                      <a:noFill/>
                    </a:ln>
                  </pic:spPr>
                </pic:pic>
              </a:graphicData>
            </a:graphic>
          </wp:inline>
        </w:drawing>
      </w:r>
    </w:p>
    <w:p w:rsidR="0099399A" w:rsidRPr="00422D1D" w:rsidRDefault="0099399A" w:rsidP="0099399A">
      <w:pPr>
        <w:jc w:val="both"/>
        <w:rPr>
          <w:rFonts w:ascii="Times New Roman" w:hAnsi="Times New Roman" w:cs="Times New Roman"/>
          <w:sz w:val="24"/>
        </w:rPr>
      </w:pPr>
    </w:p>
    <w:p w:rsidR="0099399A" w:rsidRPr="00422D1D" w:rsidRDefault="0099399A" w:rsidP="0099399A">
      <w:pPr>
        <w:jc w:val="both"/>
        <w:rPr>
          <w:rFonts w:ascii="Times New Roman" w:hAnsi="Times New Roman" w:cs="Times New Roman"/>
          <w:sz w:val="24"/>
        </w:rPr>
      </w:pPr>
    </w:p>
    <w:p w:rsidR="0099399A" w:rsidRPr="00422D1D" w:rsidRDefault="0099399A" w:rsidP="00D03636">
      <w:pPr>
        <w:pStyle w:val="AnaBalklar"/>
      </w:pPr>
      <w:bookmarkStart w:id="380" w:name="_Toc12528942"/>
      <w:r w:rsidRPr="00422D1D">
        <w:t>2.</w:t>
      </w:r>
      <w:r w:rsidRPr="00422D1D">
        <w:tab/>
      </w:r>
      <w:bookmarkStart w:id="381" w:name="_Toc520822006"/>
      <w:r w:rsidRPr="00422D1D">
        <w:t>WHOLESALE MARKET</w:t>
      </w:r>
      <w:bookmarkEnd w:id="380"/>
      <w:bookmarkEnd w:id="381"/>
    </w:p>
    <w:bookmarkEnd w:id="0"/>
    <w:bookmarkEnd w:id="1"/>
    <w:bookmarkEnd w:id="2"/>
    <w:bookmarkEnd w:id="3"/>
    <w:bookmarkEnd w:id="4"/>
    <w:bookmarkEnd w:id="5"/>
    <w:bookmarkEnd w:id="6"/>
    <w:bookmarkEnd w:id="7"/>
    <w:bookmarkEnd w:id="8"/>
    <w:bookmarkEnd w:id="9"/>
    <w:p w:rsidR="004A69E4" w:rsidRDefault="004A69E4" w:rsidP="004A69E4">
      <w:pPr>
        <w:spacing w:line="360" w:lineRule="auto"/>
        <w:jc w:val="both"/>
        <w:rPr>
          <w:rFonts w:ascii="Times New Roman" w:hAnsi="Times New Roman" w:cs="Times New Roman"/>
          <w:sz w:val="24"/>
          <w:szCs w:val="24"/>
          <w:shd w:val="clear" w:color="auto" w:fill="FFFFFF"/>
        </w:rPr>
      </w:pPr>
    </w:p>
    <w:p w:rsidR="004A69E4" w:rsidRPr="00422D1D" w:rsidRDefault="004A69E4" w:rsidP="004A69E4">
      <w:pPr>
        <w:spacing w:line="360" w:lineRule="auto"/>
        <w:jc w:val="both"/>
        <w:rPr>
          <w:rFonts w:ascii="Times New Roman" w:hAnsi="Times New Roman" w:cs="Times New Roman"/>
          <w:sz w:val="24"/>
          <w:szCs w:val="24"/>
          <w:shd w:val="clear" w:color="auto" w:fill="FFFFFF"/>
        </w:rPr>
      </w:pPr>
      <w:r w:rsidRPr="00422D1D">
        <w:rPr>
          <w:rFonts w:ascii="Times New Roman" w:hAnsi="Times New Roman" w:cs="Times New Roman"/>
          <w:sz w:val="24"/>
          <w:szCs w:val="24"/>
          <w:shd w:val="clear" w:color="auto" w:fill="FFFFFF"/>
        </w:rPr>
        <w:t>In this section, the developments that occurred in the wholesale market were examined in the year 2018. In this context; the prices of the Day-Ahead Market (DAM), the Intra-Day Market (IDM) and the Balancing Power Market (BPM) are presented with the volumes and the orders given. Moreover, the changes that occurred in the market structure are explained.</w:t>
      </w:r>
    </w:p>
    <w:p w:rsidR="004A69E4" w:rsidRPr="00AB5D27" w:rsidRDefault="004A69E4" w:rsidP="004A69E4">
      <w:pPr>
        <w:spacing w:line="360" w:lineRule="auto"/>
        <w:jc w:val="both"/>
        <w:rPr>
          <w:rFonts w:ascii="Times New Roman" w:hAnsi="Times New Roman" w:cs="Times New Roman"/>
          <w:sz w:val="24"/>
          <w:szCs w:val="24"/>
          <w:shd w:val="clear" w:color="auto" w:fill="FFFFFF"/>
        </w:rPr>
      </w:pPr>
      <w:r w:rsidRPr="00AB5D27">
        <w:rPr>
          <w:rFonts w:ascii="Times New Roman" w:hAnsi="Times New Roman" w:cs="Times New Roman"/>
          <w:sz w:val="24"/>
          <w:szCs w:val="24"/>
          <w:shd w:val="clear" w:color="auto" w:fill="FFFFFF"/>
        </w:rPr>
        <w:t>Primary Frequency Control (PFC)</w:t>
      </w:r>
      <w:r>
        <w:rPr>
          <w:rFonts w:ascii="Times New Roman" w:hAnsi="Times New Roman" w:cs="Times New Roman"/>
          <w:sz w:val="24"/>
          <w:szCs w:val="24"/>
          <w:shd w:val="clear" w:color="auto" w:fill="FFFFFF"/>
        </w:rPr>
        <w:t xml:space="preserve"> brings </w:t>
      </w:r>
      <w:r w:rsidRPr="00AB5D27">
        <w:rPr>
          <w:rFonts w:ascii="Times New Roman" w:hAnsi="Times New Roman" w:cs="Times New Roman"/>
          <w:sz w:val="24"/>
          <w:szCs w:val="24"/>
          <w:shd w:val="clear" w:color="auto" w:fill="FFFFFF"/>
        </w:rPr>
        <w:t>the system frequency to a new equilibrium point by automatically increasing or decreasing the unit active power with the speed regulator in response to the decrease or rise of the system frequency. PFK reserve is obtained from production facilities determined to be capable of providing PFK services as a result of PFK performance tests in Electricity Network Regulation.</w:t>
      </w:r>
    </w:p>
    <w:p w:rsidR="004A69E4" w:rsidRPr="00AB5D27" w:rsidRDefault="004A69E4" w:rsidP="004A69E4">
      <w:pPr>
        <w:spacing w:line="360" w:lineRule="auto"/>
        <w:jc w:val="both"/>
        <w:rPr>
          <w:rFonts w:ascii="Times New Roman" w:hAnsi="Times New Roman" w:cs="Times New Roman"/>
          <w:sz w:val="24"/>
          <w:szCs w:val="24"/>
          <w:shd w:val="clear" w:color="auto" w:fill="FFFFFF"/>
        </w:rPr>
      </w:pPr>
      <w:r w:rsidRPr="00AB5D27">
        <w:rPr>
          <w:rFonts w:ascii="Times New Roman" w:hAnsi="Times New Roman" w:cs="Times New Roman"/>
          <w:sz w:val="24"/>
          <w:szCs w:val="24"/>
          <w:shd w:val="clear" w:color="auto" w:fill="FFFFFF"/>
        </w:rPr>
        <w:t xml:space="preserve">Secondary Frequency Control (SFK) </w:t>
      </w:r>
      <w:r>
        <w:rPr>
          <w:rFonts w:ascii="Times New Roman" w:hAnsi="Times New Roman" w:cs="Times New Roman"/>
          <w:sz w:val="24"/>
          <w:szCs w:val="24"/>
          <w:shd w:val="clear" w:color="auto" w:fill="FFFFFF"/>
        </w:rPr>
        <w:t>brings</w:t>
      </w:r>
      <w:r w:rsidRPr="00AB5D27">
        <w:rPr>
          <w:rFonts w:ascii="Times New Roman" w:hAnsi="Times New Roman" w:cs="Times New Roman"/>
          <w:sz w:val="24"/>
          <w:szCs w:val="24"/>
          <w:shd w:val="clear" w:color="auto" w:fill="FFFFFF"/>
        </w:rPr>
        <w:t xml:space="preserve"> the system frequency to the nominal value and to the programmed value of the total electrical energy exchange with neighboring country electricity networks by increasing or decreasing the active power output of the production facilities participating in the SFK service by the signals sent automatically from the National Load Dispatch Center. SFK reserve is provided by the production facilities which are </w:t>
      </w:r>
      <w:r w:rsidRPr="00AB5D27">
        <w:rPr>
          <w:rFonts w:ascii="Times New Roman" w:hAnsi="Times New Roman" w:cs="Times New Roman"/>
          <w:sz w:val="24"/>
          <w:szCs w:val="24"/>
          <w:shd w:val="clear" w:color="auto" w:fill="FFFFFF"/>
        </w:rPr>
        <w:lastRenderedPageBreak/>
        <w:t>determined to be capable of providing SFK services as a result of the SFK performance tests in the Electricity Network Regulation.</w:t>
      </w:r>
    </w:p>
    <w:p w:rsidR="004A69E4" w:rsidRPr="00BC048D" w:rsidRDefault="004A69E4" w:rsidP="004A69E4">
      <w:pPr>
        <w:spacing w:line="360" w:lineRule="auto"/>
        <w:jc w:val="both"/>
        <w:rPr>
          <w:rFonts w:ascii="Times New Roman" w:hAnsi="Times New Roman" w:cs="Times New Roman"/>
          <w:sz w:val="24"/>
          <w:szCs w:val="24"/>
          <w:shd w:val="clear" w:color="auto" w:fill="FFFFFF"/>
        </w:rPr>
      </w:pPr>
      <w:r w:rsidRPr="00AB5D27">
        <w:rPr>
          <w:rFonts w:ascii="Times New Roman" w:hAnsi="Times New Roman" w:cs="Times New Roman"/>
          <w:sz w:val="24"/>
          <w:szCs w:val="24"/>
          <w:shd w:val="clear" w:color="auto" w:fill="FFFFFF"/>
        </w:rPr>
        <w:t>Pursuant to the Electricity Market Ancillary Services Regulation published on the Official Gazette dated 26 November 2017 and numbered 30252, participation in PFK and SFK services has ceased to be compulsory and PFK and SFK reserves have been procured on a voluntary basis. Currently, between 200-300 MW PFK reserve and 700-1100 MW SFK reserve are kept at different times of the day.</w:t>
      </w:r>
    </w:p>
    <w:p w:rsidR="004A69E4" w:rsidRPr="00422D1D" w:rsidRDefault="004A69E4" w:rsidP="004A69E4">
      <w:pPr>
        <w:pStyle w:val="11ilebalayanlar"/>
        <w:spacing w:before="0" w:after="200" w:line="360" w:lineRule="auto"/>
        <w:jc w:val="both"/>
      </w:pPr>
      <w:bookmarkStart w:id="382" w:name="_Toc12528943"/>
      <w:r w:rsidRPr="00422D1D">
        <w:t xml:space="preserve">2.1 </w:t>
      </w:r>
      <w:bookmarkStart w:id="383" w:name="_Toc520822008"/>
      <w:r w:rsidRPr="00422D1D">
        <w:t>Day-Ahead Market</w:t>
      </w:r>
      <w:bookmarkEnd w:id="382"/>
      <w:bookmarkEnd w:id="383"/>
    </w:p>
    <w:p w:rsidR="004A69E4" w:rsidRPr="00422D1D" w:rsidRDefault="004A69E4" w:rsidP="004A69E4">
      <w:pPr>
        <w:shd w:val="clear" w:color="auto" w:fill="FFFFFF"/>
        <w:spacing w:line="360" w:lineRule="auto"/>
        <w:jc w:val="both"/>
        <w:rPr>
          <w:rFonts w:ascii="Times New Roman" w:eastAsia="Times New Roman" w:hAnsi="Times New Roman" w:cs="Times New Roman"/>
          <w:sz w:val="24"/>
          <w:szCs w:val="24"/>
        </w:rPr>
      </w:pPr>
      <w:r w:rsidRPr="00422D1D">
        <w:rPr>
          <w:rFonts w:ascii="Times New Roman" w:hAnsi="Times New Roman" w:cs="Times New Roman"/>
          <w:color w:val="060606"/>
          <w:sz w:val="24"/>
          <w:szCs w:val="24"/>
          <w:shd w:val="clear" w:color="auto" w:fill="FFFFFF"/>
        </w:rPr>
        <w:t>Liberalization process started with Electricity Market Law aimed for creation of an electricity market based on transparency, integrity and competition; and integrated with other countries’ electricity markets. In line with this aim, numerous planned steps were taken and significant progress had been achieved for transforming stronger and more dynamic electricity market in which market participants take an active role and market operators manage and monitor by best means.</w:t>
      </w:r>
    </w:p>
    <w:p w:rsidR="004A69E4" w:rsidRPr="00596D92" w:rsidRDefault="004A69E4" w:rsidP="004A69E4">
      <w:pPr>
        <w:spacing w:line="360" w:lineRule="auto"/>
        <w:jc w:val="both"/>
        <w:textAlignment w:val="top"/>
        <w:rPr>
          <w:rFonts w:ascii="Times New Roman" w:eastAsia="Times New Roman" w:hAnsi="Times New Roman" w:cs="Times New Roman"/>
          <w:color w:val="555555"/>
          <w:sz w:val="24"/>
          <w:szCs w:val="24"/>
        </w:rPr>
      </w:pPr>
      <w:r>
        <w:rPr>
          <w:rFonts w:ascii="Times New Roman" w:eastAsia="Times New Roman" w:hAnsi="Times New Roman" w:cs="Times New Roman"/>
          <w:color w:val="555555"/>
          <w:sz w:val="24"/>
          <w:szCs w:val="24"/>
        </w:rPr>
        <w:t> </w:t>
      </w:r>
      <w:r w:rsidRPr="00422D1D">
        <w:rPr>
          <w:rFonts w:ascii="Times New Roman" w:hAnsi="Times New Roman" w:cs="Times New Roman"/>
          <w:color w:val="060606"/>
          <w:sz w:val="24"/>
          <w:szCs w:val="24"/>
          <w:shd w:val="clear" w:color="auto" w:fill="FFFFFF"/>
        </w:rPr>
        <w:t>First step carried out for transformation of electricity market from a single buyer-single seller model to liberal and competitive model was transition to monthly 3 period financial settlement system on 1 July 2006. Next step was the start of operations for Day-Ahead Planning system on 1 December 2009. These transition periods have great importance regarding to transformation of electricity market into stronger and more dynamic structure. Parties took role in market operations and activities provided significant experience and foresight for new market models from their practices at earlier market stages. 1 December 2011 date became a milestone for Turkish Electricity Market and creation of currently used Day-Ahead Market system has been established which is deemed as biggest step towards formation of targeted electricity market structure. Establishment of Day-Ahead Market stimulated a new dynamism and vision for Turkish Electricity Market and allowed formation of market structure based on values of competition.</w:t>
      </w:r>
    </w:p>
    <w:p w:rsidR="004A69E4" w:rsidRPr="00422D1D" w:rsidRDefault="004A69E4" w:rsidP="004A69E4">
      <w:pPr>
        <w:shd w:val="clear" w:color="auto" w:fill="FFFFFF"/>
        <w:spacing w:line="360" w:lineRule="auto"/>
        <w:jc w:val="both"/>
        <w:rPr>
          <w:rFonts w:ascii="Times New Roman" w:eastAsia="Times New Roman" w:hAnsi="Times New Roman" w:cs="Times New Roman"/>
          <w:sz w:val="24"/>
          <w:szCs w:val="24"/>
        </w:rPr>
      </w:pPr>
      <w:r w:rsidRPr="00422D1D">
        <w:rPr>
          <w:rFonts w:ascii="Times New Roman" w:eastAsia="Times New Roman" w:hAnsi="Times New Roman" w:cs="Times New Roman"/>
          <w:sz w:val="24"/>
          <w:szCs w:val="24"/>
        </w:rPr>
        <w:t>With the new market structure, the collateral mechanism has been implemented and in this context, the market participants registered with MFSC must provide a guarantee to the market operator for the transactions they have made in DAM. In addition to this arrangement, it is possible for participants to create portfolios. Lastly, in the event that system constraints continue systematically, TEİAŞ is given the opportunity to switch to regional pricing by considering the constraints.</w:t>
      </w:r>
    </w:p>
    <w:p w:rsidR="004A69E4" w:rsidRPr="00422D1D" w:rsidRDefault="004A69E4" w:rsidP="004A69E4">
      <w:pPr>
        <w:spacing w:line="360" w:lineRule="auto"/>
        <w:jc w:val="both"/>
        <w:rPr>
          <w:rFonts w:ascii="Times New Roman" w:hAnsi="Times New Roman" w:cs="Times New Roman"/>
          <w:color w:val="555555"/>
          <w:sz w:val="20"/>
          <w:szCs w:val="20"/>
          <w:shd w:val="clear" w:color="auto" w:fill="FFFFFF"/>
        </w:rPr>
      </w:pPr>
      <w:r w:rsidRPr="00422D1D">
        <w:rPr>
          <w:rFonts w:ascii="Times New Roman" w:hAnsi="Times New Roman" w:cs="Times New Roman"/>
          <w:sz w:val="24"/>
          <w:szCs w:val="24"/>
          <w:shd w:val="clear" w:color="auto" w:fill="FFFFFF"/>
        </w:rPr>
        <w:lastRenderedPageBreak/>
        <w:t>Following the completion of the registration process on 18 March 2015, the Energy Exchange Istanbul (EXIST) was formally established, under the provisions of the Turkish Commercial Code of the 14.03.2013 dated and numbered 6446 with the Electricity Market Act of 6102</w:t>
      </w:r>
      <w:r w:rsidRPr="00422D1D">
        <w:rPr>
          <w:rFonts w:ascii="Times New Roman" w:hAnsi="Times New Roman" w:cs="Times New Roman"/>
          <w:color w:val="555555"/>
          <w:sz w:val="20"/>
          <w:szCs w:val="20"/>
          <w:shd w:val="clear" w:color="auto" w:fill="FFFFFF"/>
        </w:rPr>
        <w:t>.</w:t>
      </w:r>
    </w:p>
    <w:p w:rsidR="004A69E4" w:rsidRPr="00422D1D" w:rsidRDefault="004A69E4" w:rsidP="004A69E4">
      <w:pPr>
        <w:spacing w:line="360" w:lineRule="auto"/>
        <w:jc w:val="both"/>
        <w:rPr>
          <w:rFonts w:ascii="Times New Roman" w:hAnsi="Times New Roman" w:cs="Times New Roman"/>
          <w:sz w:val="24"/>
          <w:szCs w:val="24"/>
          <w:shd w:val="clear" w:color="auto" w:fill="FFFFFF"/>
        </w:rPr>
      </w:pPr>
      <w:r w:rsidRPr="00422D1D">
        <w:rPr>
          <w:rFonts w:ascii="Times New Roman" w:hAnsi="Times New Roman" w:cs="Times New Roman"/>
          <w:sz w:val="24"/>
          <w:szCs w:val="24"/>
          <w:shd w:val="clear" w:color="auto" w:fill="FFFFFF"/>
        </w:rPr>
        <w:t>In accordance with the proposals offered by the market participants in the Day-Ahead Market operated by EXIST, the market exchange prices and the purchase and sales quantities are announced.</w:t>
      </w:r>
    </w:p>
    <w:p w:rsidR="004A69E4" w:rsidRPr="00422D1D" w:rsidRDefault="004A69E4" w:rsidP="004A69E4">
      <w:pPr>
        <w:tabs>
          <w:tab w:val="left" w:pos="1103"/>
        </w:tabs>
        <w:spacing w:line="360" w:lineRule="auto"/>
        <w:jc w:val="both"/>
        <w:rPr>
          <w:rFonts w:ascii="Times New Roman" w:hAnsi="Times New Roman" w:cs="Times New Roman"/>
          <w:sz w:val="24"/>
        </w:rPr>
      </w:pPr>
      <w:r w:rsidRPr="00422D1D">
        <w:rPr>
          <w:rFonts w:ascii="Times New Roman" w:hAnsi="Times New Roman" w:cs="Times New Roman"/>
          <w:sz w:val="24"/>
        </w:rPr>
        <w:t xml:space="preserve">For the year 2018, prices of </w:t>
      </w:r>
      <w:r>
        <w:rPr>
          <w:rFonts w:ascii="Times New Roman" w:hAnsi="Times New Roman" w:cs="Times New Roman"/>
          <w:sz w:val="24"/>
        </w:rPr>
        <w:t>DAM</w:t>
      </w:r>
      <w:r w:rsidRPr="00422D1D">
        <w:rPr>
          <w:rFonts w:ascii="Times New Roman" w:hAnsi="Times New Roman" w:cs="Times New Roman"/>
          <w:sz w:val="24"/>
        </w:rPr>
        <w:t xml:space="preserve"> are given in Figure 2.1.1 and 2.1.2.</w:t>
      </w:r>
    </w:p>
    <w:p w:rsidR="004A69E4" w:rsidRPr="00422D1D" w:rsidRDefault="004A69E4" w:rsidP="004A69E4">
      <w:pPr>
        <w:tabs>
          <w:tab w:val="left" w:pos="1103"/>
        </w:tabs>
        <w:jc w:val="both"/>
        <w:rPr>
          <w:rFonts w:ascii="Times New Roman" w:hAnsi="Times New Roman" w:cs="Times New Roman"/>
          <w:sz w:val="24"/>
        </w:rPr>
      </w:pPr>
    </w:p>
    <w:p w:rsidR="004A69E4" w:rsidRPr="00422D1D" w:rsidRDefault="004A69E4" w:rsidP="004A69E4">
      <w:pPr>
        <w:pStyle w:val="Balk2"/>
      </w:pPr>
      <w:bookmarkStart w:id="384" w:name="_Toc520822102"/>
      <w:bookmarkStart w:id="385" w:name="_Toc10123859"/>
      <w:bookmarkStart w:id="386" w:name="_Toc12526235"/>
      <w:bookmarkStart w:id="387" w:name="_Toc12535868"/>
      <w:r w:rsidRPr="00422D1D">
        <w:t>Figure.2.1.1: Hourly Development of Weighted Average Market Clearing Price in 2018 (TL/MWh)</w:t>
      </w:r>
      <w:bookmarkEnd w:id="384"/>
      <w:bookmarkEnd w:id="385"/>
      <w:bookmarkEnd w:id="386"/>
      <w:bookmarkEnd w:id="387"/>
    </w:p>
    <w:p w:rsidR="004A69E4" w:rsidRPr="00422D1D" w:rsidRDefault="004A69E4" w:rsidP="004A69E4">
      <w:pPr>
        <w:tabs>
          <w:tab w:val="left" w:pos="1103"/>
        </w:tabs>
        <w:jc w:val="both"/>
        <w:rPr>
          <w:rFonts w:ascii="Times New Roman" w:hAnsi="Times New Roman" w:cs="Times New Roman"/>
          <w:sz w:val="24"/>
        </w:rPr>
      </w:pPr>
      <w:r>
        <w:rPr>
          <w:rFonts w:ascii="Times New Roman" w:hAnsi="Times New Roman" w:cs="Times New Roman"/>
          <w:noProof/>
          <w:sz w:val="24"/>
          <w:lang w:bidi="ar-SA"/>
        </w:rPr>
        <w:drawing>
          <wp:inline distT="0" distB="0" distL="0" distR="0" wp14:anchorId="6B398ADB" wp14:editId="1990F5C9">
            <wp:extent cx="5621020" cy="292036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21020" cy="2920365"/>
                    </a:xfrm>
                    <a:prstGeom prst="rect">
                      <a:avLst/>
                    </a:prstGeom>
                    <a:noFill/>
                  </pic:spPr>
                </pic:pic>
              </a:graphicData>
            </a:graphic>
          </wp:inline>
        </w:drawing>
      </w:r>
    </w:p>
    <w:p w:rsidR="004A69E4" w:rsidRPr="00422D1D" w:rsidRDefault="004A69E4" w:rsidP="004A69E4"/>
    <w:p w:rsidR="004A69E4" w:rsidRPr="00422D1D" w:rsidRDefault="004A69E4" w:rsidP="004A69E4">
      <w:pPr>
        <w:pStyle w:val="Balk2"/>
      </w:pPr>
      <w:bookmarkStart w:id="388" w:name="_Toc520822103"/>
      <w:bookmarkStart w:id="389" w:name="_Toc10123860"/>
      <w:bookmarkStart w:id="390" w:name="_Toc12526236"/>
      <w:bookmarkStart w:id="391" w:name="_Toc12535869"/>
      <w:r w:rsidRPr="00422D1D">
        <w:lastRenderedPageBreak/>
        <w:t xml:space="preserve">Figure </w:t>
      </w:r>
      <w:r w:rsidRPr="00422D1D">
        <w:rPr>
          <w:noProof/>
        </w:rPr>
        <w:fldChar w:fldCharType="begin"/>
      </w:r>
      <w:r w:rsidRPr="00422D1D">
        <w:rPr>
          <w:noProof/>
        </w:rPr>
        <w:instrText xml:space="preserve"> STYLEREF 1 \s </w:instrText>
      </w:r>
      <w:r w:rsidRPr="00422D1D">
        <w:rPr>
          <w:noProof/>
        </w:rPr>
        <w:fldChar w:fldCharType="separate"/>
      </w:r>
      <w:r w:rsidRPr="00422D1D">
        <w:rPr>
          <w:noProof/>
        </w:rPr>
        <w:t>2</w:t>
      </w:r>
      <w:r w:rsidRPr="00422D1D">
        <w:rPr>
          <w:noProof/>
        </w:rPr>
        <w:fldChar w:fldCharType="end"/>
      </w:r>
      <w:r w:rsidRPr="00422D1D">
        <w:t>.</w:t>
      </w:r>
      <w:r w:rsidRPr="00422D1D">
        <w:rPr>
          <w:noProof/>
        </w:rPr>
        <w:fldChar w:fldCharType="begin"/>
      </w:r>
      <w:r w:rsidRPr="00422D1D">
        <w:rPr>
          <w:noProof/>
        </w:rPr>
        <w:instrText xml:space="preserve"> SEQ Şekil \* ARABIC \s 1 </w:instrText>
      </w:r>
      <w:r w:rsidRPr="00422D1D">
        <w:rPr>
          <w:noProof/>
        </w:rPr>
        <w:fldChar w:fldCharType="separate"/>
      </w:r>
      <w:r w:rsidRPr="00422D1D">
        <w:rPr>
          <w:noProof/>
        </w:rPr>
        <w:t>1</w:t>
      </w:r>
      <w:r w:rsidRPr="00422D1D">
        <w:rPr>
          <w:noProof/>
        </w:rPr>
        <w:fldChar w:fldCharType="end"/>
      </w:r>
      <w:r w:rsidRPr="00422D1D">
        <w:t>.2: Organized Weighted Average MCP in 2018 (TL/MWh)</w:t>
      </w:r>
      <w:bookmarkEnd w:id="388"/>
      <w:bookmarkEnd w:id="389"/>
      <w:bookmarkEnd w:id="390"/>
      <w:bookmarkEnd w:id="391"/>
      <w:r w:rsidRPr="00422D1D">
        <w:t xml:space="preserve"> </w:t>
      </w:r>
    </w:p>
    <w:p w:rsidR="004A69E4" w:rsidRPr="00422D1D" w:rsidRDefault="004A69E4" w:rsidP="004A69E4">
      <w:pPr>
        <w:tabs>
          <w:tab w:val="left" w:pos="1103"/>
        </w:tabs>
        <w:jc w:val="center"/>
        <w:rPr>
          <w:rFonts w:ascii="Times New Roman" w:hAnsi="Times New Roman" w:cs="Times New Roman"/>
          <w:sz w:val="24"/>
        </w:rPr>
      </w:pPr>
      <w:r>
        <w:rPr>
          <w:rFonts w:ascii="Times New Roman" w:hAnsi="Times New Roman" w:cs="Times New Roman"/>
          <w:noProof/>
          <w:sz w:val="24"/>
          <w:lang w:bidi="ar-SA"/>
        </w:rPr>
        <w:drawing>
          <wp:inline distT="0" distB="0" distL="0" distR="0" wp14:anchorId="6931EE05" wp14:editId="3B851307">
            <wp:extent cx="5764530" cy="2977515"/>
            <wp:effectExtent l="0" t="0" r="762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4530" cy="2977515"/>
                    </a:xfrm>
                    <a:prstGeom prst="rect">
                      <a:avLst/>
                    </a:prstGeom>
                    <a:noFill/>
                    <a:ln>
                      <a:noFill/>
                    </a:ln>
                  </pic:spPr>
                </pic:pic>
              </a:graphicData>
            </a:graphic>
          </wp:inline>
        </w:drawing>
      </w:r>
    </w:p>
    <w:p w:rsidR="004A69E4" w:rsidRPr="00422D1D" w:rsidRDefault="004A69E4" w:rsidP="004A69E4">
      <w:pPr>
        <w:tabs>
          <w:tab w:val="left" w:pos="1103"/>
        </w:tabs>
        <w:jc w:val="both"/>
        <w:rPr>
          <w:rFonts w:ascii="Times New Roman" w:hAnsi="Times New Roman" w:cs="Times New Roman"/>
          <w:sz w:val="24"/>
        </w:rPr>
      </w:pPr>
    </w:p>
    <w:p w:rsidR="004A69E4" w:rsidRPr="00422D1D" w:rsidRDefault="004A69E4" w:rsidP="004A69E4">
      <w:pPr>
        <w:tabs>
          <w:tab w:val="left" w:pos="1103"/>
        </w:tabs>
        <w:spacing w:line="360" w:lineRule="auto"/>
        <w:jc w:val="both"/>
        <w:rPr>
          <w:rFonts w:ascii="Times New Roman" w:hAnsi="Times New Roman" w:cs="Times New Roman"/>
          <w:sz w:val="24"/>
        </w:rPr>
      </w:pPr>
      <w:r w:rsidRPr="00422D1D">
        <w:rPr>
          <w:rFonts w:ascii="Times New Roman" w:hAnsi="Times New Roman" w:cs="Times New Roman"/>
          <w:sz w:val="24"/>
        </w:rPr>
        <w:t xml:space="preserve">As shown in the figures, the prices were generally in the range of 150-350 TL / MWh. The highest value of the price reached 375,79 TL / MWh on </w:t>
      </w:r>
      <w:r>
        <w:rPr>
          <w:rFonts w:ascii="Times New Roman" w:hAnsi="Times New Roman" w:cs="Times New Roman"/>
          <w:sz w:val="24"/>
        </w:rPr>
        <w:t xml:space="preserve">4 September </w:t>
      </w:r>
      <w:r w:rsidRPr="00422D1D">
        <w:rPr>
          <w:rFonts w:ascii="Times New Roman" w:hAnsi="Times New Roman" w:cs="Times New Roman"/>
          <w:sz w:val="24"/>
        </w:rPr>
        <w:t xml:space="preserve"> 2018 at 16:00. On 17 March 2018, PTF was reached as 0 TL / MWh for a total of four hours. </w:t>
      </w:r>
    </w:p>
    <w:p w:rsidR="004A69E4" w:rsidRPr="00BC048D" w:rsidRDefault="004A69E4" w:rsidP="004A69E4">
      <w:pPr>
        <w:spacing w:line="360" w:lineRule="auto"/>
        <w:jc w:val="both"/>
        <w:rPr>
          <w:rFonts w:ascii="Times New Roman" w:eastAsiaTheme="minorEastAsia" w:hAnsi="Times New Roman" w:cs="Times New Roman"/>
          <w:sz w:val="24"/>
          <w:szCs w:val="24"/>
        </w:rPr>
      </w:pPr>
      <w:r w:rsidRPr="00422D1D">
        <w:rPr>
          <w:rFonts w:ascii="Times New Roman" w:eastAsia="Times New Roman" w:hAnsi="Times New Roman" w:cs="Times New Roman"/>
          <w:sz w:val="24"/>
          <w:szCs w:val="24"/>
        </w:rPr>
        <w:t xml:space="preserve">In Figure 2.1.3, the weighted average MCP is given in Day-Ahead Market by years. In 2018, the weighted average of the MCP increased by 38,65% compared to 2017 and reached </w:t>
      </w:r>
      <w:r w:rsidRPr="00422D1D">
        <w:rPr>
          <w:rFonts w:ascii="Times New Roman" w:eastAsiaTheme="minorEastAsia" w:hAnsi="Times New Roman" w:cs="Times New Roman"/>
          <w:sz w:val="24"/>
          <w:szCs w:val="24"/>
        </w:rPr>
        <w:t>233,101 TL/MWh.</w:t>
      </w:r>
      <w:bookmarkStart w:id="392" w:name="_Toc487101636"/>
      <w:bookmarkStart w:id="393" w:name="_Toc512430977"/>
    </w:p>
    <w:p w:rsidR="004A69E4" w:rsidRPr="00422D1D" w:rsidRDefault="004A69E4" w:rsidP="004A69E4">
      <w:pPr>
        <w:pStyle w:val="Balk2"/>
        <w:rPr>
          <w:caps/>
          <w:sz w:val="16"/>
          <w:szCs w:val="18"/>
        </w:rPr>
      </w:pPr>
      <w:bookmarkStart w:id="394" w:name="_Toc520822104"/>
      <w:bookmarkStart w:id="395" w:name="_Toc10123861"/>
      <w:bookmarkStart w:id="396" w:name="_Toc12526237"/>
      <w:bookmarkStart w:id="397" w:name="_Toc12535870"/>
      <w:r w:rsidRPr="00422D1D">
        <w:t xml:space="preserve">Figure </w:t>
      </w:r>
      <w:r w:rsidRPr="00422D1D">
        <w:rPr>
          <w:noProof/>
        </w:rPr>
        <w:fldChar w:fldCharType="begin"/>
      </w:r>
      <w:r w:rsidRPr="00422D1D">
        <w:rPr>
          <w:noProof/>
        </w:rPr>
        <w:instrText xml:space="preserve"> STYLEREF 1 \s </w:instrText>
      </w:r>
      <w:r w:rsidRPr="00422D1D">
        <w:rPr>
          <w:noProof/>
        </w:rPr>
        <w:fldChar w:fldCharType="separate"/>
      </w:r>
      <w:r w:rsidRPr="00422D1D">
        <w:rPr>
          <w:noProof/>
        </w:rPr>
        <w:t>2</w:t>
      </w:r>
      <w:r w:rsidRPr="00422D1D">
        <w:rPr>
          <w:noProof/>
        </w:rPr>
        <w:fldChar w:fldCharType="end"/>
      </w:r>
      <w:r w:rsidRPr="00422D1D">
        <w:t xml:space="preserve">.1.3: </w:t>
      </w:r>
      <w:bookmarkEnd w:id="392"/>
      <w:bookmarkEnd w:id="393"/>
      <w:r w:rsidRPr="00422D1D">
        <w:t>Weighted Average MCP by Years (TL/MWh)</w:t>
      </w:r>
      <w:bookmarkEnd w:id="394"/>
      <w:bookmarkEnd w:id="395"/>
      <w:bookmarkEnd w:id="396"/>
      <w:bookmarkEnd w:id="397"/>
    </w:p>
    <w:p w:rsidR="004A69E4" w:rsidRPr="00422D1D" w:rsidRDefault="004A69E4" w:rsidP="004A69E4">
      <w:pPr>
        <w:tabs>
          <w:tab w:val="left" w:pos="1103"/>
        </w:tabs>
        <w:jc w:val="both"/>
        <w:rPr>
          <w:rFonts w:ascii="Times New Roman" w:hAnsi="Times New Roman" w:cs="Times New Roman"/>
          <w:sz w:val="24"/>
        </w:rPr>
      </w:pPr>
      <w:r w:rsidRPr="00422D1D">
        <w:rPr>
          <w:rFonts w:ascii="Times New Roman" w:hAnsi="Times New Roman" w:cs="Times New Roman"/>
          <w:noProof/>
          <w:sz w:val="24"/>
          <w:lang w:bidi="ar-SA"/>
        </w:rPr>
        <w:drawing>
          <wp:inline distT="0" distB="0" distL="0" distR="0" wp14:anchorId="7B37CBE1" wp14:editId="26957CDD">
            <wp:extent cx="5852160" cy="301752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52160" cy="3017520"/>
                    </a:xfrm>
                    <a:prstGeom prst="rect">
                      <a:avLst/>
                    </a:prstGeom>
                    <a:noFill/>
                    <a:ln>
                      <a:noFill/>
                    </a:ln>
                  </pic:spPr>
                </pic:pic>
              </a:graphicData>
            </a:graphic>
          </wp:inline>
        </w:drawing>
      </w:r>
    </w:p>
    <w:p w:rsidR="004A69E4" w:rsidRPr="00422D1D" w:rsidRDefault="004A69E4" w:rsidP="004A69E4">
      <w:pPr>
        <w:tabs>
          <w:tab w:val="left" w:pos="1103"/>
        </w:tabs>
        <w:jc w:val="both"/>
        <w:rPr>
          <w:rFonts w:ascii="Times New Roman" w:hAnsi="Times New Roman" w:cs="Times New Roman"/>
          <w:sz w:val="24"/>
        </w:rPr>
      </w:pPr>
    </w:p>
    <w:p w:rsidR="004A69E4" w:rsidRPr="00422D1D" w:rsidRDefault="004A69E4" w:rsidP="004A69E4">
      <w:pPr>
        <w:spacing w:line="360" w:lineRule="auto"/>
        <w:jc w:val="both"/>
        <w:rPr>
          <w:rFonts w:ascii="Times New Roman" w:eastAsiaTheme="minorEastAsia" w:hAnsi="Times New Roman" w:cs="Times New Roman"/>
          <w:sz w:val="24"/>
          <w:szCs w:val="24"/>
        </w:rPr>
      </w:pPr>
      <w:r w:rsidRPr="00422D1D">
        <w:rPr>
          <w:rFonts w:ascii="Times New Roman" w:hAnsi="Times New Roman" w:cs="Times New Roman"/>
          <w:sz w:val="24"/>
          <w:szCs w:val="24"/>
          <w:shd w:val="clear" w:color="auto" w:fill="FFFFFF"/>
        </w:rPr>
        <w:lastRenderedPageBreak/>
        <w:t xml:space="preserve">Figure 2.1.4 shows the monthly weighted average MCP for 2017 and 2018. In 2018, the average monthly price was the highest value of </w:t>
      </w:r>
      <w:r w:rsidRPr="00422D1D">
        <w:rPr>
          <w:rFonts w:ascii="Times New Roman" w:eastAsiaTheme="minorEastAsia" w:hAnsi="Times New Roman" w:cs="Times New Roman"/>
          <w:sz w:val="24"/>
          <w:szCs w:val="24"/>
        </w:rPr>
        <w:t xml:space="preserve">331,813 TL/MWh in September, and the lowest value of 160,782 TL/MWh in March. </w:t>
      </w:r>
    </w:p>
    <w:p w:rsidR="004A69E4" w:rsidRPr="00422D1D" w:rsidRDefault="004A69E4" w:rsidP="004A69E4">
      <w:pPr>
        <w:shd w:val="clear" w:color="auto" w:fill="FFFFFF"/>
        <w:spacing w:line="360" w:lineRule="auto"/>
        <w:jc w:val="both"/>
        <w:rPr>
          <w:rFonts w:ascii="Times New Roman" w:eastAsia="Times New Roman" w:hAnsi="Times New Roman" w:cs="Times New Roman"/>
          <w:sz w:val="24"/>
          <w:szCs w:val="24"/>
        </w:rPr>
      </w:pPr>
      <w:r w:rsidRPr="00422D1D">
        <w:rPr>
          <w:rFonts w:ascii="Times New Roman" w:eastAsia="Times New Roman" w:hAnsi="Times New Roman" w:cs="Times New Roman"/>
          <w:sz w:val="24"/>
          <w:szCs w:val="24"/>
        </w:rPr>
        <w:t>As shown in tables and figures in the first chapter, monthly electricity consumption falls with the softening of the air during the spring and autumn months. In addition, in the spring months, the water capacity of hydroelectric power plants</w:t>
      </w:r>
      <w:r>
        <w:rPr>
          <w:rFonts w:ascii="Times New Roman" w:eastAsia="Times New Roman" w:hAnsi="Times New Roman" w:cs="Times New Roman"/>
          <w:sz w:val="24"/>
          <w:szCs w:val="24"/>
        </w:rPr>
        <w:t xml:space="preserve"> </w:t>
      </w:r>
      <w:r w:rsidRPr="00422D1D">
        <w:rPr>
          <w:rFonts w:ascii="Times New Roman" w:eastAsia="Times New Roman" w:hAnsi="Times New Roman" w:cs="Times New Roman"/>
          <w:sz w:val="24"/>
          <w:szCs w:val="24"/>
        </w:rPr>
        <w:t>increased and the lowest prices of the year are generally seen in spring time.</w:t>
      </w:r>
    </w:p>
    <w:p w:rsidR="004A69E4" w:rsidRPr="00422D1D" w:rsidRDefault="004A69E4" w:rsidP="004A69E4">
      <w:pPr>
        <w:spacing w:line="360" w:lineRule="auto"/>
        <w:jc w:val="both"/>
        <w:rPr>
          <w:rFonts w:ascii="Times New Roman" w:eastAsiaTheme="minorEastAsia" w:hAnsi="Times New Roman" w:cs="Times New Roman"/>
          <w:sz w:val="24"/>
          <w:szCs w:val="24"/>
        </w:rPr>
      </w:pPr>
      <w:r w:rsidRPr="00422D1D">
        <w:rPr>
          <w:rFonts w:ascii="Times New Roman" w:hAnsi="Times New Roman" w:cs="Times New Roman"/>
          <w:sz w:val="24"/>
          <w:szCs w:val="24"/>
          <w:shd w:val="clear" w:color="auto" w:fill="FFFFFF"/>
        </w:rPr>
        <w:t>On the other hand, due to air conditioning and consumption of agricultural irrigation in the summer months and the need for warming and enlightenment in the winter, electricity demand increases and the increase in the average prices in parallel to the increase in consumption is observed.</w:t>
      </w:r>
    </w:p>
    <w:p w:rsidR="004A69E4" w:rsidRPr="00422D1D" w:rsidRDefault="004A69E4" w:rsidP="004A69E4">
      <w:bookmarkStart w:id="398" w:name="_Toc487101637"/>
      <w:bookmarkStart w:id="399" w:name="_Toc512430978"/>
    </w:p>
    <w:p w:rsidR="004A69E4" w:rsidRPr="00422D1D" w:rsidRDefault="004A69E4" w:rsidP="004A69E4">
      <w:pPr>
        <w:pStyle w:val="Balk2"/>
      </w:pPr>
      <w:bookmarkStart w:id="400" w:name="_Toc520822105"/>
      <w:bookmarkStart w:id="401" w:name="_Toc10123862"/>
      <w:bookmarkStart w:id="402" w:name="_Toc12526238"/>
      <w:bookmarkStart w:id="403" w:name="_Toc12535871"/>
      <w:r w:rsidRPr="00422D1D">
        <w:t xml:space="preserve">Figure </w:t>
      </w:r>
      <w:r w:rsidRPr="00422D1D">
        <w:rPr>
          <w:noProof/>
        </w:rPr>
        <w:fldChar w:fldCharType="begin"/>
      </w:r>
      <w:r w:rsidRPr="00422D1D">
        <w:rPr>
          <w:noProof/>
        </w:rPr>
        <w:instrText xml:space="preserve"> STYLEREF 1 \s </w:instrText>
      </w:r>
      <w:r w:rsidRPr="00422D1D">
        <w:rPr>
          <w:noProof/>
        </w:rPr>
        <w:fldChar w:fldCharType="separate"/>
      </w:r>
      <w:r w:rsidRPr="00422D1D">
        <w:rPr>
          <w:noProof/>
        </w:rPr>
        <w:t>2</w:t>
      </w:r>
      <w:r w:rsidRPr="00422D1D">
        <w:rPr>
          <w:noProof/>
        </w:rPr>
        <w:fldChar w:fldCharType="end"/>
      </w:r>
      <w:r w:rsidRPr="00422D1D">
        <w:t>.1.4: Monthly Weighted Average MCP of the Last Two Years (TL/MWh)</w:t>
      </w:r>
      <w:bookmarkEnd w:id="398"/>
      <w:bookmarkEnd w:id="399"/>
      <w:bookmarkEnd w:id="400"/>
      <w:bookmarkEnd w:id="401"/>
      <w:bookmarkEnd w:id="402"/>
      <w:bookmarkEnd w:id="403"/>
    </w:p>
    <w:p w:rsidR="004A69E4" w:rsidRPr="00422D1D" w:rsidRDefault="004A69E4" w:rsidP="004A69E4">
      <w:pPr>
        <w:tabs>
          <w:tab w:val="left" w:pos="1103"/>
        </w:tabs>
        <w:jc w:val="both"/>
        <w:rPr>
          <w:rFonts w:ascii="Times New Roman" w:hAnsi="Times New Roman" w:cs="Times New Roman"/>
          <w:sz w:val="24"/>
        </w:rPr>
      </w:pPr>
      <w:r>
        <w:rPr>
          <w:rFonts w:ascii="Times New Roman" w:hAnsi="Times New Roman" w:cs="Times New Roman"/>
          <w:noProof/>
          <w:sz w:val="24"/>
          <w:lang w:bidi="ar-SA"/>
        </w:rPr>
        <w:drawing>
          <wp:inline distT="0" distB="0" distL="0" distR="0" wp14:anchorId="4FE3E301" wp14:editId="74888A75">
            <wp:extent cx="5713095" cy="3028315"/>
            <wp:effectExtent l="0" t="0" r="1905" b="63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3095" cy="3028315"/>
                    </a:xfrm>
                    <a:prstGeom prst="rect">
                      <a:avLst/>
                    </a:prstGeom>
                    <a:noFill/>
                    <a:ln>
                      <a:noFill/>
                    </a:ln>
                  </pic:spPr>
                </pic:pic>
              </a:graphicData>
            </a:graphic>
          </wp:inline>
        </w:drawing>
      </w:r>
    </w:p>
    <w:p w:rsidR="004A69E4" w:rsidRPr="00422D1D" w:rsidRDefault="004A69E4" w:rsidP="004A69E4">
      <w:pPr>
        <w:jc w:val="both"/>
        <w:rPr>
          <w:rFonts w:ascii="Times New Roman" w:hAnsi="Times New Roman" w:cs="Times New Roman"/>
          <w:sz w:val="24"/>
        </w:rPr>
      </w:pPr>
    </w:p>
    <w:p w:rsidR="004A69E4" w:rsidRPr="00422D1D" w:rsidRDefault="004A69E4" w:rsidP="004A69E4">
      <w:pPr>
        <w:spacing w:line="360" w:lineRule="auto"/>
        <w:jc w:val="both"/>
        <w:rPr>
          <w:rFonts w:ascii="Times New Roman" w:hAnsi="Times New Roman" w:cs="Times New Roman"/>
          <w:sz w:val="24"/>
          <w:szCs w:val="24"/>
          <w:shd w:val="clear" w:color="auto" w:fill="FFFFFF"/>
        </w:rPr>
      </w:pPr>
      <w:r w:rsidRPr="00422D1D">
        <w:rPr>
          <w:rFonts w:ascii="Times New Roman" w:hAnsi="Times New Roman" w:cs="Times New Roman"/>
          <w:sz w:val="24"/>
          <w:szCs w:val="24"/>
          <w:shd w:val="clear" w:color="auto" w:fill="FFFFFF"/>
        </w:rPr>
        <w:t>The following figure 2.1.5 shows the trading volume in the DAM by months, the distribution of the quantities of DAM buying in Figure 2.1.6 and the share of the top 10 companies, the distribution of sales quantities in Figure 2.1.7 and the share of the top 10 company.</w:t>
      </w:r>
    </w:p>
    <w:p w:rsidR="004A69E4" w:rsidRPr="00422D1D" w:rsidRDefault="004A69E4" w:rsidP="004A69E4">
      <w:pPr>
        <w:pStyle w:val="Balk2"/>
      </w:pPr>
      <w:bookmarkStart w:id="404" w:name="_Toc487101638"/>
      <w:bookmarkStart w:id="405" w:name="_Toc512430979"/>
      <w:bookmarkStart w:id="406" w:name="_Toc520822106"/>
      <w:bookmarkStart w:id="407" w:name="_Toc10123863"/>
      <w:bookmarkStart w:id="408" w:name="_Toc12526239"/>
      <w:bookmarkStart w:id="409" w:name="_Toc12535872"/>
      <w:r w:rsidRPr="00422D1D">
        <w:lastRenderedPageBreak/>
        <w:t xml:space="preserve">Figure </w:t>
      </w:r>
      <w:r w:rsidRPr="00422D1D">
        <w:rPr>
          <w:noProof/>
        </w:rPr>
        <w:fldChar w:fldCharType="begin"/>
      </w:r>
      <w:r w:rsidRPr="00422D1D">
        <w:rPr>
          <w:noProof/>
        </w:rPr>
        <w:instrText xml:space="preserve"> STYLEREF 1 \s </w:instrText>
      </w:r>
      <w:r w:rsidRPr="00422D1D">
        <w:rPr>
          <w:noProof/>
        </w:rPr>
        <w:fldChar w:fldCharType="separate"/>
      </w:r>
      <w:r w:rsidRPr="00422D1D">
        <w:rPr>
          <w:noProof/>
        </w:rPr>
        <w:t>2</w:t>
      </w:r>
      <w:r w:rsidRPr="00422D1D">
        <w:rPr>
          <w:noProof/>
        </w:rPr>
        <w:fldChar w:fldCharType="end"/>
      </w:r>
      <w:r w:rsidRPr="00422D1D">
        <w:t xml:space="preserve">.1.5: </w:t>
      </w:r>
      <w:bookmarkEnd w:id="404"/>
      <w:bookmarkEnd w:id="405"/>
      <w:r w:rsidRPr="00422D1D">
        <w:t>Monthly Day-Ahead Market Trading Volume (MWh)</w:t>
      </w:r>
      <w:bookmarkEnd w:id="406"/>
      <w:bookmarkEnd w:id="407"/>
      <w:bookmarkEnd w:id="408"/>
      <w:bookmarkEnd w:id="409"/>
    </w:p>
    <w:p w:rsidR="004A69E4" w:rsidRDefault="004A69E4" w:rsidP="004A69E4">
      <w:pPr>
        <w:jc w:val="center"/>
        <w:rPr>
          <w:rFonts w:ascii="Times New Roman" w:hAnsi="Times New Roman" w:cs="Times New Roman"/>
          <w:sz w:val="24"/>
        </w:rPr>
      </w:pPr>
      <w:r>
        <w:rPr>
          <w:rFonts w:ascii="Times New Roman" w:hAnsi="Times New Roman" w:cs="Times New Roman"/>
          <w:noProof/>
          <w:sz w:val="24"/>
          <w:lang w:bidi="ar-SA"/>
        </w:rPr>
        <w:drawing>
          <wp:inline distT="0" distB="0" distL="0" distR="0" wp14:anchorId="35349654" wp14:editId="3D77D6AE">
            <wp:extent cx="5114365" cy="3552825"/>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20640" cy="3557184"/>
                    </a:xfrm>
                    <a:prstGeom prst="rect">
                      <a:avLst/>
                    </a:prstGeom>
                    <a:noFill/>
                    <a:ln>
                      <a:noFill/>
                    </a:ln>
                  </pic:spPr>
                </pic:pic>
              </a:graphicData>
            </a:graphic>
          </wp:inline>
        </w:drawing>
      </w:r>
    </w:p>
    <w:p w:rsidR="004A69E4" w:rsidRDefault="004A69E4" w:rsidP="004A69E4">
      <w:pPr>
        <w:jc w:val="center"/>
        <w:rPr>
          <w:rFonts w:ascii="Times New Roman" w:hAnsi="Times New Roman" w:cs="Times New Roman"/>
          <w:sz w:val="24"/>
        </w:rPr>
      </w:pPr>
    </w:p>
    <w:p w:rsidR="004A69E4" w:rsidRDefault="004A69E4" w:rsidP="004A69E4">
      <w:pPr>
        <w:jc w:val="center"/>
        <w:rPr>
          <w:rFonts w:ascii="Times New Roman" w:hAnsi="Times New Roman" w:cs="Times New Roman"/>
          <w:sz w:val="24"/>
        </w:rPr>
      </w:pPr>
    </w:p>
    <w:p w:rsidR="004A69E4" w:rsidRDefault="004A69E4" w:rsidP="004A69E4">
      <w:pPr>
        <w:jc w:val="center"/>
        <w:rPr>
          <w:rFonts w:ascii="Times New Roman" w:hAnsi="Times New Roman" w:cs="Times New Roman"/>
          <w:sz w:val="24"/>
        </w:rPr>
      </w:pPr>
    </w:p>
    <w:p w:rsidR="004A69E4" w:rsidRPr="00422D1D" w:rsidRDefault="004A69E4" w:rsidP="004A69E4">
      <w:pPr>
        <w:jc w:val="center"/>
        <w:rPr>
          <w:rFonts w:ascii="Times New Roman" w:hAnsi="Times New Roman" w:cs="Times New Roman"/>
          <w:sz w:val="24"/>
        </w:rPr>
      </w:pPr>
    </w:p>
    <w:p w:rsidR="004A69E4" w:rsidRPr="00422D1D" w:rsidRDefault="004A69E4" w:rsidP="004A69E4">
      <w:pPr>
        <w:pStyle w:val="Balk2"/>
      </w:pPr>
      <w:bookmarkStart w:id="410" w:name="_Toc487101639"/>
      <w:bookmarkStart w:id="411" w:name="_Toc512430980"/>
      <w:bookmarkStart w:id="412" w:name="_Toc520822107"/>
      <w:bookmarkStart w:id="413" w:name="_Toc10123864"/>
      <w:bookmarkStart w:id="414" w:name="_Toc12526240"/>
      <w:bookmarkStart w:id="415" w:name="_Toc12535873"/>
      <w:r w:rsidRPr="00422D1D">
        <w:t xml:space="preserve">Figure </w:t>
      </w:r>
      <w:r w:rsidRPr="00422D1D">
        <w:rPr>
          <w:noProof/>
        </w:rPr>
        <w:fldChar w:fldCharType="begin"/>
      </w:r>
      <w:r w:rsidRPr="00422D1D">
        <w:rPr>
          <w:noProof/>
        </w:rPr>
        <w:instrText xml:space="preserve"> STYLEREF 1 \s </w:instrText>
      </w:r>
      <w:r w:rsidRPr="00422D1D">
        <w:rPr>
          <w:noProof/>
        </w:rPr>
        <w:fldChar w:fldCharType="separate"/>
      </w:r>
      <w:r w:rsidRPr="00422D1D">
        <w:rPr>
          <w:noProof/>
        </w:rPr>
        <w:t>2</w:t>
      </w:r>
      <w:r w:rsidRPr="00422D1D">
        <w:rPr>
          <w:noProof/>
        </w:rPr>
        <w:fldChar w:fldCharType="end"/>
      </w:r>
      <w:r w:rsidRPr="00422D1D">
        <w:t xml:space="preserve">.1.6: </w:t>
      </w:r>
      <w:bookmarkEnd w:id="410"/>
      <w:bookmarkEnd w:id="411"/>
      <w:r w:rsidRPr="00422D1D">
        <w:t>The Share of Top 10 Buyer Companies in Day-Ahead Market (%)</w:t>
      </w:r>
      <w:bookmarkEnd w:id="412"/>
      <w:bookmarkEnd w:id="413"/>
      <w:bookmarkEnd w:id="414"/>
      <w:bookmarkEnd w:id="415"/>
    </w:p>
    <w:p w:rsidR="004A69E4" w:rsidRPr="00422D1D" w:rsidRDefault="004A69E4" w:rsidP="004A69E4">
      <w:pPr>
        <w:tabs>
          <w:tab w:val="left" w:pos="6346"/>
        </w:tabs>
        <w:jc w:val="both"/>
        <w:rPr>
          <w:rFonts w:ascii="Times New Roman" w:hAnsi="Times New Roman" w:cs="Times New Roman"/>
          <w:sz w:val="24"/>
        </w:rPr>
      </w:pPr>
      <w:r>
        <w:rPr>
          <w:rFonts w:ascii="Times New Roman" w:hAnsi="Times New Roman" w:cs="Times New Roman"/>
          <w:noProof/>
          <w:sz w:val="24"/>
          <w:lang w:bidi="ar-SA"/>
        </w:rPr>
        <w:drawing>
          <wp:inline distT="0" distB="0" distL="0" distR="0" wp14:anchorId="39739399" wp14:editId="21F22BE0">
            <wp:extent cx="5753099" cy="3657600"/>
            <wp:effectExtent l="0" t="0" r="63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6910" cy="3660023"/>
                    </a:xfrm>
                    <a:prstGeom prst="rect">
                      <a:avLst/>
                    </a:prstGeom>
                    <a:noFill/>
                    <a:ln>
                      <a:noFill/>
                    </a:ln>
                  </pic:spPr>
                </pic:pic>
              </a:graphicData>
            </a:graphic>
          </wp:inline>
        </w:drawing>
      </w:r>
    </w:p>
    <w:p w:rsidR="004A69E4" w:rsidRPr="00422D1D" w:rsidRDefault="004A69E4" w:rsidP="004A69E4">
      <w:pPr>
        <w:tabs>
          <w:tab w:val="left" w:pos="6346"/>
        </w:tabs>
        <w:jc w:val="both"/>
        <w:rPr>
          <w:rFonts w:ascii="Times New Roman" w:hAnsi="Times New Roman" w:cs="Times New Roman"/>
          <w:sz w:val="24"/>
        </w:rPr>
      </w:pPr>
    </w:p>
    <w:p w:rsidR="004A69E4" w:rsidRPr="00422D1D" w:rsidRDefault="004A69E4" w:rsidP="004A69E4">
      <w:pPr>
        <w:tabs>
          <w:tab w:val="left" w:pos="6346"/>
        </w:tabs>
        <w:jc w:val="both"/>
        <w:rPr>
          <w:rFonts w:ascii="Times New Roman" w:hAnsi="Times New Roman" w:cs="Times New Roman"/>
          <w:sz w:val="24"/>
        </w:rPr>
      </w:pPr>
    </w:p>
    <w:p w:rsidR="004A69E4" w:rsidRPr="00422D1D" w:rsidRDefault="004A69E4" w:rsidP="004A69E4">
      <w:pPr>
        <w:pStyle w:val="Balk2"/>
      </w:pPr>
      <w:bookmarkStart w:id="416" w:name="_Toc487101640"/>
      <w:bookmarkStart w:id="417" w:name="_Toc512430981"/>
      <w:bookmarkStart w:id="418" w:name="_Toc520822108"/>
      <w:bookmarkStart w:id="419" w:name="_Toc10123865"/>
      <w:bookmarkStart w:id="420" w:name="_Toc12526241"/>
      <w:bookmarkStart w:id="421" w:name="_Toc12535874"/>
      <w:r w:rsidRPr="00422D1D">
        <w:t xml:space="preserve">Figure </w:t>
      </w:r>
      <w:r w:rsidRPr="00422D1D">
        <w:rPr>
          <w:noProof/>
        </w:rPr>
        <w:fldChar w:fldCharType="begin"/>
      </w:r>
      <w:r w:rsidRPr="00422D1D">
        <w:rPr>
          <w:noProof/>
        </w:rPr>
        <w:instrText xml:space="preserve"> STYLEREF 1 \s </w:instrText>
      </w:r>
      <w:r w:rsidRPr="00422D1D">
        <w:rPr>
          <w:noProof/>
        </w:rPr>
        <w:fldChar w:fldCharType="separate"/>
      </w:r>
      <w:r w:rsidRPr="00422D1D">
        <w:rPr>
          <w:noProof/>
        </w:rPr>
        <w:t>2</w:t>
      </w:r>
      <w:r w:rsidRPr="00422D1D">
        <w:rPr>
          <w:noProof/>
        </w:rPr>
        <w:fldChar w:fldCharType="end"/>
      </w:r>
      <w:r w:rsidRPr="00422D1D">
        <w:t xml:space="preserve">.1.7: </w:t>
      </w:r>
      <w:bookmarkEnd w:id="416"/>
      <w:bookmarkEnd w:id="417"/>
      <w:r w:rsidRPr="00422D1D">
        <w:t>The Share of Top 10 Seller Companies in Balancing Power Market (%)</w:t>
      </w:r>
      <w:bookmarkEnd w:id="418"/>
      <w:bookmarkEnd w:id="419"/>
      <w:bookmarkEnd w:id="420"/>
      <w:bookmarkEnd w:id="421"/>
    </w:p>
    <w:p w:rsidR="004A69E4" w:rsidRPr="00422D1D" w:rsidRDefault="004A69E4" w:rsidP="004A69E4">
      <w:pPr>
        <w:tabs>
          <w:tab w:val="left" w:pos="6346"/>
        </w:tabs>
        <w:jc w:val="both"/>
        <w:rPr>
          <w:rFonts w:ascii="Times New Roman" w:hAnsi="Times New Roman" w:cs="Times New Roman"/>
          <w:sz w:val="24"/>
        </w:rPr>
      </w:pPr>
      <w:r>
        <w:rPr>
          <w:rFonts w:ascii="Times New Roman" w:hAnsi="Times New Roman" w:cs="Times New Roman"/>
          <w:noProof/>
          <w:sz w:val="24"/>
          <w:lang w:bidi="ar-SA"/>
        </w:rPr>
        <w:drawing>
          <wp:inline distT="0" distB="0" distL="0" distR="0" wp14:anchorId="6289FB4D" wp14:editId="627AAB63">
            <wp:extent cx="5753100" cy="3381375"/>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56910" cy="3383614"/>
                    </a:xfrm>
                    <a:prstGeom prst="rect">
                      <a:avLst/>
                    </a:prstGeom>
                    <a:noFill/>
                    <a:ln>
                      <a:noFill/>
                    </a:ln>
                  </pic:spPr>
                </pic:pic>
              </a:graphicData>
            </a:graphic>
          </wp:inline>
        </w:drawing>
      </w:r>
      <w:r w:rsidRPr="00422D1D">
        <w:rPr>
          <w:rFonts w:ascii="Times New Roman" w:hAnsi="Times New Roman" w:cs="Times New Roman"/>
          <w:sz w:val="24"/>
        </w:rPr>
        <w:tab/>
      </w:r>
    </w:p>
    <w:p w:rsidR="004A69E4" w:rsidRDefault="004A69E4" w:rsidP="004A69E4">
      <w:pPr>
        <w:spacing w:line="276" w:lineRule="auto"/>
        <w:jc w:val="both"/>
        <w:rPr>
          <w:rFonts w:ascii="Times New Roman" w:hAnsi="Times New Roman"/>
          <w:b/>
          <w:sz w:val="24"/>
          <w:szCs w:val="32"/>
          <w:lang w:bidi="ar-SA"/>
        </w:rPr>
      </w:pPr>
      <w:r>
        <w:br w:type="page"/>
      </w:r>
    </w:p>
    <w:p w:rsidR="004A69E4" w:rsidRDefault="004A69E4" w:rsidP="004A69E4">
      <w:pPr>
        <w:pStyle w:val="BALIKLAR"/>
        <w:spacing w:line="360" w:lineRule="auto"/>
        <w:jc w:val="both"/>
      </w:pPr>
      <w:bookmarkStart w:id="422" w:name="_Toc12528944"/>
      <w:r>
        <w:lastRenderedPageBreak/>
        <w:t>2.2 Balancing Power Market</w:t>
      </w:r>
      <w:bookmarkEnd w:id="422"/>
      <w:r>
        <w:t xml:space="preserve">  </w:t>
      </w:r>
    </w:p>
    <w:p w:rsidR="004C7560" w:rsidRDefault="004C7560" w:rsidP="004A69E4">
      <w:pPr>
        <w:spacing w:line="360" w:lineRule="auto"/>
        <w:jc w:val="both"/>
        <w:rPr>
          <w:rFonts w:asciiTheme="minorHAnsi" w:eastAsia="Times New Roman" w:hAnsiTheme="minorHAnsi" w:cstheme="minorHAnsi"/>
          <w:sz w:val="24"/>
          <w:szCs w:val="24"/>
          <w:lang w:bidi="ar-SA"/>
        </w:rPr>
      </w:pPr>
    </w:p>
    <w:p w:rsidR="004A69E4" w:rsidRPr="004C7560" w:rsidRDefault="004A69E4" w:rsidP="004A69E4">
      <w:pPr>
        <w:spacing w:line="360" w:lineRule="auto"/>
        <w:jc w:val="both"/>
        <w:rPr>
          <w:rFonts w:ascii="Times New Roman" w:hAnsi="Times New Roman" w:cs="Times New Roman"/>
          <w:sz w:val="24"/>
          <w:szCs w:val="24"/>
          <w:shd w:val="clear" w:color="auto" w:fill="FFFFFF"/>
        </w:rPr>
      </w:pPr>
      <w:r w:rsidRPr="004C7560">
        <w:rPr>
          <w:rFonts w:ascii="Times New Roman" w:hAnsi="Times New Roman" w:cs="Times New Roman"/>
          <w:sz w:val="24"/>
          <w:szCs w:val="24"/>
          <w:shd w:val="clear" w:color="auto" w:fill="FFFFFF"/>
        </w:rPr>
        <w:t>Balancing Power Market is operated in real time by TEİAŞ. This section provides data on the development of prices and volumes in the BPM. In 2018, the system marginal prices (real time price) at the BPM are shown at Figure 2.2.1 on a per-hour basis. Also, Figure 2.2.2 provides the organized system marginal prices.</w:t>
      </w:r>
    </w:p>
    <w:p w:rsidR="004A69E4" w:rsidRDefault="004A69E4" w:rsidP="004A69E4">
      <w:pPr>
        <w:pStyle w:val="Balk2"/>
      </w:pPr>
      <w:bookmarkStart w:id="423" w:name="_Toc520822109"/>
      <w:bookmarkStart w:id="424" w:name="_Toc494988640"/>
      <w:bookmarkStart w:id="425" w:name="_Toc450307924"/>
      <w:bookmarkStart w:id="426" w:name="_Toc432165739"/>
      <w:bookmarkStart w:id="427" w:name="_Toc10123867"/>
      <w:bookmarkStart w:id="428" w:name="_Toc12526243"/>
      <w:bookmarkStart w:id="429" w:name="_Toc12535875"/>
      <w:r>
        <w:t>Figure.2.2.1: Per-Hour Based Development of System Marginal Price (TL/MWh)</w:t>
      </w:r>
      <w:bookmarkEnd w:id="423"/>
      <w:bookmarkEnd w:id="424"/>
      <w:bookmarkEnd w:id="425"/>
      <w:bookmarkEnd w:id="426"/>
      <w:bookmarkEnd w:id="427"/>
      <w:bookmarkEnd w:id="428"/>
      <w:bookmarkEnd w:id="429"/>
    </w:p>
    <w:p w:rsidR="004A69E4" w:rsidRDefault="004A69E4" w:rsidP="004A69E4">
      <w:pPr>
        <w:jc w:val="both"/>
      </w:pPr>
      <w:r>
        <w:rPr>
          <w:noProof/>
          <w:lang w:bidi="ar-SA"/>
        </w:rPr>
        <w:drawing>
          <wp:inline distT="0" distB="0" distL="0" distR="0" wp14:anchorId="170DDCD1" wp14:editId="09DD0E54">
            <wp:extent cx="5602605" cy="288353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02605" cy="2883535"/>
                    </a:xfrm>
                    <a:prstGeom prst="rect">
                      <a:avLst/>
                    </a:prstGeom>
                    <a:noFill/>
                  </pic:spPr>
                </pic:pic>
              </a:graphicData>
            </a:graphic>
          </wp:inline>
        </w:drawing>
      </w:r>
    </w:p>
    <w:p w:rsidR="004A69E4" w:rsidRDefault="004A69E4" w:rsidP="004A69E4">
      <w:pPr>
        <w:jc w:val="both"/>
      </w:pPr>
    </w:p>
    <w:p w:rsidR="004A69E4" w:rsidRDefault="004A69E4" w:rsidP="004A69E4">
      <w:pPr>
        <w:pStyle w:val="Balk2"/>
      </w:pPr>
      <w:bookmarkStart w:id="430" w:name="_Toc520822110"/>
      <w:bookmarkStart w:id="431" w:name="_Toc512430983"/>
      <w:bookmarkStart w:id="432" w:name="_Toc10123868"/>
      <w:bookmarkStart w:id="433" w:name="_Toc12526244"/>
      <w:bookmarkStart w:id="434" w:name="_Toc12535876"/>
      <w:r>
        <w:t xml:space="preserve">Figure </w:t>
      </w:r>
      <w:r>
        <w:rPr>
          <w:noProof/>
        </w:rPr>
        <w:t>2</w:t>
      </w:r>
      <w:r>
        <w:t>.2.2: Organized Sytem Marginal Price (TL/MWh)</w:t>
      </w:r>
      <w:bookmarkEnd w:id="430"/>
      <w:bookmarkEnd w:id="431"/>
      <w:bookmarkEnd w:id="432"/>
      <w:bookmarkEnd w:id="433"/>
      <w:bookmarkEnd w:id="434"/>
    </w:p>
    <w:p w:rsidR="004A69E4" w:rsidRDefault="004A69E4" w:rsidP="004A69E4">
      <w:pPr>
        <w:jc w:val="both"/>
      </w:pPr>
      <w:r>
        <w:rPr>
          <w:noProof/>
          <w:lang w:bidi="ar-SA"/>
        </w:rPr>
        <w:drawing>
          <wp:inline distT="0" distB="0" distL="0" distR="0" wp14:anchorId="007B5C2D" wp14:editId="178BCB8B">
            <wp:extent cx="5762625" cy="3181350"/>
            <wp:effectExtent l="0" t="0" r="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4530" cy="3182402"/>
                    </a:xfrm>
                    <a:prstGeom prst="rect">
                      <a:avLst/>
                    </a:prstGeom>
                    <a:noFill/>
                    <a:ln>
                      <a:noFill/>
                    </a:ln>
                  </pic:spPr>
                </pic:pic>
              </a:graphicData>
            </a:graphic>
          </wp:inline>
        </w:drawing>
      </w:r>
    </w:p>
    <w:p w:rsidR="004A69E4" w:rsidRDefault="004A69E4" w:rsidP="004A69E4">
      <w:pPr>
        <w:shd w:val="clear" w:color="auto" w:fill="FFFFFF"/>
        <w:spacing w:after="0" w:line="360" w:lineRule="auto"/>
        <w:jc w:val="both"/>
      </w:pPr>
    </w:p>
    <w:p w:rsidR="004A69E4" w:rsidRDefault="004A69E4" w:rsidP="004A69E4">
      <w:pPr>
        <w:shd w:val="clear" w:color="auto" w:fill="FFFFFF"/>
        <w:spacing w:after="0" w:line="360" w:lineRule="auto"/>
        <w:jc w:val="both"/>
      </w:pPr>
    </w:p>
    <w:p w:rsidR="004A69E4" w:rsidRPr="003B456E" w:rsidRDefault="004A69E4" w:rsidP="004A69E4">
      <w:pPr>
        <w:shd w:val="clear" w:color="auto" w:fill="FFFFFF"/>
        <w:spacing w:after="0" w:line="360" w:lineRule="auto"/>
        <w:jc w:val="both"/>
        <w:rPr>
          <w:rFonts w:ascii="Times New Roman" w:eastAsia="Times New Roman" w:hAnsi="Times New Roman" w:cs="Times New Roman"/>
          <w:sz w:val="24"/>
          <w:szCs w:val="24"/>
          <w:lang w:bidi="ar-SA"/>
        </w:rPr>
      </w:pPr>
      <w:r w:rsidRPr="003B456E">
        <w:rPr>
          <w:rFonts w:ascii="Times New Roman" w:eastAsia="Times New Roman" w:hAnsi="Times New Roman" w:cs="Times New Roman"/>
          <w:sz w:val="24"/>
          <w:szCs w:val="24"/>
          <w:lang w:bidi="ar-SA"/>
        </w:rPr>
        <w:t xml:space="preserve">Similar to the prices of the DAM, the prices in the BPM </w:t>
      </w:r>
      <w:r>
        <w:rPr>
          <w:rFonts w:ascii="Times New Roman" w:eastAsia="Times New Roman" w:hAnsi="Times New Roman" w:cs="Times New Roman"/>
          <w:sz w:val="24"/>
          <w:szCs w:val="24"/>
          <w:lang w:bidi="ar-SA"/>
        </w:rPr>
        <w:t>were generally between 100 and 3</w:t>
      </w:r>
      <w:r w:rsidRPr="003B456E">
        <w:rPr>
          <w:rFonts w:ascii="Times New Roman" w:eastAsia="Times New Roman" w:hAnsi="Times New Roman" w:cs="Times New Roman"/>
          <w:sz w:val="24"/>
          <w:szCs w:val="24"/>
          <w:lang w:bidi="ar-SA"/>
        </w:rPr>
        <w:t xml:space="preserve">50 TL/MWh. The price </w:t>
      </w:r>
      <w:r>
        <w:rPr>
          <w:rFonts w:ascii="Times New Roman" w:eastAsia="Times New Roman" w:hAnsi="Times New Roman" w:cs="Times New Roman"/>
          <w:sz w:val="24"/>
          <w:szCs w:val="24"/>
          <w:lang w:bidi="ar-SA"/>
        </w:rPr>
        <w:t>was highest on 3 September 2018 at 17:00 with</w:t>
      </w:r>
      <w:r w:rsidRPr="003B456E">
        <w:rPr>
          <w:rFonts w:ascii="Times New Roman" w:eastAsia="Times New Roman" w:hAnsi="Times New Roman" w:cs="Times New Roman"/>
          <w:sz w:val="24"/>
          <w:szCs w:val="24"/>
          <w:lang w:bidi="ar-SA"/>
        </w:rPr>
        <w:t xml:space="preserve"> </w:t>
      </w:r>
      <w:r>
        <w:rPr>
          <w:rFonts w:ascii="Times New Roman" w:eastAsiaTheme="minorEastAsia" w:hAnsi="Times New Roman" w:cs="Times New Roman"/>
          <w:sz w:val="24"/>
          <w:szCs w:val="24"/>
        </w:rPr>
        <w:t>402,2</w:t>
      </w:r>
      <w:r w:rsidRPr="003B456E">
        <w:rPr>
          <w:rFonts w:ascii="Times New Roman" w:eastAsiaTheme="minorEastAsia" w:hAnsi="Times New Roman" w:cs="Times New Roman"/>
          <w:sz w:val="24"/>
          <w:szCs w:val="24"/>
        </w:rPr>
        <w:t xml:space="preserve"> </w:t>
      </w:r>
      <w:r>
        <w:rPr>
          <w:rFonts w:ascii="Times New Roman" w:eastAsia="Times New Roman" w:hAnsi="Times New Roman" w:cs="Times New Roman"/>
          <w:sz w:val="24"/>
          <w:szCs w:val="24"/>
          <w:lang w:bidi="ar-SA"/>
        </w:rPr>
        <w:t>TL/MWh, and it was over 4</w:t>
      </w:r>
      <w:r w:rsidRPr="003B456E">
        <w:rPr>
          <w:rFonts w:ascii="Times New Roman" w:eastAsia="Times New Roman" w:hAnsi="Times New Roman" w:cs="Times New Roman"/>
          <w:sz w:val="24"/>
          <w:szCs w:val="24"/>
          <w:lang w:bidi="ar-SA"/>
        </w:rPr>
        <w:t xml:space="preserve">00 TL/MWh for </w:t>
      </w:r>
      <w:r>
        <w:rPr>
          <w:rFonts w:ascii="Times New Roman" w:eastAsia="Times New Roman" w:hAnsi="Times New Roman" w:cs="Times New Roman"/>
          <w:sz w:val="24"/>
          <w:szCs w:val="24"/>
          <w:lang w:bidi="ar-SA"/>
        </w:rPr>
        <w:t>37</w:t>
      </w:r>
      <w:r w:rsidRPr="003B456E">
        <w:rPr>
          <w:rFonts w:ascii="Times New Roman" w:eastAsia="Times New Roman" w:hAnsi="Times New Roman" w:cs="Times New Roman"/>
          <w:sz w:val="24"/>
          <w:szCs w:val="24"/>
          <w:lang w:bidi="ar-SA"/>
        </w:rPr>
        <w:t xml:space="preserve"> hours. At the BPM, the price was </w:t>
      </w:r>
      <w:r>
        <w:rPr>
          <w:rFonts w:ascii="Times New Roman" w:eastAsia="Times New Roman" w:hAnsi="Times New Roman" w:cs="Times New Roman"/>
          <w:sz w:val="24"/>
          <w:szCs w:val="24"/>
          <w:lang w:bidi="ar-SA"/>
        </w:rPr>
        <w:t>0 TL/MWh for 7 hours during 2018</w:t>
      </w:r>
      <w:r w:rsidRPr="003B456E">
        <w:rPr>
          <w:rFonts w:ascii="Times New Roman" w:eastAsia="Times New Roman" w:hAnsi="Times New Roman" w:cs="Times New Roman"/>
          <w:sz w:val="24"/>
          <w:szCs w:val="24"/>
          <w:lang w:bidi="ar-SA"/>
        </w:rPr>
        <w:t>.</w:t>
      </w:r>
    </w:p>
    <w:p w:rsidR="004A69E4" w:rsidRPr="003B456E" w:rsidRDefault="004A69E4" w:rsidP="004A69E4">
      <w:pPr>
        <w:spacing w:after="15" w:line="240" w:lineRule="auto"/>
        <w:jc w:val="both"/>
        <w:textAlignment w:val="top"/>
        <w:rPr>
          <w:rFonts w:ascii="Times New Roman" w:eastAsia="Times New Roman" w:hAnsi="Times New Roman" w:cs="Times New Roman"/>
          <w:color w:val="555555"/>
          <w:sz w:val="20"/>
          <w:szCs w:val="20"/>
          <w:lang w:bidi="ar-SA"/>
        </w:rPr>
      </w:pPr>
      <w:r w:rsidRPr="003B456E">
        <w:rPr>
          <w:rFonts w:ascii="Times New Roman" w:eastAsia="Times New Roman" w:hAnsi="Times New Roman" w:cs="Times New Roman"/>
          <w:color w:val="555555"/>
          <w:sz w:val="20"/>
          <w:szCs w:val="20"/>
          <w:lang w:bidi="ar-SA"/>
        </w:rPr>
        <w:t> </w:t>
      </w:r>
    </w:p>
    <w:p w:rsidR="004A69E4" w:rsidRPr="003B456E" w:rsidRDefault="004A69E4" w:rsidP="004A69E4">
      <w:pPr>
        <w:spacing w:line="360" w:lineRule="auto"/>
        <w:jc w:val="both"/>
        <w:rPr>
          <w:rFonts w:ascii="Times New Roman" w:hAnsi="Times New Roman" w:cs="Times New Roman"/>
          <w:sz w:val="24"/>
          <w:szCs w:val="24"/>
          <w:shd w:val="clear" w:color="auto" w:fill="FFFFFF"/>
        </w:rPr>
      </w:pPr>
      <w:r w:rsidRPr="003B456E">
        <w:rPr>
          <w:rFonts w:ascii="Times New Roman" w:hAnsi="Times New Roman" w:cs="Times New Roman"/>
          <w:sz w:val="24"/>
          <w:szCs w:val="24"/>
          <w:shd w:val="clear" w:color="auto" w:fill="FFFFFF"/>
        </w:rPr>
        <w:t xml:space="preserve">The annual weighted average of the price in BPM was </w:t>
      </w:r>
      <w:r>
        <w:rPr>
          <w:rFonts w:ascii="Times New Roman" w:eastAsiaTheme="minorEastAsia" w:hAnsi="Times New Roman" w:cs="Times New Roman"/>
          <w:sz w:val="24"/>
          <w:szCs w:val="24"/>
        </w:rPr>
        <w:t xml:space="preserve">234,436 </w:t>
      </w:r>
      <w:r w:rsidRPr="003B456E">
        <w:rPr>
          <w:rFonts w:ascii="Times New Roman" w:hAnsi="Times New Roman" w:cs="Times New Roman"/>
          <w:sz w:val="24"/>
          <w:szCs w:val="24"/>
          <w:shd w:val="clear" w:color="auto" w:fill="FFFFFF"/>
        </w:rPr>
        <w:t xml:space="preserve">TL/MWh, increased by </w:t>
      </w:r>
      <w:r>
        <w:rPr>
          <w:rFonts w:ascii="Times New Roman" w:eastAsiaTheme="minorEastAsia" w:hAnsi="Times New Roman" w:cs="Times New Roman"/>
          <w:sz w:val="24"/>
          <w:szCs w:val="24"/>
        </w:rPr>
        <w:t>42,27</w:t>
      </w:r>
      <w:r w:rsidRPr="003B456E">
        <w:rPr>
          <w:rFonts w:ascii="Times New Roman" w:hAnsi="Times New Roman" w:cs="Times New Roman"/>
          <w:sz w:val="24"/>
          <w:szCs w:val="24"/>
          <w:shd w:val="clear" w:color="auto" w:fill="FFFFFF"/>
        </w:rPr>
        <w:t>% compared to the previous year.</w:t>
      </w:r>
    </w:p>
    <w:p w:rsidR="004A69E4" w:rsidRPr="003B456E" w:rsidRDefault="004A69E4" w:rsidP="004A69E4">
      <w:pPr>
        <w:shd w:val="clear" w:color="auto" w:fill="FFFFFF"/>
        <w:spacing w:after="0" w:line="360" w:lineRule="auto"/>
        <w:jc w:val="both"/>
        <w:rPr>
          <w:rFonts w:ascii="Times New Roman" w:eastAsiaTheme="minorEastAsia" w:hAnsi="Times New Roman" w:cs="Times New Roman"/>
          <w:sz w:val="24"/>
          <w:szCs w:val="24"/>
        </w:rPr>
      </w:pPr>
      <w:r w:rsidRPr="003B456E">
        <w:rPr>
          <w:rFonts w:ascii="Times New Roman" w:eastAsia="Times New Roman" w:hAnsi="Times New Roman" w:cs="Times New Roman"/>
          <w:sz w:val="24"/>
          <w:szCs w:val="24"/>
          <w:lang w:bidi="ar-SA"/>
        </w:rPr>
        <w:t>The monthly weighted average prices of th</w:t>
      </w:r>
      <w:r>
        <w:rPr>
          <w:rFonts w:ascii="Times New Roman" w:eastAsia="Times New Roman" w:hAnsi="Times New Roman" w:cs="Times New Roman"/>
          <w:sz w:val="24"/>
          <w:szCs w:val="24"/>
          <w:lang w:bidi="ar-SA"/>
        </w:rPr>
        <w:t>e Balancing Power Market in 2018</w:t>
      </w:r>
      <w:r w:rsidRPr="003B456E">
        <w:rPr>
          <w:rFonts w:ascii="Times New Roman" w:eastAsia="Times New Roman" w:hAnsi="Times New Roman" w:cs="Times New Roman"/>
          <w:sz w:val="24"/>
          <w:szCs w:val="24"/>
          <w:lang w:bidi="ar-SA"/>
        </w:rPr>
        <w:t xml:space="preserve"> are shown in Figure 2.2.3 below. SMP was seen in </w:t>
      </w:r>
      <w:r>
        <w:rPr>
          <w:rFonts w:ascii="Times New Roman" w:eastAsia="Times New Roman" w:hAnsi="Times New Roman" w:cs="Times New Roman"/>
          <w:sz w:val="24"/>
          <w:szCs w:val="24"/>
          <w:lang w:bidi="ar-SA"/>
        </w:rPr>
        <w:t>March</w:t>
      </w:r>
      <w:r w:rsidRPr="003B456E">
        <w:rPr>
          <w:rFonts w:ascii="Times New Roman" w:eastAsia="Times New Roman" w:hAnsi="Times New Roman" w:cs="Times New Roman"/>
          <w:sz w:val="24"/>
          <w:szCs w:val="24"/>
          <w:lang w:bidi="ar-SA"/>
        </w:rPr>
        <w:t xml:space="preserve"> as the lowest with the value of </w:t>
      </w:r>
      <w:r>
        <w:rPr>
          <w:rFonts w:ascii="Times New Roman" w:eastAsiaTheme="minorEastAsia" w:hAnsi="Times New Roman" w:cs="Times New Roman"/>
          <w:sz w:val="24"/>
          <w:szCs w:val="24"/>
        </w:rPr>
        <w:t>168,079</w:t>
      </w:r>
      <w:r w:rsidRPr="003B456E">
        <w:rPr>
          <w:rFonts w:ascii="Times New Roman" w:eastAsiaTheme="minorEastAsia" w:hAnsi="Times New Roman" w:cs="Times New Roman"/>
          <w:sz w:val="24"/>
          <w:szCs w:val="24"/>
        </w:rPr>
        <w:t xml:space="preserve"> TL/MWh, and</w:t>
      </w:r>
      <w:r w:rsidRPr="003B456E">
        <w:rPr>
          <w:rFonts w:ascii="Times New Roman" w:eastAsia="Times New Roman" w:hAnsi="Times New Roman" w:cs="Times New Roman"/>
          <w:sz w:val="24"/>
          <w:szCs w:val="24"/>
          <w:lang w:bidi="ar-SA"/>
        </w:rPr>
        <w:t xml:space="preserve"> the highest value was realized in </w:t>
      </w:r>
      <w:r>
        <w:rPr>
          <w:rFonts w:ascii="Times New Roman" w:eastAsia="Times New Roman" w:hAnsi="Times New Roman" w:cs="Times New Roman"/>
          <w:sz w:val="24"/>
          <w:szCs w:val="24"/>
          <w:lang w:bidi="ar-SA"/>
        </w:rPr>
        <w:t>September</w:t>
      </w:r>
      <w:r w:rsidRPr="003B456E">
        <w:rPr>
          <w:rFonts w:ascii="Times New Roman" w:eastAsia="Times New Roman" w:hAnsi="Times New Roman" w:cs="Times New Roman"/>
          <w:sz w:val="24"/>
          <w:szCs w:val="24"/>
          <w:lang w:bidi="ar-SA"/>
        </w:rPr>
        <w:t xml:space="preserve"> with the value of </w:t>
      </w:r>
      <w:r>
        <w:rPr>
          <w:rFonts w:ascii="Times New Roman" w:eastAsiaTheme="minorEastAsia" w:hAnsi="Times New Roman" w:cs="Times New Roman"/>
          <w:sz w:val="24"/>
          <w:szCs w:val="24"/>
        </w:rPr>
        <w:t>329,17</w:t>
      </w:r>
      <w:r w:rsidRPr="003B456E">
        <w:rPr>
          <w:rFonts w:ascii="Times New Roman" w:eastAsiaTheme="minorEastAsia" w:hAnsi="Times New Roman" w:cs="Times New Roman"/>
          <w:sz w:val="24"/>
          <w:szCs w:val="24"/>
        </w:rPr>
        <w:t xml:space="preserve"> TL/MWh</w:t>
      </w:r>
      <w:r w:rsidRPr="003B456E">
        <w:rPr>
          <w:rFonts w:ascii="Times New Roman" w:eastAsia="Times New Roman" w:hAnsi="Times New Roman" w:cs="Times New Roman"/>
          <w:sz w:val="24"/>
          <w:szCs w:val="24"/>
          <w:lang w:bidi="ar-SA"/>
        </w:rPr>
        <w:t>.</w:t>
      </w:r>
      <w:r w:rsidRPr="003B456E">
        <w:rPr>
          <w:rFonts w:ascii="Times New Roman" w:eastAsiaTheme="minorEastAsia" w:hAnsi="Times New Roman" w:cs="Times New Roman"/>
          <w:sz w:val="24"/>
          <w:szCs w:val="24"/>
        </w:rPr>
        <w:t xml:space="preserve"> </w:t>
      </w:r>
    </w:p>
    <w:p w:rsidR="004A69E4" w:rsidRDefault="004A69E4" w:rsidP="004A69E4">
      <w:pPr>
        <w:pStyle w:val="Balk2"/>
      </w:pPr>
      <w:bookmarkStart w:id="435" w:name="_Toc512430984"/>
      <w:bookmarkStart w:id="436" w:name="_Toc487101642"/>
      <w:bookmarkStart w:id="437" w:name="_Toc520822111"/>
      <w:bookmarkStart w:id="438" w:name="_Toc10123869"/>
      <w:bookmarkStart w:id="439" w:name="_Toc12526245"/>
      <w:bookmarkStart w:id="440" w:name="_Toc12535877"/>
      <w:r>
        <w:t xml:space="preserve">Figure </w:t>
      </w:r>
      <w:r>
        <w:rPr>
          <w:noProof/>
        </w:rPr>
        <w:t>2</w:t>
      </w:r>
      <w:r>
        <w:t xml:space="preserve">.2.3: </w:t>
      </w:r>
      <w:bookmarkEnd w:id="435"/>
      <w:bookmarkEnd w:id="436"/>
      <w:r>
        <w:t>Monthly Weighted Average Prices of the Last Two Years in Balancing Power Market (TL/MWh)</w:t>
      </w:r>
      <w:bookmarkEnd w:id="437"/>
      <w:bookmarkEnd w:id="438"/>
      <w:bookmarkEnd w:id="439"/>
      <w:bookmarkEnd w:id="440"/>
    </w:p>
    <w:p w:rsidR="004A69E4" w:rsidRPr="003B456E" w:rsidRDefault="004A69E4" w:rsidP="004A69E4">
      <w:pPr>
        <w:jc w:val="center"/>
      </w:pPr>
    </w:p>
    <w:p w:rsidR="004A69E4" w:rsidRDefault="004A69E4" w:rsidP="004A69E4">
      <w:pPr>
        <w:jc w:val="center"/>
      </w:pPr>
      <w:r>
        <w:rPr>
          <w:noProof/>
          <w:lang w:bidi="ar-SA"/>
        </w:rPr>
        <w:drawing>
          <wp:inline distT="0" distB="0" distL="0" distR="0" wp14:anchorId="690C58E1" wp14:editId="19BA9CB9">
            <wp:extent cx="5738441" cy="2943225"/>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42305" cy="2945207"/>
                    </a:xfrm>
                    <a:prstGeom prst="rect">
                      <a:avLst/>
                    </a:prstGeom>
                    <a:noFill/>
                    <a:ln>
                      <a:noFill/>
                    </a:ln>
                  </pic:spPr>
                </pic:pic>
              </a:graphicData>
            </a:graphic>
          </wp:inline>
        </w:drawing>
      </w:r>
    </w:p>
    <w:p w:rsidR="004C7560" w:rsidRDefault="004C7560" w:rsidP="004A69E4">
      <w:pPr>
        <w:shd w:val="clear" w:color="auto" w:fill="FFFFFF"/>
        <w:spacing w:after="0" w:line="240" w:lineRule="auto"/>
        <w:jc w:val="both"/>
        <w:rPr>
          <w:rFonts w:ascii="Times New Roman" w:eastAsia="Times New Roman" w:hAnsi="Times New Roman" w:cs="Times New Roman"/>
          <w:sz w:val="24"/>
          <w:szCs w:val="24"/>
          <w:lang w:bidi="ar-SA"/>
        </w:rPr>
      </w:pPr>
    </w:p>
    <w:p w:rsidR="004A69E4" w:rsidRPr="003B456E" w:rsidRDefault="004A69E4" w:rsidP="004A69E4">
      <w:pPr>
        <w:shd w:val="clear" w:color="auto" w:fill="FFFFFF"/>
        <w:spacing w:after="0" w:line="240" w:lineRule="auto"/>
        <w:jc w:val="both"/>
        <w:rPr>
          <w:rFonts w:ascii="Times New Roman" w:eastAsia="Times New Roman" w:hAnsi="Times New Roman" w:cs="Times New Roman"/>
          <w:color w:val="555555"/>
          <w:sz w:val="20"/>
          <w:szCs w:val="20"/>
          <w:lang w:bidi="ar-SA"/>
        </w:rPr>
      </w:pPr>
      <w:r w:rsidRPr="003B456E">
        <w:rPr>
          <w:rFonts w:ascii="Times New Roman" w:eastAsia="Times New Roman" w:hAnsi="Times New Roman" w:cs="Times New Roman"/>
          <w:sz w:val="24"/>
          <w:szCs w:val="24"/>
          <w:lang w:bidi="ar-SA"/>
        </w:rPr>
        <w:t>Below Figure 2.2.4 shows monthl</w:t>
      </w:r>
      <w:r>
        <w:rPr>
          <w:rFonts w:ascii="Times New Roman" w:eastAsia="Times New Roman" w:hAnsi="Times New Roman" w:cs="Times New Roman"/>
          <w:sz w:val="24"/>
          <w:szCs w:val="24"/>
          <w:lang w:bidi="ar-SA"/>
        </w:rPr>
        <w:t>y trading volumes in BPM in 2018</w:t>
      </w:r>
      <w:r w:rsidRPr="003B456E">
        <w:rPr>
          <w:rFonts w:ascii="Times New Roman" w:eastAsia="Times New Roman" w:hAnsi="Times New Roman" w:cs="Times New Roman"/>
          <w:sz w:val="24"/>
          <w:szCs w:val="24"/>
          <w:lang w:bidi="ar-SA"/>
        </w:rPr>
        <w:t>.</w:t>
      </w:r>
      <w:r w:rsidRPr="003B456E">
        <w:rPr>
          <w:rFonts w:ascii="Times New Roman" w:eastAsia="Times New Roman" w:hAnsi="Times New Roman" w:cs="Times New Roman"/>
          <w:color w:val="555555"/>
          <w:sz w:val="20"/>
          <w:szCs w:val="20"/>
          <w:lang w:bidi="ar-SA"/>
        </w:rPr>
        <w:t> </w:t>
      </w:r>
    </w:p>
    <w:p w:rsidR="004A69E4" w:rsidRDefault="004A69E4" w:rsidP="004A69E4">
      <w:pPr>
        <w:shd w:val="clear" w:color="auto" w:fill="FFFFFF"/>
        <w:spacing w:after="0" w:line="240" w:lineRule="auto"/>
        <w:ind w:firstLine="708"/>
        <w:jc w:val="both"/>
        <w:rPr>
          <w:rFonts w:ascii="Segoe UI" w:eastAsia="Times New Roman" w:hAnsi="Segoe UI" w:cs="Segoe UI"/>
          <w:color w:val="555555"/>
          <w:sz w:val="20"/>
          <w:szCs w:val="20"/>
          <w:lang w:bidi="ar-SA"/>
        </w:rPr>
      </w:pPr>
      <w:r>
        <w:rPr>
          <w:rFonts w:asciiTheme="minorHAnsi" w:eastAsiaTheme="minorEastAsia" w:hAnsiTheme="minorHAnsi" w:cstheme="minorHAnsi"/>
          <w:sz w:val="24"/>
          <w:szCs w:val="24"/>
        </w:rPr>
        <w:t xml:space="preserve"> </w:t>
      </w:r>
    </w:p>
    <w:p w:rsidR="004A69E4" w:rsidRDefault="004A69E4" w:rsidP="004A69E4">
      <w:pPr>
        <w:pStyle w:val="Balk2"/>
        <w:rPr>
          <w:color w:val="auto"/>
          <w:szCs w:val="22"/>
        </w:rPr>
      </w:pPr>
      <w:bookmarkStart w:id="441" w:name="_Toc520822112"/>
      <w:bookmarkStart w:id="442" w:name="_Toc494988642"/>
      <w:bookmarkStart w:id="443" w:name="_Toc10123870"/>
      <w:bookmarkStart w:id="444" w:name="_Toc12526246"/>
      <w:bookmarkStart w:id="445" w:name="_Toc12535878"/>
      <w:r>
        <w:lastRenderedPageBreak/>
        <w:t>Figure 2.2.4: Monthly Trading Volumes in Balancing Power Market (MWh)</w:t>
      </w:r>
      <w:bookmarkEnd w:id="441"/>
      <w:bookmarkEnd w:id="442"/>
      <w:bookmarkEnd w:id="443"/>
      <w:bookmarkEnd w:id="444"/>
      <w:bookmarkEnd w:id="445"/>
    </w:p>
    <w:p w:rsidR="004A69E4" w:rsidRDefault="004A69E4" w:rsidP="004A69E4">
      <w:pPr>
        <w:jc w:val="center"/>
      </w:pPr>
      <w:r>
        <w:rPr>
          <w:noProof/>
          <w:lang w:bidi="ar-SA"/>
        </w:rPr>
        <w:drawing>
          <wp:inline distT="0" distB="0" distL="0" distR="0" wp14:anchorId="271B336F" wp14:editId="5990F513">
            <wp:extent cx="5391150" cy="2911475"/>
            <wp:effectExtent l="0" t="0" r="0" b="317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91150" cy="2911475"/>
                    </a:xfrm>
                    <a:prstGeom prst="rect">
                      <a:avLst/>
                    </a:prstGeom>
                    <a:noFill/>
                    <a:ln>
                      <a:noFill/>
                    </a:ln>
                  </pic:spPr>
                </pic:pic>
              </a:graphicData>
            </a:graphic>
          </wp:inline>
        </w:drawing>
      </w:r>
    </w:p>
    <w:p w:rsidR="004A69E4" w:rsidRDefault="004A69E4" w:rsidP="004A69E4">
      <w:pPr>
        <w:spacing w:line="360" w:lineRule="auto"/>
        <w:jc w:val="both"/>
        <w:rPr>
          <w:rFonts w:ascii="Times New Roman" w:eastAsia="Times New Roman" w:hAnsi="Times New Roman" w:cs="Times New Roman"/>
          <w:sz w:val="24"/>
          <w:szCs w:val="24"/>
          <w:lang w:bidi="ar-SA"/>
        </w:rPr>
      </w:pPr>
      <w:r w:rsidRPr="006D44CC">
        <w:rPr>
          <w:rFonts w:ascii="Times New Roman" w:eastAsia="Times New Roman" w:hAnsi="Times New Roman" w:cs="Times New Roman"/>
          <w:sz w:val="24"/>
          <w:szCs w:val="24"/>
          <w:lang w:bidi="ar-SA"/>
        </w:rPr>
        <w:t>In the following Figure 2.2.5 the distribution of the BPM buying quantities on the basis of the company and the share of the top 10 buyer companies and in Figure 2.2.6, the distribution of BPM sales quantities on company basis and the share of the top 10 companies are shown.</w:t>
      </w:r>
    </w:p>
    <w:p w:rsidR="004A69E4" w:rsidRPr="006D44CC" w:rsidRDefault="004A69E4" w:rsidP="004A69E4">
      <w:pPr>
        <w:spacing w:line="360" w:lineRule="auto"/>
        <w:jc w:val="both"/>
        <w:rPr>
          <w:rFonts w:ascii="Times New Roman" w:eastAsiaTheme="minorEastAsia" w:hAnsi="Times New Roman" w:cs="Times New Roman"/>
          <w:sz w:val="24"/>
          <w:szCs w:val="24"/>
        </w:rPr>
      </w:pPr>
    </w:p>
    <w:p w:rsidR="004A69E4" w:rsidRDefault="004A69E4" w:rsidP="004A69E4">
      <w:pPr>
        <w:pStyle w:val="Balk2"/>
      </w:pPr>
      <w:bookmarkStart w:id="446" w:name="_Toc512430986"/>
      <w:bookmarkStart w:id="447" w:name="_Toc487101644"/>
      <w:bookmarkStart w:id="448" w:name="_Toc520822113"/>
      <w:bookmarkStart w:id="449" w:name="_Toc10123871"/>
      <w:bookmarkStart w:id="450" w:name="_Toc12526247"/>
      <w:bookmarkStart w:id="451" w:name="_Toc12535879"/>
      <w:r>
        <w:t xml:space="preserve">Figure </w:t>
      </w:r>
      <w:r>
        <w:rPr>
          <w:noProof/>
        </w:rPr>
        <w:t>2</w:t>
      </w:r>
      <w:r>
        <w:t xml:space="preserve">.2.5: </w:t>
      </w:r>
      <w:bookmarkEnd w:id="446"/>
      <w:bookmarkEnd w:id="447"/>
      <w:r>
        <w:t>The Share of Top 10 Buyer Companies in Balancing Power Market (%)</w:t>
      </w:r>
      <w:bookmarkEnd w:id="448"/>
      <w:bookmarkEnd w:id="449"/>
      <w:bookmarkEnd w:id="450"/>
      <w:bookmarkEnd w:id="451"/>
    </w:p>
    <w:p w:rsidR="004A69E4" w:rsidRPr="006D44CC" w:rsidRDefault="004A69E4" w:rsidP="004A69E4">
      <w:pPr>
        <w:jc w:val="both"/>
      </w:pPr>
      <w:r>
        <w:rPr>
          <w:noProof/>
          <w:lang w:bidi="ar-SA"/>
        </w:rPr>
        <w:drawing>
          <wp:inline distT="0" distB="0" distL="0" distR="0" wp14:anchorId="2916CC3F" wp14:editId="6AA64767">
            <wp:extent cx="5753100" cy="3438525"/>
            <wp:effectExtent l="0" t="0" r="0" b="952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56910" cy="3440802"/>
                    </a:xfrm>
                    <a:prstGeom prst="rect">
                      <a:avLst/>
                    </a:prstGeom>
                    <a:noFill/>
                    <a:ln>
                      <a:noFill/>
                    </a:ln>
                  </pic:spPr>
                </pic:pic>
              </a:graphicData>
            </a:graphic>
          </wp:inline>
        </w:drawing>
      </w:r>
    </w:p>
    <w:p w:rsidR="004A69E4" w:rsidRDefault="004A69E4" w:rsidP="004A69E4">
      <w:pPr>
        <w:ind w:hanging="284"/>
        <w:jc w:val="center"/>
      </w:pPr>
    </w:p>
    <w:p w:rsidR="004A69E4" w:rsidRDefault="004A69E4" w:rsidP="004A69E4">
      <w:pPr>
        <w:pStyle w:val="Balk2"/>
      </w:pPr>
      <w:bookmarkStart w:id="452" w:name="_Toc512430987"/>
      <w:bookmarkStart w:id="453" w:name="_Toc487101645"/>
      <w:bookmarkStart w:id="454" w:name="_Toc520822114"/>
      <w:bookmarkStart w:id="455" w:name="_Toc10123872"/>
      <w:bookmarkStart w:id="456" w:name="_Toc12526248"/>
      <w:bookmarkStart w:id="457" w:name="_Toc12535880"/>
      <w:r>
        <w:lastRenderedPageBreak/>
        <w:t xml:space="preserve">Figure 2.2.6: </w:t>
      </w:r>
      <w:bookmarkEnd w:id="452"/>
      <w:bookmarkEnd w:id="453"/>
      <w:r>
        <w:t>The Share of Top 10 Seller Companies in Balancing Power Market</w:t>
      </w:r>
      <w:bookmarkEnd w:id="454"/>
      <w:bookmarkEnd w:id="455"/>
      <w:bookmarkEnd w:id="456"/>
      <w:bookmarkEnd w:id="457"/>
    </w:p>
    <w:p w:rsidR="004A69E4" w:rsidRDefault="004A69E4" w:rsidP="004A69E4">
      <w:pPr>
        <w:jc w:val="center"/>
      </w:pPr>
      <w:r>
        <w:rPr>
          <w:noProof/>
          <w:lang w:bidi="ar-SA"/>
        </w:rPr>
        <w:drawing>
          <wp:inline distT="0" distB="0" distL="0" distR="0" wp14:anchorId="080E354E" wp14:editId="241FA09E">
            <wp:extent cx="5757422" cy="3228975"/>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4530" cy="3232961"/>
                    </a:xfrm>
                    <a:prstGeom prst="rect">
                      <a:avLst/>
                    </a:prstGeom>
                    <a:noFill/>
                    <a:ln>
                      <a:noFill/>
                    </a:ln>
                  </pic:spPr>
                </pic:pic>
              </a:graphicData>
            </a:graphic>
          </wp:inline>
        </w:drawing>
      </w:r>
    </w:p>
    <w:p w:rsidR="004A69E4" w:rsidRDefault="004A69E4" w:rsidP="004A69E4">
      <w:pPr>
        <w:shd w:val="clear" w:color="auto" w:fill="FFFFFF"/>
        <w:spacing w:after="0" w:line="360" w:lineRule="auto"/>
        <w:jc w:val="both"/>
        <w:rPr>
          <w:rFonts w:ascii="Times New Roman" w:eastAsia="Times New Roman" w:hAnsi="Times New Roman" w:cs="Times New Roman"/>
          <w:sz w:val="24"/>
          <w:szCs w:val="24"/>
          <w:lang w:bidi="ar-SA"/>
        </w:rPr>
      </w:pPr>
      <w:r w:rsidRPr="006D44CC">
        <w:rPr>
          <w:rFonts w:ascii="Times New Roman" w:eastAsia="Times New Roman" w:hAnsi="Times New Roman" w:cs="Times New Roman"/>
          <w:sz w:val="24"/>
          <w:szCs w:val="24"/>
          <w:lang w:bidi="ar-SA"/>
        </w:rPr>
        <w:t xml:space="preserve">The ratios of orders </w:t>
      </w:r>
      <w:r>
        <w:rPr>
          <w:rFonts w:ascii="Times New Roman" w:eastAsia="Times New Roman" w:hAnsi="Times New Roman" w:cs="Times New Roman"/>
          <w:sz w:val="24"/>
          <w:szCs w:val="24"/>
          <w:lang w:bidi="ar-SA"/>
        </w:rPr>
        <w:t>given in the BPM in 2018</w:t>
      </w:r>
      <w:r w:rsidRPr="006D44CC">
        <w:rPr>
          <w:rFonts w:ascii="Times New Roman" w:eastAsia="Times New Roman" w:hAnsi="Times New Roman" w:cs="Times New Roman"/>
          <w:sz w:val="24"/>
          <w:szCs w:val="24"/>
          <w:lang w:bidi="ar-SA"/>
        </w:rPr>
        <w:t xml:space="preserve"> are shown below in Figure 2.2.7, and on a per-hour basis in Figure 2.2</w:t>
      </w:r>
      <w:r>
        <w:rPr>
          <w:rFonts w:ascii="Times New Roman" w:eastAsia="Times New Roman" w:hAnsi="Times New Roman" w:cs="Times New Roman"/>
          <w:sz w:val="24"/>
          <w:szCs w:val="24"/>
          <w:lang w:bidi="ar-SA"/>
        </w:rPr>
        <w:t>.8.  Loading orders constitute 73</w:t>
      </w:r>
      <w:r w:rsidRPr="006D44CC">
        <w:rPr>
          <w:rFonts w:ascii="Times New Roman" w:eastAsia="Times New Roman" w:hAnsi="Times New Roman" w:cs="Times New Roman"/>
          <w:sz w:val="24"/>
          <w:szCs w:val="24"/>
          <w:lang w:bidi="ar-SA"/>
        </w:rPr>
        <w:t>% of the total amount.</w:t>
      </w:r>
    </w:p>
    <w:p w:rsidR="004A69E4" w:rsidRDefault="004A69E4" w:rsidP="004A69E4">
      <w:pPr>
        <w:pStyle w:val="Balk2"/>
      </w:pPr>
      <w:bookmarkStart w:id="458" w:name="_Toc520822115"/>
      <w:bookmarkStart w:id="459" w:name="_Toc10123873"/>
    </w:p>
    <w:p w:rsidR="004A69E4" w:rsidRDefault="004A69E4" w:rsidP="004A69E4">
      <w:pPr>
        <w:pStyle w:val="Balk2"/>
      </w:pPr>
      <w:bookmarkStart w:id="460" w:name="_Toc12526249"/>
      <w:bookmarkStart w:id="461" w:name="_Toc12535881"/>
      <w:r>
        <w:t>Figure 2.2.7: Rates of Order Volumes Given in Balancing Power Market in 2018 (%)</w:t>
      </w:r>
      <w:bookmarkEnd w:id="458"/>
      <w:bookmarkEnd w:id="459"/>
      <w:bookmarkEnd w:id="460"/>
      <w:bookmarkEnd w:id="461"/>
    </w:p>
    <w:p w:rsidR="004A69E4" w:rsidRDefault="004A69E4" w:rsidP="004A69E4">
      <w:pPr>
        <w:rPr>
          <w:rFonts w:eastAsia="Times New Roman"/>
          <w:lang w:bidi="ar-SA"/>
        </w:rPr>
      </w:pPr>
    </w:p>
    <w:p w:rsidR="004A69E4" w:rsidRDefault="004A69E4" w:rsidP="004A69E4">
      <w:pPr>
        <w:rPr>
          <w:shd w:val="clear" w:color="auto" w:fill="FFFFFF"/>
        </w:rPr>
      </w:pPr>
      <w:r>
        <w:rPr>
          <w:noProof/>
          <w:shd w:val="clear" w:color="auto" w:fill="FFFFFF"/>
          <w:lang w:bidi="ar-SA"/>
        </w:rPr>
        <w:drawing>
          <wp:inline distT="0" distB="0" distL="0" distR="0" wp14:anchorId="6C619879" wp14:editId="77235A4E">
            <wp:extent cx="5543550" cy="3190875"/>
            <wp:effectExtent l="0" t="0" r="0" b="9525"/>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44820" cy="3191606"/>
                    </a:xfrm>
                    <a:prstGeom prst="rect">
                      <a:avLst/>
                    </a:prstGeom>
                    <a:noFill/>
                    <a:ln>
                      <a:noFill/>
                    </a:ln>
                  </pic:spPr>
                </pic:pic>
              </a:graphicData>
            </a:graphic>
          </wp:inline>
        </w:drawing>
      </w:r>
    </w:p>
    <w:p w:rsidR="004A69E4" w:rsidRPr="00B27141" w:rsidRDefault="004A69E4" w:rsidP="004A69E4">
      <w:pPr>
        <w:spacing w:line="360" w:lineRule="auto"/>
        <w:jc w:val="both"/>
        <w:rPr>
          <w:rFonts w:ascii="Times New Roman" w:eastAsiaTheme="minorEastAsia" w:hAnsi="Times New Roman" w:cs="Times New Roman"/>
          <w:sz w:val="24"/>
          <w:szCs w:val="24"/>
        </w:rPr>
      </w:pPr>
      <w:r w:rsidRPr="00B27141">
        <w:rPr>
          <w:rFonts w:ascii="Times New Roman" w:hAnsi="Times New Roman" w:cs="Times New Roman"/>
          <w:sz w:val="24"/>
          <w:szCs w:val="24"/>
          <w:shd w:val="clear" w:color="auto" w:fill="FFFFFF"/>
        </w:rPr>
        <w:t>As shown in the figure, the 0-coded orders constitute 57% of the total amount. The remaining volume consists of 1 and 2 coded orders produced due to system requirements.</w:t>
      </w:r>
    </w:p>
    <w:p w:rsidR="004A69E4" w:rsidRDefault="004A69E4" w:rsidP="004A69E4">
      <w:pPr>
        <w:pStyle w:val="Balk2"/>
      </w:pPr>
      <w:bookmarkStart w:id="462" w:name="_Toc512430989"/>
      <w:bookmarkStart w:id="463" w:name="_Toc487101647"/>
      <w:bookmarkStart w:id="464" w:name="_Toc520822116"/>
      <w:bookmarkStart w:id="465" w:name="_Toc10123874"/>
      <w:bookmarkStart w:id="466" w:name="_Toc12526250"/>
      <w:bookmarkStart w:id="467" w:name="_Toc12535882"/>
      <w:r>
        <w:lastRenderedPageBreak/>
        <w:t xml:space="preserve">Figure </w:t>
      </w:r>
      <w:r>
        <w:rPr>
          <w:noProof/>
        </w:rPr>
        <w:t>2</w:t>
      </w:r>
      <w:r>
        <w:t xml:space="preserve">.2.8: </w:t>
      </w:r>
      <w:bookmarkEnd w:id="462"/>
      <w:bookmarkEnd w:id="463"/>
      <w:r>
        <w:t>Distribution of the Orders Given in the Balancing Power Market by Hours in 2018 (MW)</w:t>
      </w:r>
      <w:bookmarkEnd w:id="464"/>
      <w:bookmarkEnd w:id="465"/>
      <w:bookmarkEnd w:id="466"/>
      <w:bookmarkEnd w:id="467"/>
    </w:p>
    <w:p w:rsidR="004A69E4" w:rsidRPr="00B27141" w:rsidRDefault="004A69E4" w:rsidP="004A69E4">
      <w:pPr>
        <w:jc w:val="both"/>
        <w:rPr>
          <w:lang w:bidi="ar-SA"/>
        </w:rPr>
      </w:pPr>
      <w:r>
        <w:rPr>
          <w:noProof/>
          <w:lang w:bidi="ar-SA"/>
        </w:rPr>
        <w:drawing>
          <wp:inline distT="0" distB="0" distL="0" distR="0" wp14:anchorId="224C6863" wp14:editId="684D4FCA">
            <wp:extent cx="6115050" cy="339090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15050" cy="3390900"/>
                    </a:xfrm>
                    <a:prstGeom prst="rect">
                      <a:avLst/>
                    </a:prstGeom>
                    <a:noFill/>
                  </pic:spPr>
                </pic:pic>
              </a:graphicData>
            </a:graphic>
          </wp:inline>
        </w:drawing>
      </w:r>
    </w:p>
    <w:p w:rsidR="004A69E4" w:rsidRDefault="004A69E4" w:rsidP="004A69E4">
      <w:pPr>
        <w:pStyle w:val="HTMLncedenBiimlendirilmi"/>
        <w:shd w:val="clear" w:color="auto" w:fill="FFFFFF"/>
        <w:spacing w:line="360" w:lineRule="auto"/>
        <w:jc w:val="both"/>
        <w:rPr>
          <w:rFonts w:ascii="Times New Roman" w:eastAsia="Times New Roman" w:hAnsi="Times New Roman" w:cs="Times New Roman"/>
          <w:sz w:val="24"/>
          <w:szCs w:val="24"/>
          <w:lang w:bidi="ar-SA"/>
        </w:rPr>
      </w:pPr>
      <w:bookmarkStart w:id="468" w:name="_Toc512430836"/>
      <w:bookmarkStart w:id="469" w:name="_Toc487101584"/>
      <w:bookmarkStart w:id="470" w:name="_Toc450309960"/>
      <w:bookmarkStart w:id="471" w:name="_Toc432165778"/>
    </w:p>
    <w:p w:rsidR="004A69E4" w:rsidRDefault="004A69E4" w:rsidP="004A69E4">
      <w:pPr>
        <w:pStyle w:val="HTMLncedenBiimlendirilmi"/>
        <w:shd w:val="clear" w:color="auto" w:fill="FFFFFF"/>
        <w:spacing w:line="360" w:lineRule="auto"/>
        <w:jc w:val="both"/>
        <w:rPr>
          <w:rFonts w:ascii="Times New Roman" w:eastAsia="Times New Roman" w:hAnsi="Times New Roman" w:cs="Times New Roman"/>
          <w:sz w:val="24"/>
          <w:szCs w:val="24"/>
          <w:lang w:bidi="ar-SA"/>
        </w:rPr>
      </w:pPr>
      <w:r w:rsidRPr="006F0703">
        <w:rPr>
          <w:rFonts w:ascii="Times New Roman" w:eastAsia="Times New Roman" w:hAnsi="Times New Roman" w:cs="Times New Roman"/>
          <w:sz w:val="24"/>
          <w:szCs w:val="24"/>
          <w:lang w:bidi="ar-SA"/>
        </w:rPr>
        <w:t xml:space="preserve">Additional costs arising from those orders are shown in Table 2.2.1 below. In 2018, the orders given in the BPM caused an additional cost of </w:t>
      </w:r>
      <w:r w:rsidRPr="006F0703">
        <w:rPr>
          <w:rFonts w:ascii="Times New Roman" w:eastAsiaTheme="minorEastAsia" w:hAnsi="Times New Roman" w:cs="Times New Roman"/>
          <w:sz w:val="24"/>
          <w:szCs w:val="24"/>
        </w:rPr>
        <w:t xml:space="preserve">119,67 </w:t>
      </w:r>
      <w:r w:rsidRPr="006F0703">
        <w:rPr>
          <w:rFonts w:ascii="Times New Roman" w:eastAsia="Times New Roman" w:hAnsi="Times New Roman" w:cs="Times New Roman"/>
          <w:sz w:val="24"/>
          <w:szCs w:val="24"/>
          <w:lang w:bidi="ar-SA"/>
        </w:rPr>
        <w:t xml:space="preserve">million TL  </w:t>
      </w:r>
      <w:r>
        <w:rPr>
          <w:rFonts w:ascii="Times New Roman" w:eastAsia="Times New Roman" w:hAnsi="Times New Roman" w:cs="Times New Roman"/>
          <w:sz w:val="24"/>
          <w:szCs w:val="24"/>
          <w:lang w:bidi="ar-SA"/>
        </w:rPr>
        <w:t>which is</w:t>
      </w:r>
      <w:r w:rsidRPr="006F0703">
        <w:rPr>
          <w:rFonts w:ascii="Times New Roman" w:eastAsia="Times New Roman" w:hAnsi="Times New Roman" w:cs="Times New Roman"/>
          <w:sz w:val="24"/>
          <w:szCs w:val="24"/>
          <w:lang w:bidi="ar-SA"/>
        </w:rPr>
        <w:t xml:space="preserve"> </w:t>
      </w:r>
      <w:r w:rsidRPr="006F0703">
        <w:rPr>
          <w:rFonts w:ascii="Times New Roman" w:eastAsia="Times New Roman" w:hAnsi="Times New Roman" w:cs="Times New Roman"/>
          <w:color w:val="212121"/>
          <w:sz w:val="24"/>
          <w:szCs w:val="24"/>
          <w:lang w:val="en" w:eastAsia="tr-TR"/>
        </w:rPr>
        <w:t xml:space="preserve">86.5% less </w:t>
      </w:r>
      <w:r>
        <w:rPr>
          <w:rFonts w:ascii="Times New Roman" w:eastAsia="Times New Roman" w:hAnsi="Times New Roman" w:cs="Times New Roman"/>
          <w:color w:val="212121"/>
          <w:sz w:val="24"/>
          <w:szCs w:val="24"/>
          <w:lang w:val="en" w:eastAsia="tr-TR"/>
        </w:rPr>
        <w:t>than previous year</w:t>
      </w:r>
      <w:r w:rsidRPr="006F0703">
        <w:rPr>
          <w:rFonts w:ascii="Times New Roman" w:eastAsia="Times New Roman" w:hAnsi="Times New Roman" w:cs="Times New Roman"/>
          <w:sz w:val="24"/>
          <w:szCs w:val="24"/>
          <w:lang w:bidi="ar-SA"/>
        </w:rPr>
        <w:t>.</w:t>
      </w:r>
      <w:r>
        <w:rPr>
          <w:rFonts w:ascii="Times New Roman" w:eastAsia="Times New Roman" w:hAnsi="Times New Roman" w:cs="Times New Roman"/>
          <w:sz w:val="24"/>
          <w:szCs w:val="24"/>
          <w:lang w:bidi="ar-SA"/>
        </w:rPr>
        <w:t xml:space="preserve"> </w:t>
      </w:r>
      <w:r w:rsidRPr="006F0703">
        <w:rPr>
          <w:rFonts w:ascii="Times New Roman" w:eastAsia="Times New Roman" w:hAnsi="Times New Roman" w:cs="Times New Roman"/>
          <w:sz w:val="24"/>
          <w:szCs w:val="24"/>
          <w:lang w:bidi="ar-SA"/>
        </w:rPr>
        <w:t>About 66% of these costs were 1 coded and the remaining 34% were 2 coded orders.</w:t>
      </w:r>
    </w:p>
    <w:p w:rsidR="004A69E4" w:rsidRDefault="004A69E4" w:rsidP="004A69E4">
      <w:pPr>
        <w:pStyle w:val="HTMLncedenBiimlendirilmi"/>
        <w:shd w:val="clear" w:color="auto" w:fill="FFFFFF"/>
        <w:spacing w:line="360" w:lineRule="auto"/>
        <w:jc w:val="both"/>
        <w:rPr>
          <w:rFonts w:ascii="Times New Roman" w:eastAsia="Times New Roman" w:hAnsi="Times New Roman" w:cs="Times New Roman"/>
          <w:sz w:val="24"/>
          <w:szCs w:val="24"/>
          <w:lang w:bidi="ar-SA"/>
        </w:rPr>
      </w:pPr>
    </w:p>
    <w:p w:rsidR="004A69E4" w:rsidRDefault="004A69E4" w:rsidP="004A69E4">
      <w:pPr>
        <w:pStyle w:val="Balk1"/>
      </w:pPr>
      <w:bookmarkStart w:id="472" w:name="_Toc520822051"/>
      <w:bookmarkStart w:id="473" w:name="_Toc514674254"/>
      <w:bookmarkStart w:id="474" w:name="_Toc494982835"/>
      <w:bookmarkStart w:id="475" w:name="_Toc10123875"/>
      <w:bookmarkStart w:id="476" w:name="_Toc10191432"/>
      <w:bookmarkStart w:id="477" w:name="_Toc12526251"/>
      <w:r>
        <w:t>Table.2.2.1: Additional Costs of Orders (Million TL)</w:t>
      </w:r>
      <w:bookmarkEnd w:id="472"/>
      <w:bookmarkEnd w:id="473"/>
      <w:bookmarkEnd w:id="474"/>
      <w:bookmarkEnd w:id="475"/>
      <w:bookmarkEnd w:id="476"/>
      <w:bookmarkEnd w:id="477"/>
    </w:p>
    <w:tbl>
      <w:tblPr>
        <w:tblW w:w="5964" w:type="dxa"/>
        <w:jc w:val="center"/>
        <w:tblCellMar>
          <w:left w:w="70" w:type="dxa"/>
          <w:right w:w="70" w:type="dxa"/>
        </w:tblCellMar>
        <w:tblLook w:val="04A0" w:firstRow="1" w:lastRow="0" w:firstColumn="1" w:lastColumn="0" w:noHBand="0" w:noVBand="1"/>
      </w:tblPr>
      <w:tblGrid>
        <w:gridCol w:w="1445"/>
        <w:gridCol w:w="1588"/>
        <w:gridCol w:w="1486"/>
        <w:gridCol w:w="1445"/>
      </w:tblGrid>
      <w:tr w:rsidR="004A69E4" w:rsidTr="004A69E4">
        <w:trPr>
          <w:trHeight w:val="437"/>
          <w:jc w:val="center"/>
        </w:trPr>
        <w:tc>
          <w:tcPr>
            <w:tcW w:w="1445" w:type="dxa"/>
            <w:tcBorders>
              <w:top w:val="single" w:sz="8" w:space="0" w:color="auto"/>
              <w:left w:val="single" w:sz="8" w:space="0" w:color="auto"/>
              <w:bottom w:val="single" w:sz="8" w:space="0" w:color="auto"/>
              <w:right w:val="single" w:sz="8" w:space="0" w:color="auto"/>
            </w:tcBorders>
            <w:shd w:val="clear" w:color="auto" w:fill="4BACC6"/>
            <w:noWrap/>
            <w:vAlign w:val="center"/>
            <w:hideMark/>
          </w:tcPr>
          <w:p w:rsidR="004A69E4" w:rsidRDefault="004A69E4" w:rsidP="004A69E4">
            <w:pPr>
              <w:spacing w:after="0" w:line="240" w:lineRule="auto"/>
              <w:jc w:val="both"/>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Type of Instruction</w:t>
            </w:r>
          </w:p>
        </w:tc>
        <w:tc>
          <w:tcPr>
            <w:tcW w:w="1588" w:type="dxa"/>
            <w:tcBorders>
              <w:top w:val="single" w:sz="8" w:space="0" w:color="auto"/>
              <w:left w:val="nil"/>
              <w:bottom w:val="single" w:sz="8" w:space="0" w:color="auto"/>
              <w:right w:val="single" w:sz="8" w:space="0" w:color="auto"/>
            </w:tcBorders>
            <w:shd w:val="clear" w:color="auto" w:fill="4BACC6"/>
            <w:noWrap/>
            <w:vAlign w:val="center"/>
            <w:hideMark/>
          </w:tcPr>
          <w:p w:rsidR="004A69E4" w:rsidRDefault="004A69E4" w:rsidP="004A69E4">
            <w:pPr>
              <w:spacing w:after="0" w:line="240" w:lineRule="auto"/>
              <w:jc w:val="both"/>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Loading</w:t>
            </w:r>
          </w:p>
        </w:tc>
        <w:tc>
          <w:tcPr>
            <w:tcW w:w="1486" w:type="dxa"/>
            <w:tcBorders>
              <w:top w:val="single" w:sz="8" w:space="0" w:color="auto"/>
              <w:left w:val="nil"/>
              <w:bottom w:val="single" w:sz="8" w:space="0" w:color="auto"/>
              <w:right w:val="single" w:sz="8" w:space="0" w:color="auto"/>
            </w:tcBorders>
            <w:shd w:val="clear" w:color="auto" w:fill="4BACC6"/>
            <w:noWrap/>
            <w:vAlign w:val="center"/>
            <w:hideMark/>
          </w:tcPr>
          <w:p w:rsidR="004A69E4" w:rsidRDefault="004A69E4" w:rsidP="004A69E4">
            <w:pPr>
              <w:spacing w:after="0" w:line="240" w:lineRule="auto"/>
              <w:jc w:val="both"/>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DE-Loading</w:t>
            </w:r>
          </w:p>
        </w:tc>
        <w:tc>
          <w:tcPr>
            <w:tcW w:w="1445" w:type="dxa"/>
            <w:tcBorders>
              <w:top w:val="single" w:sz="8" w:space="0" w:color="auto"/>
              <w:left w:val="nil"/>
              <w:bottom w:val="single" w:sz="8" w:space="0" w:color="auto"/>
              <w:right w:val="single" w:sz="8" w:space="0" w:color="auto"/>
            </w:tcBorders>
            <w:shd w:val="clear" w:color="auto" w:fill="4BACC6"/>
            <w:noWrap/>
            <w:vAlign w:val="center"/>
            <w:hideMark/>
          </w:tcPr>
          <w:p w:rsidR="004A69E4" w:rsidRDefault="004A69E4" w:rsidP="004A69E4">
            <w:pPr>
              <w:spacing w:after="0" w:line="240" w:lineRule="auto"/>
              <w:jc w:val="both"/>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Grand Total</w:t>
            </w:r>
          </w:p>
        </w:tc>
      </w:tr>
      <w:tr w:rsidR="004A69E4" w:rsidTr="004A69E4">
        <w:trPr>
          <w:trHeight w:val="437"/>
          <w:jc w:val="center"/>
        </w:trPr>
        <w:tc>
          <w:tcPr>
            <w:tcW w:w="1445" w:type="dxa"/>
            <w:tcBorders>
              <w:top w:val="nil"/>
              <w:left w:val="single" w:sz="8" w:space="0" w:color="auto"/>
              <w:bottom w:val="single" w:sz="8" w:space="0" w:color="auto"/>
              <w:right w:val="single" w:sz="8" w:space="0" w:color="auto"/>
            </w:tcBorders>
            <w:shd w:val="clear" w:color="auto" w:fill="DAEEF3"/>
            <w:noWrap/>
            <w:vAlign w:val="center"/>
            <w:hideMark/>
          </w:tcPr>
          <w:p w:rsidR="004A69E4" w:rsidRDefault="004A69E4" w:rsidP="004A69E4">
            <w:pPr>
              <w:spacing w:after="0" w:line="240" w:lineRule="auto"/>
              <w:jc w:val="both"/>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1 Coded</w:t>
            </w:r>
          </w:p>
        </w:tc>
        <w:tc>
          <w:tcPr>
            <w:tcW w:w="1588" w:type="dxa"/>
            <w:tcBorders>
              <w:top w:val="nil"/>
              <w:left w:val="nil"/>
              <w:bottom w:val="single" w:sz="8" w:space="0" w:color="auto"/>
              <w:right w:val="single" w:sz="8" w:space="0" w:color="auto"/>
            </w:tcBorders>
            <w:shd w:val="clear" w:color="auto" w:fill="DAEEF3"/>
            <w:noWrap/>
            <w:vAlign w:val="center"/>
            <w:hideMark/>
          </w:tcPr>
          <w:p w:rsidR="004A69E4" w:rsidRDefault="004A69E4" w:rsidP="004A69E4">
            <w:pPr>
              <w:spacing w:after="0" w:line="240" w:lineRule="auto"/>
              <w:jc w:val="both"/>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3,18</w:t>
            </w:r>
          </w:p>
        </w:tc>
        <w:tc>
          <w:tcPr>
            <w:tcW w:w="1486" w:type="dxa"/>
            <w:tcBorders>
              <w:top w:val="nil"/>
              <w:left w:val="nil"/>
              <w:bottom w:val="single" w:sz="8" w:space="0" w:color="auto"/>
              <w:right w:val="single" w:sz="8" w:space="0" w:color="auto"/>
            </w:tcBorders>
            <w:shd w:val="clear" w:color="auto" w:fill="DAEEF3"/>
            <w:noWrap/>
            <w:vAlign w:val="center"/>
            <w:hideMark/>
          </w:tcPr>
          <w:p w:rsidR="004A69E4" w:rsidRDefault="004A69E4" w:rsidP="004A69E4">
            <w:pPr>
              <w:spacing w:after="0" w:line="240" w:lineRule="auto"/>
              <w:jc w:val="both"/>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75,66</w:t>
            </w:r>
          </w:p>
        </w:tc>
        <w:tc>
          <w:tcPr>
            <w:tcW w:w="1445" w:type="dxa"/>
            <w:tcBorders>
              <w:top w:val="nil"/>
              <w:left w:val="nil"/>
              <w:bottom w:val="single" w:sz="8" w:space="0" w:color="auto"/>
              <w:right w:val="single" w:sz="8" w:space="0" w:color="auto"/>
            </w:tcBorders>
            <w:shd w:val="clear" w:color="auto" w:fill="DAEEF3"/>
            <w:noWrap/>
            <w:vAlign w:val="center"/>
            <w:hideMark/>
          </w:tcPr>
          <w:p w:rsidR="004A69E4" w:rsidRDefault="004A69E4" w:rsidP="004A69E4">
            <w:pPr>
              <w:spacing w:after="0" w:line="240" w:lineRule="auto"/>
              <w:jc w:val="both"/>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78,84</w:t>
            </w:r>
          </w:p>
        </w:tc>
      </w:tr>
      <w:tr w:rsidR="004A69E4" w:rsidTr="004A69E4">
        <w:trPr>
          <w:trHeight w:val="437"/>
          <w:jc w:val="center"/>
        </w:trPr>
        <w:tc>
          <w:tcPr>
            <w:tcW w:w="1445" w:type="dxa"/>
            <w:tcBorders>
              <w:top w:val="nil"/>
              <w:left w:val="single" w:sz="8" w:space="0" w:color="auto"/>
              <w:bottom w:val="single" w:sz="8" w:space="0" w:color="auto"/>
              <w:right w:val="single" w:sz="8" w:space="0" w:color="auto"/>
            </w:tcBorders>
            <w:noWrap/>
            <w:vAlign w:val="center"/>
            <w:hideMark/>
          </w:tcPr>
          <w:p w:rsidR="004A69E4" w:rsidRDefault="004A69E4" w:rsidP="004A69E4">
            <w:pPr>
              <w:spacing w:after="0" w:line="240" w:lineRule="auto"/>
              <w:jc w:val="both"/>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 Coded</w:t>
            </w:r>
          </w:p>
        </w:tc>
        <w:tc>
          <w:tcPr>
            <w:tcW w:w="1588" w:type="dxa"/>
            <w:tcBorders>
              <w:top w:val="nil"/>
              <w:left w:val="nil"/>
              <w:bottom w:val="single" w:sz="8" w:space="0" w:color="auto"/>
              <w:right w:val="single" w:sz="8" w:space="0" w:color="auto"/>
            </w:tcBorders>
            <w:noWrap/>
            <w:vAlign w:val="center"/>
            <w:hideMark/>
          </w:tcPr>
          <w:p w:rsidR="004A69E4" w:rsidRDefault="004A69E4" w:rsidP="004A69E4">
            <w:pPr>
              <w:spacing w:after="0" w:line="240" w:lineRule="auto"/>
              <w:jc w:val="both"/>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2,52</w:t>
            </w:r>
          </w:p>
        </w:tc>
        <w:tc>
          <w:tcPr>
            <w:tcW w:w="1486" w:type="dxa"/>
            <w:tcBorders>
              <w:top w:val="nil"/>
              <w:left w:val="nil"/>
              <w:bottom w:val="single" w:sz="8" w:space="0" w:color="auto"/>
              <w:right w:val="single" w:sz="8" w:space="0" w:color="auto"/>
            </w:tcBorders>
            <w:noWrap/>
            <w:vAlign w:val="center"/>
            <w:hideMark/>
          </w:tcPr>
          <w:p w:rsidR="004A69E4" w:rsidRDefault="004A69E4" w:rsidP="004A69E4">
            <w:pPr>
              <w:spacing w:after="0" w:line="240" w:lineRule="auto"/>
              <w:jc w:val="both"/>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38,31</w:t>
            </w:r>
          </w:p>
        </w:tc>
        <w:tc>
          <w:tcPr>
            <w:tcW w:w="1445" w:type="dxa"/>
            <w:tcBorders>
              <w:top w:val="nil"/>
              <w:left w:val="nil"/>
              <w:bottom w:val="single" w:sz="8" w:space="0" w:color="auto"/>
              <w:right w:val="single" w:sz="8" w:space="0" w:color="auto"/>
            </w:tcBorders>
            <w:noWrap/>
            <w:vAlign w:val="center"/>
            <w:hideMark/>
          </w:tcPr>
          <w:p w:rsidR="004A69E4" w:rsidRDefault="004A69E4" w:rsidP="004A69E4">
            <w:pPr>
              <w:spacing w:after="0" w:line="240" w:lineRule="auto"/>
              <w:jc w:val="both"/>
              <w:rPr>
                <w:rFonts w:ascii="Arial" w:eastAsia="Times New Roman" w:hAnsi="Arial" w:cs="Arial"/>
                <w:color w:val="000000"/>
                <w:sz w:val="20"/>
                <w:szCs w:val="20"/>
                <w:lang w:eastAsia="tr-TR" w:bidi="ar-SA"/>
              </w:rPr>
            </w:pPr>
            <w:r>
              <w:rPr>
                <w:rFonts w:ascii="Arial" w:eastAsia="Times New Roman" w:hAnsi="Arial" w:cs="Arial"/>
                <w:color w:val="000000"/>
                <w:sz w:val="20"/>
                <w:szCs w:val="20"/>
                <w:lang w:eastAsia="tr-TR" w:bidi="ar-SA"/>
              </w:rPr>
              <w:t>40,83</w:t>
            </w:r>
          </w:p>
        </w:tc>
      </w:tr>
      <w:tr w:rsidR="004A69E4" w:rsidTr="004A69E4">
        <w:trPr>
          <w:trHeight w:val="437"/>
          <w:jc w:val="center"/>
        </w:trPr>
        <w:tc>
          <w:tcPr>
            <w:tcW w:w="1445" w:type="dxa"/>
            <w:tcBorders>
              <w:top w:val="nil"/>
              <w:left w:val="single" w:sz="8" w:space="0" w:color="auto"/>
              <w:bottom w:val="single" w:sz="8" w:space="0" w:color="auto"/>
              <w:right w:val="single" w:sz="8" w:space="0" w:color="auto"/>
            </w:tcBorders>
            <w:shd w:val="clear" w:color="auto" w:fill="DAEEF3"/>
            <w:noWrap/>
            <w:vAlign w:val="center"/>
            <w:hideMark/>
          </w:tcPr>
          <w:p w:rsidR="004A69E4"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Grand Total</w:t>
            </w:r>
          </w:p>
        </w:tc>
        <w:tc>
          <w:tcPr>
            <w:tcW w:w="1588" w:type="dxa"/>
            <w:tcBorders>
              <w:top w:val="nil"/>
              <w:left w:val="nil"/>
              <w:bottom w:val="single" w:sz="8" w:space="0" w:color="auto"/>
              <w:right w:val="single" w:sz="8" w:space="0" w:color="auto"/>
            </w:tcBorders>
            <w:shd w:val="clear" w:color="auto" w:fill="DAEEF3"/>
            <w:noWrap/>
            <w:vAlign w:val="center"/>
            <w:hideMark/>
          </w:tcPr>
          <w:p w:rsidR="004A69E4"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5,69</w:t>
            </w:r>
          </w:p>
        </w:tc>
        <w:tc>
          <w:tcPr>
            <w:tcW w:w="1486" w:type="dxa"/>
            <w:tcBorders>
              <w:top w:val="nil"/>
              <w:left w:val="nil"/>
              <w:bottom w:val="single" w:sz="8" w:space="0" w:color="auto"/>
              <w:right w:val="single" w:sz="8" w:space="0" w:color="auto"/>
            </w:tcBorders>
            <w:shd w:val="clear" w:color="auto" w:fill="DAEEF3"/>
            <w:noWrap/>
            <w:vAlign w:val="center"/>
            <w:hideMark/>
          </w:tcPr>
          <w:p w:rsidR="004A69E4"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113,98</w:t>
            </w:r>
          </w:p>
        </w:tc>
        <w:tc>
          <w:tcPr>
            <w:tcW w:w="1445" w:type="dxa"/>
            <w:tcBorders>
              <w:top w:val="nil"/>
              <w:left w:val="nil"/>
              <w:bottom w:val="single" w:sz="8" w:space="0" w:color="auto"/>
              <w:right w:val="single" w:sz="8" w:space="0" w:color="auto"/>
            </w:tcBorders>
            <w:shd w:val="clear" w:color="auto" w:fill="DAEEF3"/>
            <w:noWrap/>
            <w:vAlign w:val="center"/>
            <w:hideMark/>
          </w:tcPr>
          <w:p w:rsidR="004A69E4"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119,67</w:t>
            </w:r>
          </w:p>
        </w:tc>
      </w:tr>
    </w:tbl>
    <w:p w:rsidR="004A69E4" w:rsidRPr="006F0703" w:rsidRDefault="004A69E4" w:rsidP="004A69E4">
      <w:pPr>
        <w:pStyle w:val="HTMLncedenBiimlendirilmi"/>
        <w:shd w:val="clear" w:color="auto" w:fill="FFFFFF"/>
        <w:spacing w:line="360" w:lineRule="auto"/>
        <w:jc w:val="both"/>
        <w:rPr>
          <w:rFonts w:ascii="Times New Roman" w:eastAsia="Times New Roman" w:hAnsi="Times New Roman" w:cs="Times New Roman"/>
          <w:color w:val="212121"/>
          <w:sz w:val="24"/>
          <w:szCs w:val="24"/>
          <w:lang w:val="tr-TR" w:eastAsia="tr-TR"/>
        </w:rPr>
      </w:pPr>
    </w:p>
    <w:bookmarkEnd w:id="468"/>
    <w:bookmarkEnd w:id="469"/>
    <w:bookmarkEnd w:id="470"/>
    <w:bookmarkEnd w:id="471"/>
    <w:p w:rsidR="004A69E4" w:rsidRDefault="004A69E4" w:rsidP="004A69E4">
      <w:pPr>
        <w:pStyle w:val="HTMLncedenBiimlendirilmi"/>
        <w:shd w:val="clear" w:color="auto" w:fill="FFFFFF"/>
        <w:spacing w:line="360" w:lineRule="auto"/>
        <w:jc w:val="both"/>
        <w:rPr>
          <w:rFonts w:ascii="Times New Roman" w:eastAsia="Times New Roman" w:hAnsi="Times New Roman" w:cs="Times New Roman"/>
          <w:sz w:val="24"/>
          <w:szCs w:val="24"/>
          <w:lang w:bidi="ar-SA"/>
        </w:rPr>
      </w:pPr>
    </w:p>
    <w:p w:rsidR="004A69E4" w:rsidRPr="0027670E" w:rsidRDefault="004A69E4" w:rsidP="004A69E4">
      <w:pPr>
        <w:pStyle w:val="HTMLncedenBiimlendirilmi"/>
        <w:shd w:val="clear" w:color="auto" w:fill="FFFFFF"/>
        <w:spacing w:line="360" w:lineRule="auto"/>
        <w:jc w:val="both"/>
        <w:rPr>
          <w:rFonts w:ascii="Times New Roman" w:eastAsia="Times New Roman" w:hAnsi="Times New Roman" w:cs="Times New Roman"/>
          <w:sz w:val="24"/>
          <w:szCs w:val="24"/>
          <w:lang w:bidi="ar-SA"/>
        </w:rPr>
      </w:pPr>
      <w:r w:rsidRPr="0027670E">
        <w:rPr>
          <w:rFonts w:ascii="Times New Roman" w:eastAsia="Times New Roman" w:hAnsi="Times New Roman" w:cs="Times New Roman"/>
          <w:sz w:val="24"/>
          <w:szCs w:val="24"/>
          <w:lang w:bidi="ar-SA"/>
        </w:rPr>
        <w:t>The development of additional costs occurred due to the given 1 and 2 coded orders in 2018 are shown in Figure 2.2.9 below.</w:t>
      </w:r>
    </w:p>
    <w:p w:rsidR="004A69E4" w:rsidRDefault="004A69E4" w:rsidP="004A69E4">
      <w:bookmarkStart w:id="478" w:name="_Ref416702468"/>
      <w:bookmarkStart w:id="479" w:name="_Toc512430990"/>
      <w:bookmarkStart w:id="480" w:name="_Toc487101648"/>
      <w:bookmarkStart w:id="481" w:name="_Toc450307928"/>
      <w:bookmarkStart w:id="482" w:name="_Toc432165745"/>
      <w:bookmarkStart w:id="483" w:name="_Toc406661478"/>
      <w:bookmarkStart w:id="484" w:name="_Toc520822117"/>
    </w:p>
    <w:p w:rsidR="004A69E4" w:rsidRDefault="004A69E4" w:rsidP="004A69E4"/>
    <w:p w:rsidR="004A69E4" w:rsidRPr="00A952E0" w:rsidRDefault="004A69E4" w:rsidP="004A69E4">
      <w:pPr>
        <w:jc w:val="both"/>
      </w:pPr>
    </w:p>
    <w:p w:rsidR="004A69E4" w:rsidRDefault="004A69E4" w:rsidP="004A69E4">
      <w:pPr>
        <w:pStyle w:val="Balk2"/>
      </w:pPr>
      <w:bookmarkStart w:id="485" w:name="_Toc10123876"/>
      <w:bookmarkStart w:id="486" w:name="_Toc12526252"/>
      <w:bookmarkStart w:id="487" w:name="_Toc12535883"/>
      <w:r>
        <w:lastRenderedPageBreak/>
        <w:t xml:space="preserve">Figure </w:t>
      </w:r>
      <w:r>
        <w:rPr>
          <w:noProof/>
        </w:rPr>
        <w:t>2</w:t>
      </w:r>
      <w:r>
        <w:t>.2.9: Development of Additional Costs of Orders by Months in 2018 (Million TL)</w:t>
      </w:r>
      <w:bookmarkEnd w:id="485"/>
      <w:bookmarkEnd w:id="486"/>
      <w:bookmarkEnd w:id="487"/>
    </w:p>
    <w:p w:rsidR="004A69E4" w:rsidRPr="00A952E0" w:rsidRDefault="004A69E4" w:rsidP="004A69E4">
      <w:pPr>
        <w:jc w:val="center"/>
      </w:pPr>
      <w:r>
        <w:rPr>
          <w:noProof/>
          <w:lang w:bidi="ar-SA"/>
        </w:rPr>
        <w:drawing>
          <wp:inline distT="0" distB="0" distL="0" distR="0" wp14:anchorId="78FAF091" wp14:editId="4DEBD200">
            <wp:extent cx="5262163" cy="3181350"/>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266690" cy="3184087"/>
                    </a:xfrm>
                    <a:prstGeom prst="rect">
                      <a:avLst/>
                    </a:prstGeom>
                    <a:noFill/>
                    <a:ln>
                      <a:noFill/>
                    </a:ln>
                  </pic:spPr>
                </pic:pic>
              </a:graphicData>
            </a:graphic>
          </wp:inline>
        </w:drawing>
      </w:r>
    </w:p>
    <w:bookmarkEnd w:id="478"/>
    <w:bookmarkEnd w:id="479"/>
    <w:bookmarkEnd w:id="480"/>
    <w:bookmarkEnd w:id="481"/>
    <w:bookmarkEnd w:id="482"/>
    <w:bookmarkEnd w:id="483"/>
    <w:bookmarkEnd w:id="484"/>
    <w:p w:rsidR="004A69E4" w:rsidRDefault="004A69E4" w:rsidP="004A69E4">
      <w:pPr>
        <w:spacing w:line="360" w:lineRule="auto"/>
        <w:jc w:val="both"/>
        <w:rPr>
          <w:rFonts w:ascii="Times New Roman" w:eastAsiaTheme="minorEastAsia" w:hAnsi="Times New Roman" w:cs="Times New Roman"/>
          <w:sz w:val="24"/>
          <w:szCs w:val="24"/>
        </w:rPr>
      </w:pPr>
    </w:p>
    <w:p w:rsidR="004A69E4" w:rsidRDefault="004A69E4" w:rsidP="004A69E4">
      <w:pPr>
        <w:spacing w:line="360" w:lineRule="auto"/>
        <w:jc w:val="both"/>
        <w:rPr>
          <w:rFonts w:ascii="Times New Roman" w:eastAsiaTheme="minorEastAsia" w:hAnsi="Times New Roman" w:cs="Times New Roman"/>
          <w:sz w:val="24"/>
          <w:szCs w:val="24"/>
        </w:rPr>
      </w:pPr>
      <w:r w:rsidRPr="00A952E0">
        <w:rPr>
          <w:rFonts w:ascii="Times New Roman" w:eastAsiaTheme="minorEastAsia" w:hAnsi="Times New Roman" w:cs="Times New Roman"/>
          <w:sz w:val="24"/>
          <w:szCs w:val="24"/>
        </w:rPr>
        <w:t>The development of the Zero Balance Adjustment Component (ZBAC) is shown in Figure 2.2.10. ZBAC decreased by 75,97 % to 297 million TL compared to the previous year.</w:t>
      </w:r>
    </w:p>
    <w:p w:rsidR="004A69E4" w:rsidRPr="00A952E0" w:rsidRDefault="004A69E4" w:rsidP="004A69E4">
      <w:pPr>
        <w:spacing w:line="360" w:lineRule="auto"/>
        <w:jc w:val="both"/>
        <w:rPr>
          <w:rFonts w:ascii="Times New Roman" w:eastAsiaTheme="minorEastAsia" w:hAnsi="Times New Roman" w:cs="Times New Roman"/>
          <w:sz w:val="24"/>
          <w:szCs w:val="24"/>
        </w:rPr>
      </w:pPr>
    </w:p>
    <w:p w:rsidR="004A69E4" w:rsidRDefault="004A69E4" w:rsidP="004A69E4">
      <w:pPr>
        <w:pStyle w:val="Balk2"/>
      </w:pPr>
      <w:bookmarkStart w:id="488" w:name="_Toc520822118"/>
      <w:bookmarkStart w:id="489" w:name="_Toc10123877"/>
      <w:bookmarkStart w:id="490" w:name="_Toc12526253"/>
      <w:bookmarkStart w:id="491" w:name="_Toc12535884"/>
      <w:r>
        <w:t xml:space="preserve">Figure </w:t>
      </w:r>
      <w:r>
        <w:rPr>
          <w:noProof/>
        </w:rPr>
        <w:t>2</w:t>
      </w:r>
      <w:r>
        <w:t>.2.10: Development of Zero Balance Adjustment Component by Years (TL)</w:t>
      </w:r>
      <w:bookmarkEnd w:id="488"/>
      <w:bookmarkEnd w:id="489"/>
      <w:bookmarkEnd w:id="490"/>
      <w:bookmarkEnd w:id="491"/>
    </w:p>
    <w:p w:rsidR="004A69E4" w:rsidRDefault="004A69E4" w:rsidP="004A69E4">
      <w:pPr>
        <w:spacing w:line="360" w:lineRule="auto"/>
        <w:jc w:val="center"/>
      </w:pPr>
      <w:r>
        <w:rPr>
          <w:noProof/>
          <w:lang w:bidi="ar-SA"/>
        </w:rPr>
        <w:drawing>
          <wp:inline distT="0" distB="0" distL="0" distR="0" wp14:anchorId="6AE4366B" wp14:editId="5008A0B4">
            <wp:extent cx="5760327" cy="3476625"/>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64530" cy="3479162"/>
                    </a:xfrm>
                    <a:prstGeom prst="rect">
                      <a:avLst/>
                    </a:prstGeom>
                    <a:noFill/>
                    <a:ln>
                      <a:noFill/>
                    </a:ln>
                  </pic:spPr>
                </pic:pic>
              </a:graphicData>
            </a:graphic>
          </wp:inline>
        </w:drawing>
      </w:r>
    </w:p>
    <w:p w:rsidR="004A69E4" w:rsidRPr="0099731C" w:rsidRDefault="004A69E4" w:rsidP="004A69E4">
      <w:pPr>
        <w:pStyle w:val="BALIKLAR"/>
        <w:spacing w:line="360" w:lineRule="auto"/>
        <w:jc w:val="both"/>
        <w:rPr>
          <w:rFonts w:cs="Times New Roman"/>
        </w:rPr>
      </w:pPr>
      <w:bookmarkStart w:id="492" w:name="_Toc12528945"/>
      <w:r>
        <w:rPr>
          <w:rFonts w:cs="Times New Roman"/>
        </w:rPr>
        <w:lastRenderedPageBreak/>
        <w:t>2.3 Intra-Day Market</w:t>
      </w:r>
      <w:bookmarkEnd w:id="492"/>
    </w:p>
    <w:p w:rsidR="004A69E4" w:rsidRDefault="004A69E4" w:rsidP="004A69E4">
      <w:pPr>
        <w:pStyle w:val="NormalWeb"/>
        <w:shd w:val="clear" w:color="auto" w:fill="FFFFFF"/>
        <w:spacing w:line="360" w:lineRule="auto"/>
        <w:jc w:val="both"/>
      </w:pPr>
    </w:p>
    <w:p w:rsidR="004A69E4" w:rsidRPr="00EC3DF0" w:rsidRDefault="004A69E4" w:rsidP="004A69E4">
      <w:pPr>
        <w:pStyle w:val="NormalWeb"/>
        <w:shd w:val="clear" w:color="auto" w:fill="FFFFFF"/>
        <w:spacing w:line="360" w:lineRule="auto"/>
        <w:jc w:val="both"/>
      </w:pPr>
      <w:r w:rsidRPr="00EC3DF0">
        <w:t>Efforts are continuing to ensure that the Turkish Electricity Market is more transparent and efficient, financially strong, integrated with the European Union electricity markets. On 1 July 2015, the Intra-Day Market was in operation to ensure that participants in the Turkish electricity market, which is constantly evolving and advancing for free market, playing more balanced and effective role.</w:t>
      </w:r>
    </w:p>
    <w:p w:rsidR="004A69E4" w:rsidRPr="00EC3DF0" w:rsidRDefault="004A69E4" w:rsidP="004A69E4">
      <w:pPr>
        <w:pStyle w:val="NormalWeb"/>
        <w:shd w:val="clear" w:color="auto" w:fill="FFFFFF"/>
        <w:spacing w:line="360" w:lineRule="auto"/>
        <w:jc w:val="both"/>
      </w:pPr>
      <w:r w:rsidRPr="00EC3DF0">
        <w:t>Day-Ahead, Ancillary Services and Balancing Power Markets currently in operation, with the addition of Intra-Day Market, provide real-time trading opportunities and offermarket participants the opportunity to manage short-term portfolios.</w:t>
      </w:r>
    </w:p>
    <w:p w:rsidR="004A69E4" w:rsidRDefault="004A69E4" w:rsidP="004A69E4">
      <w:pPr>
        <w:spacing w:line="360" w:lineRule="auto"/>
        <w:jc w:val="both"/>
        <w:rPr>
          <w:rFonts w:ascii="Times New Roman" w:eastAsiaTheme="minorEastAsia" w:hAnsi="Times New Roman" w:cs="Times New Roman"/>
          <w:sz w:val="24"/>
          <w:szCs w:val="24"/>
        </w:rPr>
      </w:pPr>
      <w:r w:rsidRPr="00EC3DF0">
        <w:rPr>
          <w:rFonts w:ascii="Times New Roman" w:eastAsiaTheme="minorEastAsia" w:hAnsi="Times New Roman" w:cs="Times New Roman"/>
          <w:sz w:val="24"/>
          <w:szCs w:val="24"/>
        </w:rPr>
        <w:t>In Figure 2.3.1 below, monthly volume of the Intra-Day Market and the weighted average price in 2018 is given.</w:t>
      </w:r>
    </w:p>
    <w:p w:rsidR="004A69E4" w:rsidRPr="00EC3DF0" w:rsidRDefault="004A69E4" w:rsidP="004A69E4">
      <w:pPr>
        <w:spacing w:line="360" w:lineRule="auto"/>
        <w:jc w:val="both"/>
        <w:rPr>
          <w:rFonts w:ascii="Times New Roman" w:eastAsiaTheme="minorEastAsia" w:hAnsi="Times New Roman" w:cs="Times New Roman"/>
          <w:sz w:val="24"/>
          <w:szCs w:val="24"/>
        </w:rPr>
      </w:pPr>
    </w:p>
    <w:p w:rsidR="004A69E4" w:rsidRDefault="004A69E4" w:rsidP="004A69E4">
      <w:pPr>
        <w:pStyle w:val="Balk2"/>
      </w:pPr>
      <w:bookmarkStart w:id="493" w:name="_Toc512430992"/>
      <w:bookmarkStart w:id="494" w:name="_Toc487101650"/>
      <w:bookmarkStart w:id="495" w:name="_Toc450307930"/>
      <w:bookmarkStart w:id="496" w:name="_Toc520822119"/>
      <w:bookmarkStart w:id="497" w:name="_Toc10123879"/>
      <w:bookmarkStart w:id="498" w:name="_Toc12526255"/>
      <w:bookmarkStart w:id="499" w:name="_Toc12535885"/>
      <w:r>
        <w:t xml:space="preserve">Figure </w:t>
      </w:r>
      <w:r>
        <w:rPr>
          <w:noProof/>
        </w:rPr>
        <w:t>2</w:t>
      </w:r>
      <w:r>
        <w:t xml:space="preserve">.3.1: </w:t>
      </w:r>
      <w:bookmarkEnd w:id="493"/>
      <w:bookmarkEnd w:id="494"/>
      <w:bookmarkEnd w:id="495"/>
      <w:r>
        <w:t>Monthly Development of Trading Volume and Average Price in the Intra-Day Market (MWh - TL / MWh)</w:t>
      </w:r>
      <w:bookmarkEnd w:id="496"/>
      <w:bookmarkEnd w:id="497"/>
      <w:bookmarkEnd w:id="498"/>
      <w:bookmarkEnd w:id="499"/>
    </w:p>
    <w:p w:rsidR="004A69E4" w:rsidRDefault="004A69E4" w:rsidP="004A69E4">
      <w:pPr>
        <w:jc w:val="center"/>
      </w:pPr>
      <w:r>
        <w:rPr>
          <w:noProof/>
          <w:lang w:bidi="ar-SA"/>
        </w:rPr>
        <w:drawing>
          <wp:inline distT="0" distB="0" distL="0" distR="0" wp14:anchorId="760A0090" wp14:editId="78C49915">
            <wp:extent cx="5267325" cy="3162300"/>
            <wp:effectExtent l="0" t="0" r="952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66690" cy="3161919"/>
                    </a:xfrm>
                    <a:prstGeom prst="rect">
                      <a:avLst/>
                    </a:prstGeom>
                    <a:noFill/>
                    <a:ln>
                      <a:noFill/>
                    </a:ln>
                  </pic:spPr>
                </pic:pic>
              </a:graphicData>
            </a:graphic>
          </wp:inline>
        </w:drawing>
      </w:r>
    </w:p>
    <w:p w:rsidR="004A69E4" w:rsidRDefault="004A69E4" w:rsidP="004A69E4">
      <w:pPr>
        <w:spacing w:line="360" w:lineRule="auto"/>
        <w:jc w:val="both"/>
        <w:rPr>
          <w:rFonts w:ascii="Times New Roman" w:eastAsiaTheme="minorEastAsia" w:hAnsi="Times New Roman" w:cs="Times New Roman"/>
          <w:sz w:val="24"/>
          <w:szCs w:val="24"/>
        </w:rPr>
      </w:pPr>
      <w:bookmarkStart w:id="500" w:name="_Toc512430993"/>
      <w:bookmarkStart w:id="501" w:name="_Toc487101651"/>
    </w:p>
    <w:p w:rsidR="004A69E4" w:rsidRPr="00EC3DF0" w:rsidRDefault="004A69E4" w:rsidP="004A69E4">
      <w:pPr>
        <w:spacing w:line="360" w:lineRule="auto"/>
        <w:jc w:val="both"/>
        <w:rPr>
          <w:rFonts w:ascii="Times New Roman" w:eastAsiaTheme="minorEastAsia" w:hAnsi="Times New Roman" w:cs="Times New Roman"/>
          <w:sz w:val="24"/>
          <w:szCs w:val="24"/>
        </w:rPr>
      </w:pPr>
      <w:r w:rsidRPr="00EC3DF0">
        <w:rPr>
          <w:rFonts w:ascii="Times New Roman" w:eastAsiaTheme="minorEastAsia" w:hAnsi="Times New Roman" w:cs="Times New Roman"/>
          <w:sz w:val="24"/>
          <w:szCs w:val="24"/>
        </w:rPr>
        <w:t>In Figure 2.3.2 the distribution of purchases of IDM on the basis of company and the share of first 10 companies and in Figure 2.3.3, the distribution of sales in IDM on the basis of the company and the share of top 10 seller companies are shown.</w:t>
      </w:r>
    </w:p>
    <w:p w:rsidR="004A69E4" w:rsidRDefault="004A69E4" w:rsidP="004A69E4">
      <w:pPr>
        <w:pStyle w:val="Balk2"/>
      </w:pPr>
      <w:bookmarkStart w:id="502" w:name="_Toc520822120"/>
      <w:bookmarkStart w:id="503" w:name="_Toc494988650"/>
      <w:bookmarkStart w:id="504" w:name="_Toc10123880"/>
      <w:bookmarkStart w:id="505" w:name="_Toc12526256"/>
      <w:bookmarkStart w:id="506" w:name="_Toc12535886"/>
      <w:bookmarkEnd w:id="500"/>
      <w:bookmarkEnd w:id="501"/>
      <w:r>
        <w:lastRenderedPageBreak/>
        <w:t>Figure 2.3.2: Distribution of Purchases of Intra-Day Market by Companies and the Share of Top 10 Companies (%)</w:t>
      </w:r>
      <w:bookmarkEnd w:id="502"/>
      <w:bookmarkEnd w:id="503"/>
      <w:bookmarkEnd w:id="504"/>
      <w:bookmarkEnd w:id="505"/>
      <w:bookmarkEnd w:id="506"/>
    </w:p>
    <w:p w:rsidR="004A69E4" w:rsidRPr="00EC3DF0" w:rsidRDefault="004A69E4" w:rsidP="004A69E4">
      <w:pPr>
        <w:jc w:val="center"/>
      </w:pPr>
      <w:r>
        <w:rPr>
          <w:noProof/>
          <w:lang w:bidi="ar-SA"/>
        </w:rPr>
        <w:drawing>
          <wp:inline distT="0" distB="0" distL="0" distR="0" wp14:anchorId="2931B5BD" wp14:editId="7315D7EB">
            <wp:extent cx="5591175" cy="3400425"/>
            <wp:effectExtent l="0" t="0" r="9525" b="952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88635" cy="3398880"/>
                    </a:xfrm>
                    <a:prstGeom prst="rect">
                      <a:avLst/>
                    </a:prstGeom>
                    <a:noFill/>
                    <a:ln>
                      <a:noFill/>
                    </a:ln>
                  </pic:spPr>
                </pic:pic>
              </a:graphicData>
            </a:graphic>
          </wp:inline>
        </w:drawing>
      </w:r>
    </w:p>
    <w:p w:rsidR="004A69E4" w:rsidRDefault="004A69E4" w:rsidP="004A69E4">
      <w:bookmarkStart w:id="507" w:name="_Toc520822121"/>
      <w:bookmarkStart w:id="508" w:name="_Toc494988651"/>
      <w:bookmarkStart w:id="509" w:name="_Toc10123881"/>
    </w:p>
    <w:p w:rsidR="004A69E4" w:rsidRDefault="004A69E4" w:rsidP="004A69E4"/>
    <w:p w:rsidR="004A69E4" w:rsidRDefault="004A69E4" w:rsidP="004A69E4">
      <w:pPr>
        <w:pStyle w:val="Balk2"/>
      </w:pPr>
      <w:bookmarkStart w:id="510" w:name="_Toc12526257"/>
      <w:bookmarkStart w:id="511" w:name="_Toc12535887"/>
      <w:r>
        <w:t>Figure 2.3.3: Distribution of Sales in Intra-Day Market by Companies and the Share of Top 10 Companies (%)</w:t>
      </w:r>
      <w:bookmarkEnd w:id="507"/>
      <w:bookmarkEnd w:id="508"/>
      <w:bookmarkEnd w:id="509"/>
      <w:bookmarkEnd w:id="510"/>
      <w:bookmarkEnd w:id="511"/>
    </w:p>
    <w:p w:rsidR="004A69E4" w:rsidRPr="00EC3DF0" w:rsidRDefault="004A69E4" w:rsidP="004A69E4">
      <w:pPr>
        <w:jc w:val="center"/>
      </w:pPr>
      <w:r>
        <w:rPr>
          <w:noProof/>
          <w:lang w:bidi="ar-SA"/>
        </w:rPr>
        <w:drawing>
          <wp:inline distT="0" distB="0" distL="0" distR="0" wp14:anchorId="28093E6B" wp14:editId="05AC65DE">
            <wp:extent cx="5762625" cy="3371850"/>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64530" cy="3372965"/>
                    </a:xfrm>
                    <a:prstGeom prst="rect">
                      <a:avLst/>
                    </a:prstGeom>
                    <a:noFill/>
                    <a:ln>
                      <a:noFill/>
                    </a:ln>
                  </pic:spPr>
                </pic:pic>
              </a:graphicData>
            </a:graphic>
          </wp:inline>
        </w:drawing>
      </w:r>
    </w:p>
    <w:p w:rsidR="004A69E4" w:rsidRDefault="004A69E4" w:rsidP="004A69E4"/>
    <w:p w:rsidR="004A69E4" w:rsidRDefault="004A69E4" w:rsidP="004A69E4"/>
    <w:p w:rsidR="004A69E4" w:rsidRDefault="004A69E4" w:rsidP="004A69E4">
      <w:pPr>
        <w:pStyle w:val="BALIKLAR"/>
        <w:jc w:val="both"/>
      </w:pPr>
      <w:bookmarkStart w:id="512" w:name="_Toc432165747"/>
      <w:bookmarkStart w:id="513" w:name="_Toc12528946"/>
      <w:r w:rsidRPr="00084C12">
        <w:lastRenderedPageBreak/>
        <w:t>2.4 Bilateral Agreements</w:t>
      </w:r>
      <w:bookmarkEnd w:id="513"/>
    </w:p>
    <w:p w:rsidR="004A69E4" w:rsidRDefault="004A69E4" w:rsidP="004A69E4">
      <w:pPr>
        <w:spacing w:line="360" w:lineRule="auto"/>
        <w:jc w:val="both"/>
        <w:rPr>
          <w:rFonts w:ascii="Times New Roman" w:eastAsiaTheme="minorEastAsia" w:hAnsi="Times New Roman" w:cs="Times New Roman"/>
          <w:sz w:val="24"/>
          <w:szCs w:val="24"/>
        </w:rPr>
      </w:pPr>
    </w:p>
    <w:p w:rsidR="004A69E4" w:rsidRPr="00084C12" w:rsidRDefault="004A69E4" w:rsidP="004A69E4">
      <w:pPr>
        <w:spacing w:line="360" w:lineRule="auto"/>
        <w:jc w:val="both"/>
        <w:rPr>
          <w:rFonts w:ascii="Times New Roman" w:eastAsiaTheme="minorEastAsia" w:hAnsi="Times New Roman" w:cs="Times New Roman"/>
          <w:sz w:val="24"/>
          <w:szCs w:val="24"/>
        </w:rPr>
      </w:pPr>
      <w:r w:rsidRPr="00084C12">
        <w:rPr>
          <w:rFonts w:ascii="Times New Roman" w:eastAsiaTheme="minorEastAsia" w:hAnsi="Times New Roman" w:cs="Times New Roman"/>
          <w:sz w:val="24"/>
          <w:szCs w:val="24"/>
        </w:rPr>
        <w:t xml:space="preserve">Bilateral agreements are based on the construction of the Turkish electricity market, and the other organized markets are designed in the figure complementing the market. Most of the energy traded in the market is traded on bilateral agreements. Bilateral agreements are free between market participants and are not subject to regulation. However, the majority of the existing bilateral agreement volume is the ones signed by TETAŞ with </w:t>
      </w:r>
      <w:r>
        <w:rPr>
          <w:rFonts w:ascii="Times New Roman" w:eastAsiaTheme="minorEastAsia" w:hAnsi="Times New Roman" w:cs="Times New Roman"/>
          <w:sz w:val="24"/>
          <w:szCs w:val="24"/>
        </w:rPr>
        <w:t>the incumbent supply companies. Also, d</w:t>
      </w:r>
      <w:r w:rsidRPr="00084C12">
        <w:rPr>
          <w:rFonts w:ascii="Times New Roman" w:eastAsiaTheme="minorEastAsia" w:hAnsi="Times New Roman" w:cs="Times New Roman"/>
          <w:sz w:val="24"/>
          <w:szCs w:val="24"/>
        </w:rPr>
        <w:t>istribution companies have energy purchases from TETAŞ for losses and general lighting purposes under bilateral agreements.</w:t>
      </w:r>
    </w:p>
    <w:p w:rsidR="004A69E4" w:rsidRPr="00084C12" w:rsidRDefault="004A69E4" w:rsidP="004A69E4">
      <w:pPr>
        <w:spacing w:line="360" w:lineRule="auto"/>
        <w:jc w:val="both"/>
        <w:rPr>
          <w:rFonts w:ascii="Times New Roman" w:eastAsiaTheme="minorEastAsia" w:hAnsi="Times New Roman" w:cs="Times New Roman"/>
          <w:sz w:val="24"/>
          <w:szCs w:val="24"/>
        </w:rPr>
      </w:pPr>
      <w:r w:rsidRPr="00084C12">
        <w:rPr>
          <w:rFonts w:ascii="Times New Roman" w:eastAsiaTheme="minorEastAsia" w:hAnsi="Times New Roman" w:cs="Times New Roman"/>
          <w:sz w:val="24"/>
          <w:szCs w:val="24"/>
        </w:rPr>
        <w:t xml:space="preserve">In the Figure 2.4.1 monthly bilateral agreement volumes in 2016-2018 are shown.  </w:t>
      </w:r>
    </w:p>
    <w:p w:rsidR="004A69E4" w:rsidRDefault="004A69E4" w:rsidP="004A69E4">
      <w:pPr>
        <w:pStyle w:val="Balk2"/>
        <w:rPr>
          <w:szCs w:val="22"/>
        </w:rPr>
      </w:pPr>
      <w:bookmarkStart w:id="514" w:name="_Toc520822122"/>
      <w:bookmarkStart w:id="515" w:name="_Toc494988652"/>
      <w:bookmarkStart w:id="516" w:name="_Toc10123883"/>
      <w:bookmarkStart w:id="517" w:name="_Toc12526259"/>
      <w:bookmarkStart w:id="518" w:name="_Toc12535888"/>
      <w:bookmarkEnd w:id="512"/>
      <w:r>
        <w:t>Figure 2.4.1: Monthly Bilateral Agreement Volume by Years (MWh)</w:t>
      </w:r>
      <w:bookmarkEnd w:id="514"/>
      <w:bookmarkEnd w:id="515"/>
      <w:bookmarkEnd w:id="516"/>
      <w:bookmarkEnd w:id="517"/>
      <w:bookmarkEnd w:id="518"/>
    </w:p>
    <w:p w:rsidR="004A69E4" w:rsidRDefault="004A69E4" w:rsidP="004A69E4">
      <w:pPr>
        <w:spacing w:line="276" w:lineRule="auto"/>
        <w:jc w:val="both"/>
        <w:rPr>
          <w:rFonts w:ascii="Times New Roman" w:hAnsi="Times New Roman"/>
          <w:b/>
          <w:sz w:val="24"/>
          <w:szCs w:val="32"/>
          <w:lang w:bidi="ar-SA"/>
        </w:rPr>
      </w:pPr>
      <w:r>
        <w:rPr>
          <w:rFonts w:ascii="Times New Roman" w:hAnsi="Times New Roman"/>
          <w:b/>
          <w:noProof/>
          <w:sz w:val="24"/>
          <w:szCs w:val="32"/>
          <w:lang w:bidi="ar-SA"/>
        </w:rPr>
        <w:drawing>
          <wp:inline distT="0" distB="0" distL="0" distR="0" wp14:anchorId="41CCA4B4" wp14:editId="62D769ED">
            <wp:extent cx="5505450" cy="3333750"/>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08625" cy="3335673"/>
                    </a:xfrm>
                    <a:prstGeom prst="rect">
                      <a:avLst/>
                    </a:prstGeom>
                    <a:noFill/>
                    <a:ln>
                      <a:noFill/>
                    </a:ln>
                  </pic:spPr>
                </pic:pic>
              </a:graphicData>
            </a:graphic>
          </wp:inline>
        </w:drawing>
      </w:r>
    </w:p>
    <w:p w:rsidR="004A69E4" w:rsidRDefault="004A69E4" w:rsidP="004A69E4">
      <w:pPr>
        <w:spacing w:line="276" w:lineRule="auto"/>
        <w:jc w:val="center"/>
        <w:rPr>
          <w:rFonts w:ascii="Times New Roman" w:hAnsi="Times New Roman"/>
          <w:b/>
          <w:sz w:val="24"/>
          <w:szCs w:val="32"/>
          <w:lang w:bidi="ar-SA"/>
        </w:rPr>
      </w:pPr>
    </w:p>
    <w:p w:rsidR="004A69E4" w:rsidRPr="00084C12" w:rsidRDefault="004A69E4" w:rsidP="004A69E4">
      <w:pPr>
        <w:spacing w:line="360" w:lineRule="auto"/>
        <w:jc w:val="both"/>
        <w:rPr>
          <w:rFonts w:ascii="Times New Roman" w:eastAsiaTheme="minorEastAsia" w:hAnsi="Times New Roman" w:cs="Times New Roman"/>
          <w:sz w:val="24"/>
          <w:szCs w:val="24"/>
        </w:rPr>
      </w:pPr>
      <w:r w:rsidRPr="00084C12">
        <w:rPr>
          <w:rFonts w:ascii="Times New Roman" w:eastAsiaTheme="minorEastAsia" w:hAnsi="Times New Roman" w:cs="Times New Roman"/>
          <w:sz w:val="24"/>
          <w:szCs w:val="24"/>
        </w:rPr>
        <w:t>In the following Figure 2.4.2 the distribution of purchases with bilateral agreement on the basis of the company and the share of top 10 buyer companies and in Figure 2.4.3, the distribution of sales with bilateral agreement on the basis of the company and the share of top 10 seller companies are shown.</w:t>
      </w:r>
    </w:p>
    <w:p w:rsidR="004A69E4" w:rsidRDefault="004A69E4" w:rsidP="004A69E4">
      <w:pPr>
        <w:pStyle w:val="Balk2"/>
      </w:pPr>
      <w:bookmarkStart w:id="519" w:name="_Toc520822123"/>
      <w:bookmarkStart w:id="520" w:name="_Toc494988653"/>
      <w:bookmarkStart w:id="521" w:name="_Toc10123884"/>
      <w:bookmarkStart w:id="522" w:name="_Toc12526260"/>
      <w:bookmarkStart w:id="523" w:name="_Toc12535889"/>
      <w:r>
        <w:lastRenderedPageBreak/>
        <w:t>Figure 2.4.2: Distribution of Purchases of Bilateral Agreement by Companies and the Share of Top 10 Companies (%)</w:t>
      </w:r>
      <w:bookmarkEnd w:id="519"/>
      <w:bookmarkEnd w:id="520"/>
      <w:bookmarkEnd w:id="521"/>
      <w:bookmarkEnd w:id="522"/>
      <w:bookmarkEnd w:id="523"/>
    </w:p>
    <w:p w:rsidR="004A69E4" w:rsidRDefault="004A69E4" w:rsidP="004A69E4">
      <w:pPr>
        <w:jc w:val="center"/>
        <w:rPr>
          <w:rFonts w:eastAsiaTheme="minorEastAsia"/>
        </w:rPr>
      </w:pPr>
      <w:r>
        <w:rPr>
          <w:rFonts w:eastAsiaTheme="minorEastAsia"/>
          <w:noProof/>
          <w:lang w:bidi="ar-SA"/>
        </w:rPr>
        <w:drawing>
          <wp:inline distT="0" distB="0" distL="0" distR="0" wp14:anchorId="7D078F72" wp14:editId="26170D44">
            <wp:extent cx="5626100" cy="274320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26100" cy="2743200"/>
                    </a:xfrm>
                    <a:prstGeom prst="rect">
                      <a:avLst/>
                    </a:prstGeom>
                    <a:noFill/>
                    <a:ln>
                      <a:noFill/>
                    </a:ln>
                  </pic:spPr>
                </pic:pic>
              </a:graphicData>
            </a:graphic>
          </wp:inline>
        </w:drawing>
      </w:r>
    </w:p>
    <w:p w:rsidR="004A69E4" w:rsidRDefault="004A69E4" w:rsidP="004A69E4">
      <w:pPr>
        <w:pStyle w:val="Balk2"/>
      </w:pPr>
      <w:bookmarkStart w:id="524" w:name="_Toc520822124"/>
      <w:bookmarkStart w:id="525" w:name="_Toc10123886"/>
      <w:bookmarkStart w:id="526" w:name="_Toc12526261"/>
      <w:bookmarkStart w:id="527" w:name="_Toc12535890"/>
      <w:r>
        <w:t>Figure 2.4.3: Distribution of Sales with Bilateral Agreement by Companies and the Share of Top 10 Companies (%)</w:t>
      </w:r>
      <w:bookmarkEnd w:id="524"/>
      <w:bookmarkEnd w:id="525"/>
      <w:bookmarkEnd w:id="526"/>
      <w:bookmarkEnd w:id="527"/>
    </w:p>
    <w:p w:rsidR="004A69E4" w:rsidRDefault="004A69E4" w:rsidP="004A69E4">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bidi="ar-SA"/>
        </w:rPr>
        <w:drawing>
          <wp:inline distT="0" distB="0" distL="0" distR="0" wp14:anchorId="5D649F20" wp14:editId="78397C04">
            <wp:extent cx="5591002" cy="352425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88635" cy="3522758"/>
                    </a:xfrm>
                    <a:prstGeom prst="rect">
                      <a:avLst/>
                    </a:prstGeom>
                    <a:noFill/>
                    <a:ln>
                      <a:noFill/>
                    </a:ln>
                  </pic:spPr>
                </pic:pic>
              </a:graphicData>
            </a:graphic>
          </wp:inline>
        </w:drawing>
      </w:r>
    </w:p>
    <w:p w:rsidR="004A69E4" w:rsidRPr="00AA5F85" w:rsidRDefault="004A69E4" w:rsidP="004A69E4">
      <w:pPr>
        <w:spacing w:after="0" w:line="360" w:lineRule="auto"/>
        <w:jc w:val="both"/>
        <w:rPr>
          <w:rFonts w:ascii="Times New Roman" w:eastAsiaTheme="minorEastAsia" w:hAnsi="Times New Roman" w:cs="Times New Roman"/>
          <w:sz w:val="24"/>
          <w:szCs w:val="24"/>
        </w:rPr>
      </w:pPr>
      <w:r w:rsidRPr="00AA5F85">
        <w:rPr>
          <w:rFonts w:ascii="Times New Roman" w:eastAsiaTheme="minorEastAsia" w:hAnsi="Times New Roman" w:cs="Times New Roman"/>
          <w:sz w:val="24"/>
          <w:szCs w:val="24"/>
        </w:rPr>
        <w:t>The wholesale tariffs of TETAŞ are determined by Board Decision and it is considered that TETAŞ fulfills its obligations arising from existing contracts.</w:t>
      </w:r>
      <w:r w:rsidRPr="00AA5F85">
        <w:rPr>
          <w:rFonts w:ascii="Times New Roman" w:hAnsi="Times New Roman" w:cs="Times New Roman"/>
          <w:sz w:val="24"/>
          <w:szCs w:val="24"/>
        </w:rPr>
        <w:t xml:space="preserve"> </w:t>
      </w:r>
      <w:r w:rsidRPr="00AA5F85">
        <w:rPr>
          <w:rFonts w:ascii="Times New Roman" w:hAnsi="Times New Roman" w:cs="Times New Roman"/>
          <w:sz w:val="24"/>
          <w:szCs w:val="24"/>
        </w:rPr>
        <w:br/>
      </w:r>
      <w:r w:rsidRPr="00AA5F85">
        <w:rPr>
          <w:rFonts w:ascii="Times New Roman" w:hAnsi="Times New Roman" w:cs="Times New Roman"/>
          <w:color w:val="212121"/>
          <w:sz w:val="24"/>
          <w:szCs w:val="24"/>
          <w:shd w:val="clear" w:color="auto" w:fill="FFFFFF"/>
        </w:rPr>
        <w:t>While the single price for the tariff TETAŞ wholesale tariff was announced, a separate price was determined for the general lighting cost since 2017.</w:t>
      </w:r>
      <w:r w:rsidRPr="00AA5F85">
        <w:rPr>
          <w:rFonts w:ascii="Times New Roman" w:eastAsiaTheme="minorEastAsia" w:hAnsi="Times New Roman" w:cs="Times New Roman"/>
          <w:sz w:val="24"/>
          <w:szCs w:val="24"/>
        </w:rPr>
        <w:t xml:space="preserve"> </w:t>
      </w:r>
      <w:bookmarkStart w:id="528" w:name="_Toc450307932"/>
      <w:bookmarkStart w:id="529" w:name="_Toc432165748"/>
      <w:r w:rsidRPr="00AA5F85">
        <w:rPr>
          <w:rFonts w:ascii="Times New Roman" w:eastAsiaTheme="minorEastAsia" w:hAnsi="Times New Roman" w:cs="Times New Roman"/>
          <w:sz w:val="24"/>
          <w:szCs w:val="24"/>
        </w:rPr>
        <w:t>In the Figure 2.4.4 the change in TETAŞ wholesale prices over periods are shown.</w:t>
      </w:r>
    </w:p>
    <w:p w:rsidR="004A69E4" w:rsidRDefault="004A69E4" w:rsidP="004A69E4">
      <w:pPr>
        <w:spacing w:after="0" w:line="360" w:lineRule="auto"/>
        <w:ind w:firstLine="708"/>
        <w:jc w:val="both"/>
        <w:rPr>
          <w:rFonts w:asciiTheme="minorHAnsi" w:eastAsiaTheme="minorEastAsia" w:hAnsiTheme="minorHAnsi" w:cstheme="minorHAnsi"/>
          <w:sz w:val="24"/>
          <w:szCs w:val="24"/>
        </w:rPr>
      </w:pPr>
    </w:p>
    <w:p w:rsidR="004A69E4" w:rsidRDefault="004A69E4" w:rsidP="004A69E4">
      <w:bookmarkStart w:id="530" w:name="_Toc494988655"/>
      <w:bookmarkEnd w:id="528"/>
      <w:bookmarkEnd w:id="529"/>
    </w:p>
    <w:p w:rsidR="004A69E4" w:rsidRDefault="004A69E4" w:rsidP="004A69E4">
      <w:pPr>
        <w:pStyle w:val="Balk2"/>
      </w:pPr>
      <w:bookmarkStart w:id="531" w:name="_Toc520822125"/>
      <w:bookmarkStart w:id="532" w:name="_Toc10123887"/>
      <w:bookmarkStart w:id="533" w:name="_Toc12526262"/>
      <w:bookmarkStart w:id="534" w:name="_Toc12535891"/>
      <w:r>
        <w:t>Figure 2.4.4: TETAŞ Wholesale Prices Between 2011-2018 (kr / kWh)</w:t>
      </w:r>
      <w:bookmarkEnd w:id="530"/>
      <w:bookmarkEnd w:id="531"/>
      <w:bookmarkEnd w:id="532"/>
      <w:bookmarkEnd w:id="533"/>
      <w:bookmarkEnd w:id="534"/>
    </w:p>
    <w:p w:rsidR="004A69E4" w:rsidRDefault="004A69E4" w:rsidP="004A69E4">
      <w:pPr>
        <w:rPr>
          <w:lang w:bidi="ar-SA"/>
        </w:rPr>
      </w:pPr>
      <w:r>
        <w:rPr>
          <w:noProof/>
          <w:lang w:bidi="ar-SA"/>
        </w:rPr>
        <w:drawing>
          <wp:inline distT="0" distB="0" distL="0" distR="0" wp14:anchorId="5057AD26" wp14:editId="4E9A62D8">
            <wp:extent cx="5577840" cy="2743200"/>
            <wp:effectExtent l="0" t="0" r="381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77840" cy="2743200"/>
                    </a:xfrm>
                    <a:prstGeom prst="rect">
                      <a:avLst/>
                    </a:prstGeom>
                    <a:noFill/>
                    <a:ln>
                      <a:noFill/>
                    </a:ln>
                  </pic:spPr>
                </pic:pic>
              </a:graphicData>
            </a:graphic>
          </wp:inline>
        </w:drawing>
      </w:r>
    </w:p>
    <w:p w:rsidR="004A69E4" w:rsidRDefault="004A69E4" w:rsidP="004A69E4">
      <w:pPr>
        <w:pStyle w:val="BALIKLAR"/>
        <w:jc w:val="both"/>
      </w:pPr>
    </w:p>
    <w:p w:rsidR="004A69E4" w:rsidRDefault="004A69E4" w:rsidP="004A69E4">
      <w:pPr>
        <w:pStyle w:val="BALIKLAR"/>
        <w:jc w:val="both"/>
      </w:pPr>
      <w:bookmarkStart w:id="535" w:name="_Toc12528947"/>
      <w:r>
        <w:t xml:space="preserve">2.5 </w:t>
      </w:r>
      <w:r w:rsidR="00944835">
        <w:t>RESSUM</w:t>
      </w:r>
      <w:bookmarkEnd w:id="535"/>
    </w:p>
    <w:p w:rsidR="004A69E4" w:rsidRPr="00792BA9" w:rsidRDefault="00944835" w:rsidP="00944835">
      <w:pPr>
        <w:tabs>
          <w:tab w:val="left" w:pos="1775"/>
        </w:tabs>
      </w:pPr>
      <w:r>
        <w:tab/>
      </w:r>
    </w:p>
    <w:p w:rsidR="004A69E4" w:rsidRPr="00792BA9" w:rsidRDefault="004A69E4" w:rsidP="004A69E4">
      <w:pPr>
        <w:spacing w:line="360" w:lineRule="auto"/>
        <w:jc w:val="both"/>
        <w:rPr>
          <w:rFonts w:ascii="Times New Roman" w:eastAsiaTheme="minorEastAsia" w:hAnsi="Times New Roman" w:cs="Times New Roman"/>
          <w:sz w:val="24"/>
          <w:szCs w:val="24"/>
        </w:rPr>
      </w:pPr>
      <w:r w:rsidRPr="00792BA9">
        <w:rPr>
          <w:rFonts w:ascii="Times New Roman" w:eastAsiaTheme="minorEastAsia" w:hAnsi="Times New Roman" w:cs="Times New Roman"/>
          <w:sz w:val="24"/>
          <w:szCs w:val="24"/>
        </w:rPr>
        <w:t>“The Amendment of the Law on “</w:t>
      </w:r>
      <w:r w:rsidRPr="00792BA9">
        <w:rPr>
          <w:rFonts w:ascii="Times New Roman" w:eastAsiaTheme="minorEastAsia" w:hAnsi="Times New Roman" w:cs="Times New Roman"/>
          <w:i/>
          <w:sz w:val="24"/>
          <w:szCs w:val="24"/>
        </w:rPr>
        <w:t>Utilization of Renewable Energy Resources for Generation of Electrical Energy</w:t>
      </w:r>
      <w:r w:rsidRPr="00792BA9">
        <w:rPr>
          <w:rFonts w:ascii="Times New Roman" w:eastAsiaTheme="minorEastAsia" w:hAnsi="Times New Roman" w:cs="Times New Roman"/>
          <w:sz w:val="24"/>
          <w:szCs w:val="24"/>
        </w:rPr>
        <w:t>” Law Numbered 6094 published in the Official Gazette 08/01/2011 dated and 27809 numbered provide incentive for renewable energy sources according to the source type and the locality rate. In this context, the regulations prepared by EMRA and the details Mechanism of Supporting Renewable Energy Sources are determined with the regulations prepared by EMRA.</w:t>
      </w:r>
    </w:p>
    <w:p w:rsidR="004A69E4" w:rsidRPr="00792BA9" w:rsidRDefault="004A69E4" w:rsidP="004A69E4">
      <w:pPr>
        <w:spacing w:line="360" w:lineRule="auto"/>
        <w:jc w:val="both"/>
        <w:rPr>
          <w:rFonts w:ascii="Times New Roman" w:eastAsiaTheme="minorEastAsia" w:hAnsi="Times New Roman" w:cs="Times New Roman"/>
          <w:sz w:val="24"/>
          <w:szCs w:val="24"/>
        </w:rPr>
      </w:pPr>
      <w:r w:rsidRPr="00792BA9">
        <w:rPr>
          <w:rFonts w:ascii="Times New Roman" w:eastAsiaTheme="minorEastAsia" w:hAnsi="Times New Roman" w:cs="Times New Roman"/>
          <w:i/>
          <w:sz w:val="24"/>
          <w:szCs w:val="24"/>
        </w:rPr>
        <w:t>Regulation on Certification and Support of Renewable Energy Sources</w:t>
      </w:r>
      <w:r w:rsidRPr="00792BA9">
        <w:rPr>
          <w:rFonts w:ascii="Times New Roman" w:eastAsiaTheme="minorEastAsia" w:hAnsi="Times New Roman" w:cs="Times New Roman"/>
          <w:sz w:val="24"/>
          <w:szCs w:val="24"/>
        </w:rPr>
        <w:t xml:space="preserve">” was published in the Official Gazette dated 01/10/2013 and numbered 28782 and came into force. With the Regulation, in order to encourage the generation of electricity based on renewable energy sources, principles regarding the provision of Renewable Energy Source Document and the establishment and operation of </w:t>
      </w:r>
      <w:r w:rsidR="00944835">
        <w:rPr>
          <w:rFonts w:ascii="Times New Roman" w:eastAsiaTheme="minorEastAsia" w:hAnsi="Times New Roman" w:cs="Times New Roman"/>
          <w:sz w:val="24"/>
          <w:szCs w:val="24"/>
        </w:rPr>
        <w:t>RESSUM</w:t>
      </w:r>
      <w:r w:rsidRPr="004A69E4">
        <w:rPr>
          <w:rFonts w:ascii="Times New Roman" w:eastAsiaTheme="minorEastAsia" w:hAnsi="Times New Roman" w:cs="Times New Roman"/>
          <w:sz w:val="24"/>
          <w:szCs w:val="24"/>
        </w:rPr>
        <w:t xml:space="preserve"> </w:t>
      </w:r>
      <w:r w:rsidRPr="00792BA9">
        <w:rPr>
          <w:rFonts w:ascii="Times New Roman" w:eastAsiaTheme="minorEastAsia" w:hAnsi="Times New Roman" w:cs="Times New Roman"/>
          <w:sz w:val="24"/>
          <w:szCs w:val="24"/>
        </w:rPr>
        <w:t>issued to the generation license holders.</w:t>
      </w:r>
    </w:p>
    <w:p w:rsidR="004A69E4" w:rsidRPr="00792BA9" w:rsidRDefault="004A69E4" w:rsidP="004A69E4">
      <w:pPr>
        <w:spacing w:line="360" w:lineRule="auto"/>
        <w:jc w:val="both"/>
        <w:rPr>
          <w:rFonts w:ascii="Times New Roman" w:eastAsiaTheme="minorEastAsia" w:hAnsi="Times New Roman" w:cs="Times New Roman"/>
          <w:sz w:val="24"/>
          <w:szCs w:val="24"/>
        </w:rPr>
      </w:pPr>
      <w:r w:rsidRPr="00792BA9">
        <w:rPr>
          <w:rFonts w:ascii="Times New Roman" w:eastAsiaTheme="minorEastAsia" w:hAnsi="Times New Roman" w:cs="Times New Roman"/>
          <w:sz w:val="24"/>
          <w:szCs w:val="24"/>
        </w:rPr>
        <w:t xml:space="preserve">In the following Table 2.5.1, the number of the </w:t>
      </w:r>
      <w:r>
        <w:rPr>
          <w:rFonts w:ascii="Times New Roman" w:eastAsiaTheme="minorEastAsia" w:hAnsi="Times New Roman" w:cs="Times New Roman"/>
          <w:sz w:val="24"/>
          <w:szCs w:val="24"/>
        </w:rPr>
        <w:t>RES Support</w:t>
      </w:r>
      <w:r w:rsidRPr="00792BA9">
        <w:rPr>
          <w:rFonts w:ascii="Times New Roman" w:eastAsiaTheme="minorEastAsia" w:hAnsi="Times New Roman" w:cs="Times New Roman"/>
          <w:sz w:val="24"/>
          <w:szCs w:val="24"/>
        </w:rPr>
        <w:t xml:space="preserve"> participants is given by years. In 2018, there were 708 companies with a total installed capacity of 19.266,29 MW operating in the scope </w:t>
      </w:r>
      <w:r w:rsidRPr="00C15D06">
        <w:rPr>
          <w:rFonts w:ascii="Times New Roman" w:eastAsiaTheme="minorEastAsia" w:hAnsi="Times New Roman" w:cs="Times New Roman"/>
          <w:sz w:val="24"/>
          <w:szCs w:val="24"/>
        </w:rPr>
        <w:t>of</w:t>
      </w:r>
      <w:r w:rsidRPr="00C15D06">
        <w:rPr>
          <w:rFonts w:ascii="Times New Roman" w:eastAsiaTheme="minorEastAsia" w:hAnsi="Times New Roman" w:cs="Times New Roman"/>
          <w:color w:val="FF0000"/>
          <w:sz w:val="24"/>
          <w:szCs w:val="24"/>
        </w:rPr>
        <w:t xml:space="preserve"> </w:t>
      </w:r>
      <w:r w:rsidRPr="00C15D06">
        <w:rPr>
          <w:rFonts w:ascii="Times New Roman" w:eastAsiaTheme="minorEastAsia" w:hAnsi="Times New Roman" w:cs="Times New Roman"/>
          <w:sz w:val="24"/>
          <w:szCs w:val="24"/>
        </w:rPr>
        <w:t>t</w:t>
      </w:r>
      <w:r w:rsidRPr="0099731C">
        <w:rPr>
          <w:rFonts w:ascii="Times New Roman" w:eastAsiaTheme="minorEastAsia" w:hAnsi="Times New Roman" w:cs="Times New Roman"/>
          <w:sz w:val="24"/>
          <w:szCs w:val="24"/>
        </w:rPr>
        <w:t xml:space="preserve">he </w:t>
      </w:r>
      <w:r>
        <w:rPr>
          <w:rFonts w:ascii="Times New Roman" w:eastAsiaTheme="minorEastAsia" w:hAnsi="Times New Roman" w:cs="Times New Roman"/>
          <w:sz w:val="24"/>
          <w:szCs w:val="24"/>
        </w:rPr>
        <w:t>RES Support</w:t>
      </w:r>
      <w:r w:rsidRPr="0099731C">
        <w:rPr>
          <w:rFonts w:ascii="Times New Roman" w:eastAsiaTheme="minorEastAsia" w:hAnsi="Times New Roman" w:cs="Times New Roman"/>
          <w:sz w:val="24"/>
          <w:szCs w:val="24"/>
        </w:rPr>
        <w:t>.</w:t>
      </w:r>
    </w:p>
    <w:p w:rsidR="004A69E4" w:rsidRDefault="004A69E4" w:rsidP="004A69E4">
      <w:bookmarkStart w:id="536" w:name="_Toc520822052"/>
      <w:bookmarkStart w:id="537" w:name="_Toc10123890"/>
    </w:p>
    <w:p w:rsidR="004A69E4" w:rsidRDefault="004A69E4" w:rsidP="004A69E4"/>
    <w:p w:rsidR="004A69E4" w:rsidRPr="00C76A11" w:rsidRDefault="004A69E4" w:rsidP="004A69E4"/>
    <w:p w:rsidR="004A69E4" w:rsidRPr="000C6D21" w:rsidRDefault="004A69E4" w:rsidP="004A69E4">
      <w:pPr>
        <w:pStyle w:val="Balk1"/>
        <w:rPr>
          <w:caps/>
          <w:sz w:val="16"/>
          <w:szCs w:val="18"/>
        </w:rPr>
      </w:pPr>
      <w:bookmarkStart w:id="538" w:name="_Toc10191433"/>
      <w:bookmarkStart w:id="539" w:name="_Toc12526264"/>
      <w:r w:rsidRPr="000C6D21">
        <w:lastRenderedPageBreak/>
        <w:t>Table</w:t>
      </w:r>
      <w:r>
        <w:t xml:space="preserve"> 2</w:t>
      </w:r>
      <w:r w:rsidRPr="000C6D21">
        <w:t xml:space="preserve">.5.1: </w:t>
      </w:r>
      <w:r w:rsidRPr="003A610B">
        <w:t xml:space="preserve">Number of </w:t>
      </w:r>
      <w:r w:rsidR="00944835">
        <w:t>RESSUM</w:t>
      </w:r>
      <w:r w:rsidRPr="004A69E4">
        <w:t xml:space="preserve"> </w:t>
      </w:r>
      <w:r w:rsidRPr="003A610B">
        <w:t>Participants</w:t>
      </w:r>
      <w:r>
        <w:t xml:space="preserve"> by Years</w:t>
      </w:r>
      <w:bookmarkEnd w:id="536"/>
      <w:bookmarkEnd w:id="537"/>
      <w:bookmarkEnd w:id="538"/>
      <w:bookmarkEnd w:id="539"/>
    </w:p>
    <w:tbl>
      <w:tblPr>
        <w:tblW w:w="0" w:type="auto"/>
        <w:tblLayout w:type="fixed"/>
        <w:tblCellMar>
          <w:left w:w="70" w:type="dxa"/>
          <w:right w:w="70" w:type="dxa"/>
        </w:tblCellMar>
        <w:tblLook w:val="04A0" w:firstRow="1" w:lastRow="0" w:firstColumn="1" w:lastColumn="0" w:noHBand="0" w:noVBand="1"/>
      </w:tblPr>
      <w:tblGrid>
        <w:gridCol w:w="1500"/>
        <w:gridCol w:w="980"/>
        <w:gridCol w:w="992"/>
        <w:gridCol w:w="993"/>
        <w:gridCol w:w="992"/>
        <w:gridCol w:w="992"/>
        <w:gridCol w:w="851"/>
        <w:gridCol w:w="967"/>
        <w:gridCol w:w="945"/>
      </w:tblGrid>
      <w:tr w:rsidR="004A69E4" w:rsidRPr="009957C5" w:rsidTr="004A69E4">
        <w:trPr>
          <w:trHeight w:val="315"/>
        </w:trPr>
        <w:tc>
          <w:tcPr>
            <w:tcW w:w="150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Type</w:t>
            </w:r>
          </w:p>
        </w:tc>
        <w:tc>
          <w:tcPr>
            <w:tcW w:w="980"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2011</w:t>
            </w:r>
          </w:p>
        </w:tc>
        <w:tc>
          <w:tcPr>
            <w:tcW w:w="992"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2012</w:t>
            </w:r>
          </w:p>
        </w:tc>
        <w:tc>
          <w:tcPr>
            <w:tcW w:w="993"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2013</w:t>
            </w:r>
          </w:p>
        </w:tc>
        <w:tc>
          <w:tcPr>
            <w:tcW w:w="992"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2014</w:t>
            </w:r>
          </w:p>
        </w:tc>
        <w:tc>
          <w:tcPr>
            <w:tcW w:w="992" w:type="dxa"/>
            <w:tcBorders>
              <w:top w:val="single" w:sz="8" w:space="0" w:color="auto"/>
              <w:left w:val="nil"/>
              <w:bottom w:val="single" w:sz="8" w:space="0" w:color="auto"/>
              <w:right w:val="single" w:sz="8" w:space="0" w:color="auto"/>
            </w:tcBorders>
            <w:shd w:val="clear" w:color="000000" w:fill="4BACC6"/>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2015</w:t>
            </w:r>
          </w:p>
        </w:tc>
        <w:tc>
          <w:tcPr>
            <w:tcW w:w="851" w:type="dxa"/>
            <w:tcBorders>
              <w:top w:val="single" w:sz="8" w:space="0" w:color="auto"/>
              <w:left w:val="nil"/>
              <w:bottom w:val="single" w:sz="8" w:space="0" w:color="auto"/>
              <w:right w:val="single" w:sz="8" w:space="0" w:color="auto"/>
            </w:tcBorders>
            <w:shd w:val="clear" w:color="000000" w:fill="4BACC6"/>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2016</w:t>
            </w:r>
          </w:p>
        </w:tc>
        <w:tc>
          <w:tcPr>
            <w:tcW w:w="967" w:type="dxa"/>
            <w:tcBorders>
              <w:top w:val="single" w:sz="8" w:space="0" w:color="auto"/>
              <w:left w:val="nil"/>
              <w:bottom w:val="single" w:sz="8" w:space="0" w:color="auto"/>
              <w:right w:val="single" w:sz="8" w:space="0" w:color="auto"/>
            </w:tcBorders>
            <w:shd w:val="clear" w:color="000000" w:fill="4BACC6"/>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2017</w:t>
            </w:r>
          </w:p>
        </w:tc>
        <w:tc>
          <w:tcPr>
            <w:tcW w:w="945" w:type="dxa"/>
            <w:tcBorders>
              <w:top w:val="single" w:sz="8" w:space="0" w:color="auto"/>
              <w:left w:val="nil"/>
              <w:bottom w:val="single" w:sz="8" w:space="0" w:color="auto"/>
              <w:right w:val="single" w:sz="8" w:space="0" w:color="auto"/>
            </w:tcBorders>
            <w:shd w:val="clear" w:color="000000" w:fill="4BACC6"/>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FFFFFF"/>
                <w:lang w:eastAsia="tr-TR" w:bidi="ar-SA"/>
              </w:rPr>
            </w:pPr>
            <w:r w:rsidRPr="009957C5">
              <w:rPr>
                <w:rFonts w:ascii="Times New Roman" w:eastAsia="Times New Roman" w:hAnsi="Times New Roman" w:cs="Times New Roman"/>
                <w:b/>
                <w:bCs/>
                <w:color w:val="FFFFFF"/>
                <w:lang w:eastAsia="tr-TR" w:bidi="ar-SA"/>
              </w:rPr>
              <w:t>2018</w:t>
            </w:r>
          </w:p>
        </w:tc>
      </w:tr>
      <w:tr w:rsidR="004A69E4" w:rsidRPr="009957C5" w:rsidTr="004A69E4">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Solar</w:t>
            </w:r>
          </w:p>
        </w:tc>
        <w:tc>
          <w:tcPr>
            <w:tcW w:w="980"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92"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93"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92"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92"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851"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w:t>
            </w:r>
          </w:p>
        </w:tc>
        <w:tc>
          <w:tcPr>
            <w:tcW w:w="967"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w:t>
            </w:r>
          </w:p>
        </w:tc>
        <w:tc>
          <w:tcPr>
            <w:tcW w:w="945"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w:t>
            </w:r>
          </w:p>
        </w:tc>
      </w:tr>
      <w:tr w:rsidR="004A69E4" w:rsidRPr="009957C5" w:rsidTr="004A69E4">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Hydraulic</w:t>
            </w:r>
          </w:p>
        </w:tc>
        <w:tc>
          <w:tcPr>
            <w:tcW w:w="980"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w:t>
            </w:r>
          </w:p>
        </w:tc>
        <w:tc>
          <w:tcPr>
            <w:tcW w:w="992"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44</w:t>
            </w:r>
          </w:p>
        </w:tc>
        <w:tc>
          <w:tcPr>
            <w:tcW w:w="993"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14</w:t>
            </w:r>
          </w:p>
        </w:tc>
        <w:tc>
          <w:tcPr>
            <w:tcW w:w="992"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40</w:t>
            </w:r>
          </w:p>
        </w:tc>
        <w:tc>
          <w:tcPr>
            <w:tcW w:w="992"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126</w:t>
            </w:r>
          </w:p>
        </w:tc>
        <w:tc>
          <w:tcPr>
            <w:tcW w:w="851"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388</w:t>
            </w:r>
          </w:p>
        </w:tc>
        <w:tc>
          <w:tcPr>
            <w:tcW w:w="967"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418</w:t>
            </w:r>
          </w:p>
        </w:tc>
        <w:tc>
          <w:tcPr>
            <w:tcW w:w="945"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447</w:t>
            </w:r>
          </w:p>
        </w:tc>
      </w:tr>
      <w:tr w:rsidR="004A69E4" w:rsidRPr="009957C5" w:rsidTr="004A69E4">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Wind</w:t>
            </w:r>
          </w:p>
        </w:tc>
        <w:tc>
          <w:tcPr>
            <w:tcW w:w="980"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9</w:t>
            </w:r>
          </w:p>
        </w:tc>
        <w:tc>
          <w:tcPr>
            <w:tcW w:w="992"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22</w:t>
            </w:r>
          </w:p>
        </w:tc>
        <w:tc>
          <w:tcPr>
            <w:tcW w:w="993"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w:t>
            </w:r>
          </w:p>
        </w:tc>
        <w:tc>
          <w:tcPr>
            <w:tcW w:w="992"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21</w:t>
            </w:r>
          </w:p>
        </w:tc>
        <w:tc>
          <w:tcPr>
            <w:tcW w:w="992"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60</w:t>
            </w:r>
          </w:p>
        </w:tc>
        <w:tc>
          <w:tcPr>
            <w:tcW w:w="851"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106</w:t>
            </w:r>
          </w:p>
        </w:tc>
        <w:tc>
          <w:tcPr>
            <w:tcW w:w="967"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141</w:t>
            </w:r>
          </w:p>
        </w:tc>
        <w:tc>
          <w:tcPr>
            <w:tcW w:w="945"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151</w:t>
            </w:r>
          </w:p>
        </w:tc>
      </w:tr>
      <w:tr w:rsidR="004A69E4" w:rsidRPr="009957C5" w:rsidTr="004A69E4">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Bi</w:t>
            </w:r>
            <w:r>
              <w:rPr>
                <w:rFonts w:ascii="Times New Roman" w:eastAsia="Times New Roman" w:hAnsi="Times New Roman" w:cs="Times New Roman"/>
                <w:b/>
                <w:bCs/>
                <w:color w:val="000000"/>
                <w:lang w:eastAsia="tr-TR" w:bidi="ar-SA"/>
              </w:rPr>
              <w:t>omass</w:t>
            </w:r>
          </w:p>
        </w:tc>
        <w:tc>
          <w:tcPr>
            <w:tcW w:w="980"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w:t>
            </w:r>
          </w:p>
        </w:tc>
        <w:tc>
          <w:tcPr>
            <w:tcW w:w="992"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8</w:t>
            </w:r>
          </w:p>
        </w:tc>
        <w:tc>
          <w:tcPr>
            <w:tcW w:w="993"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15</w:t>
            </w:r>
          </w:p>
        </w:tc>
        <w:tc>
          <w:tcPr>
            <w:tcW w:w="992"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23</w:t>
            </w:r>
          </w:p>
        </w:tc>
        <w:tc>
          <w:tcPr>
            <w:tcW w:w="992"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34</w:t>
            </w:r>
          </w:p>
        </w:tc>
        <w:tc>
          <w:tcPr>
            <w:tcW w:w="851"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42</w:t>
            </w:r>
          </w:p>
        </w:tc>
        <w:tc>
          <w:tcPr>
            <w:tcW w:w="967"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57</w:t>
            </w:r>
          </w:p>
        </w:tc>
        <w:tc>
          <w:tcPr>
            <w:tcW w:w="945"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70</w:t>
            </w:r>
          </w:p>
        </w:tc>
      </w:tr>
      <w:tr w:rsidR="004A69E4" w:rsidRPr="009957C5" w:rsidTr="004A69E4">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Geothermal</w:t>
            </w:r>
          </w:p>
        </w:tc>
        <w:tc>
          <w:tcPr>
            <w:tcW w:w="980"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w:t>
            </w:r>
          </w:p>
        </w:tc>
        <w:tc>
          <w:tcPr>
            <w:tcW w:w="992"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4</w:t>
            </w:r>
          </w:p>
        </w:tc>
        <w:tc>
          <w:tcPr>
            <w:tcW w:w="993"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6</w:t>
            </w:r>
          </w:p>
        </w:tc>
        <w:tc>
          <w:tcPr>
            <w:tcW w:w="992" w:type="dxa"/>
            <w:tcBorders>
              <w:top w:val="nil"/>
              <w:left w:val="nil"/>
              <w:bottom w:val="single" w:sz="8" w:space="0" w:color="auto"/>
              <w:right w:val="single" w:sz="8" w:space="0" w:color="auto"/>
            </w:tcBorders>
            <w:shd w:val="clear" w:color="auto" w:fill="auto"/>
            <w:noWrap/>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9</w:t>
            </w:r>
          </w:p>
        </w:tc>
        <w:tc>
          <w:tcPr>
            <w:tcW w:w="992"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14</w:t>
            </w:r>
          </w:p>
        </w:tc>
        <w:tc>
          <w:tcPr>
            <w:tcW w:w="851"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20</w:t>
            </w:r>
          </w:p>
        </w:tc>
        <w:tc>
          <w:tcPr>
            <w:tcW w:w="967"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29</w:t>
            </w:r>
          </w:p>
        </w:tc>
        <w:tc>
          <w:tcPr>
            <w:tcW w:w="945" w:type="dxa"/>
            <w:tcBorders>
              <w:top w:val="nil"/>
              <w:left w:val="nil"/>
              <w:bottom w:val="single" w:sz="8" w:space="0" w:color="auto"/>
              <w:right w:val="single" w:sz="8" w:space="0" w:color="auto"/>
            </w:tcBorders>
            <w:shd w:val="clear" w:color="auto" w:fill="auto"/>
            <w:vAlign w:val="center"/>
            <w:hideMark/>
          </w:tcPr>
          <w:p w:rsidR="004A69E4" w:rsidRPr="009957C5" w:rsidRDefault="004A69E4" w:rsidP="004A69E4">
            <w:pPr>
              <w:spacing w:after="0" w:line="240" w:lineRule="auto"/>
              <w:jc w:val="both"/>
              <w:rPr>
                <w:rFonts w:ascii="Times New Roman" w:eastAsia="Times New Roman" w:hAnsi="Times New Roman" w:cs="Times New Roman"/>
                <w:color w:val="000000"/>
                <w:lang w:eastAsia="tr-TR" w:bidi="ar-SA"/>
              </w:rPr>
            </w:pPr>
            <w:r w:rsidRPr="009957C5">
              <w:rPr>
                <w:rFonts w:ascii="Times New Roman" w:eastAsia="Times New Roman" w:hAnsi="Times New Roman" w:cs="Times New Roman"/>
                <w:color w:val="000000"/>
                <w:lang w:eastAsia="tr-TR" w:bidi="ar-SA"/>
              </w:rPr>
              <w:t>37</w:t>
            </w:r>
          </w:p>
        </w:tc>
      </w:tr>
      <w:tr w:rsidR="004A69E4" w:rsidRPr="009957C5" w:rsidTr="004A69E4">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Total</w:t>
            </w:r>
          </w:p>
        </w:tc>
        <w:tc>
          <w:tcPr>
            <w:tcW w:w="980"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20</w:t>
            </w:r>
          </w:p>
        </w:tc>
        <w:tc>
          <w:tcPr>
            <w:tcW w:w="992"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78</w:t>
            </w:r>
          </w:p>
        </w:tc>
        <w:tc>
          <w:tcPr>
            <w:tcW w:w="993"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38</w:t>
            </w:r>
          </w:p>
        </w:tc>
        <w:tc>
          <w:tcPr>
            <w:tcW w:w="992" w:type="dxa"/>
            <w:tcBorders>
              <w:top w:val="nil"/>
              <w:left w:val="nil"/>
              <w:bottom w:val="single" w:sz="8" w:space="0" w:color="auto"/>
              <w:right w:val="single" w:sz="8" w:space="0" w:color="auto"/>
            </w:tcBorders>
            <w:shd w:val="clear" w:color="000000" w:fill="D2EAF1"/>
            <w:noWrap/>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93</w:t>
            </w:r>
          </w:p>
        </w:tc>
        <w:tc>
          <w:tcPr>
            <w:tcW w:w="992"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234</w:t>
            </w:r>
          </w:p>
        </w:tc>
        <w:tc>
          <w:tcPr>
            <w:tcW w:w="851"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556</w:t>
            </w:r>
          </w:p>
        </w:tc>
        <w:tc>
          <w:tcPr>
            <w:tcW w:w="967"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647</w:t>
            </w:r>
          </w:p>
        </w:tc>
        <w:tc>
          <w:tcPr>
            <w:tcW w:w="945" w:type="dxa"/>
            <w:tcBorders>
              <w:top w:val="nil"/>
              <w:left w:val="nil"/>
              <w:bottom w:val="single" w:sz="8" w:space="0" w:color="auto"/>
              <w:right w:val="single" w:sz="8" w:space="0" w:color="auto"/>
            </w:tcBorders>
            <w:shd w:val="clear" w:color="000000" w:fill="D2EAF1"/>
            <w:vAlign w:val="center"/>
            <w:hideMark/>
          </w:tcPr>
          <w:p w:rsidR="004A69E4" w:rsidRPr="009957C5" w:rsidRDefault="004A69E4" w:rsidP="004A69E4">
            <w:pPr>
              <w:spacing w:after="0" w:line="240" w:lineRule="auto"/>
              <w:jc w:val="both"/>
              <w:rPr>
                <w:rFonts w:ascii="Times New Roman" w:eastAsia="Times New Roman" w:hAnsi="Times New Roman" w:cs="Times New Roman"/>
                <w:b/>
                <w:bCs/>
                <w:color w:val="000000"/>
                <w:lang w:eastAsia="tr-TR" w:bidi="ar-SA"/>
              </w:rPr>
            </w:pPr>
            <w:r w:rsidRPr="009957C5">
              <w:rPr>
                <w:rFonts w:ascii="Times New Roman" w:eastAsia="Times New Roman" w:hAnsi="Times New Roman" w:cs="Times New Roman"/>
                <w:b/>
                <w:bCs/>
                <w:color w:val="000000"/>
                <w:lang w:eastAsia="tr-TR" w:bidi="ar-SA"/>
              </w:rPr>
              <w:t>708</w:t>
            </w:r>
          </w:p>
        </w:tc>
      </w:tr>
    </w:tbl>
    <w:p w:rsidR="004A69E4" w:rsidRPr="001C77FE" w:rsidRDefault="004A69E4" w:rsidP="004A69E4">
      <w:pPr>
        <w:spacing w:line="360" w:lineRule="auto"/>
        <w:jc w:val="both"/>
        <w:rPr>
          <w:rFonts w:asciiTheme="minorHAnsi" w:eastAsiaTheme="minorEastAsia" w:hAnsiTheme="minorHAnsi" w:cstheme="minorHAnsi"/>
          <w:sz w:val="24"/>
          <w:szCs w:val="24"/>
        </w:rPr>
      </w:pPr>
    </w:p>
    <w:p w:rsidR="004A69E4" w:rsidRPr="00707FF9" w:rsidRDefault="004A69E4" w:rsidP="004A69E4">
      <w:pPr>
        <w:spacing w:line="360" w:lineRule="auto"/>
        <w:jc w:val="both"/>
        <w:rPr>
          <w:rFonts w:ascii="Times New Roman" w:eastAsia="Times New Roman" w:hAnsi="Times New Roman" w:cs="Times New Roman"/>
          <w:color w:val="000000"/>
          <w:sz w:val="24"/>
          <w:szCs w:val="24"/>
          <w:lang w:eastAsia="tr-TR" w:bidi="ar-SA"/>
        </w:rPr>
      </w:pPr>
      <w:r w:rsidRPr="00C8447F">
        <w:rPr>
          <w:rFonts w:ascii="Times New Roman" w:eastAsia="Times New Roman" w:hAnsi="Times New Roman" w:cs="Times New Roman"/>
          <w:color w:val="000000"/>
          <w:sz w:val="24"/>
          <w:szCs w:val="24"/>
          <w:lang w:eastAsia="tr-TR" w:bidi="ar-SA"/>
        </w:rPr>
        <w:t>When the numbers are examined from Table 2.5.1, hydraulic plants had the highest share with 11.</w:t>
      </w:r>
      <w:r>
        <w:rPr>
          <w:rFonts w:ascii="Times New Roman" w:eastAsia="Times New Roman" w:hAnsi="Times New Roman" w:cs="Times New Roman"/>
          <w:color w:val="000000"/>
          <w:sz w:val="24"/>
          <w:szCs w:val="24"/>
          <w:lang w:eastAsia="tr-TR" w:bidi="ar-SA"/>
        </w:rPr>
        <w:t>706,41</w:t>
      </w:r>
      <w:r w:rsidRPr="00C8447F">
        <w:rPr>
          <w:rFonts w:ascii="Times New Roman" w:eastAsia="Times New Roman" w:hAnsi="Times New Roman" w:cs="Times New Roman"/>
          <w:color w:val="000000"/>
          <w:sz w:val="24"/>
          <w:szCs w:val="24"/>
          <w:lang w:eastAsia="tr-TR" w:bidi="ar-SA"/>
        </w:rPr>
        <w:t xml:space="preserve"> MW and wind plants following it with </w:t>
      </w:r>
      <w:r>
        <w:rPr>
          <w:rFonts w:ascii="Times New Roman" w:eastAsia="Times New Roman" w:hAnsi="Times New Roman" w:cs="Times New Roman"/>
          <w:color w:val="000000"/>
          <w:sz w:val="24"/>
          <w:szCs w:val="24"/>
          <w:lang w:eastAsia="tr-TR" w:bidi="ar-SA"/>
        </w:rPr>
        <w:t>6.199,99</w:t>
      </w:r>
      <w:r w:rsidRPr="00C8447F">
        <w:rPr>
          <w:rFonts w:ascii="Times New Roman" w:eastAsia="Times New Roman" w:hAnsi="Times New Roman" w:cs="Times New Roman"/>
          <w:color w:val="000000"/>
          <w:sz w:val="24"/>
          <w:szCs w:val="24"/>
          <w:lang w:eastAsia="tr-TR" w:bidi="ar-SA"/>
        </w:rPr>
        <w:t xml:space="preserve"> MW.</w:t>
      </w:r>
    </w:p>
    <w:tbl>
      <w:tblPr>
        <w:tblpPr w:leftFromText="141" w:rightFromText="141" w:vertAnchor="text" w:horzAnchor="margin" w:tblpY="1089"/>
        <w:tblW w:w="9480" w:type="dxa"/>
        <w:tblCellMar>
          <w:left w:w="70" w:type="dxa"/>
          <w:right w:w="70" w:type="dxa"/>
        </w:tblCellMar>
        <w:tblLook w:val="04A0" w:firstRow="1" w:lastRow="0" w:firstColumn="1" w:lastColumn="0" w:noHBand="0" w:noVBand="1"/>
      </w:tblPr>
      <w:tblGrid>
        <w:gridCol w:w="1500"/>
        <w:gridCol w:w="960"/>
        <w:gridCol w:w="960"/>
        <w:gridCol w:w="960"/>
        <w:gridCol w:w="960"/>
        <w:gridCol w:w="960"/>
        <w:gridCol w:w="1060"/>
        <w:gridCol w:w="1060"/>
        <w:gridCol w:w="1060"/>
      </w:tblGrid>
      <w:tr w:rsidR="004A69E4" w:rsidRPr="007A4FF3" w:rsidTr="004A69E4">
        <w:trPr>
          <w:trHeight w:val="315"/>
        </w:trPr>
        <w:tc>
          <w:tcPr>
            <w:tcW w:w="150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Type</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2011</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2014</w:t>
            </w:r>
          </w:p>
        </w:tc>
        <w:tc>
          <w:tcPr>
            <w:tcW w:w="960" w:type="dxa"/>
            <w:tcBorders>
              <w:top w:val="single" w:sz="8" w:space="0" w:color="auto"/>
              <w:left w:val="nil"/>
              <w:bottom w:val="single" w:sz="8" w:space="0" w:color="auto"/>
              <w:right w:val="single" w:sz="8" w:space="0" w:color="auto"/>
            </w:tcBorders>
            <w:shd w:val="clear" w:color="000000" w:fill="4BACC6"/>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2016</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2017</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FFFFFF"/>
                <w:lang w:eastAsia="tr-TR" w:bidi="ar-SA"/>
              </w:rPr>
            </w:pPr>
            <w:r w:rsidRPr="007A4FF3">
              <w:rPr>
                <w:rFonts w:ascii="Times New Roman" w:eastAsia="Times New Roman" w:hAnsi="Times New Roman" w:cs="Times New Roman"/>
                <w:b/>
                <w:bCs/>
                <w:color w:val="FFFFFF"/>
                <w:lang w:eastAsia="tr-TR" w:bidi="ar-SA"/>
              </w:rPr>
              <w:t>2018</w:t>
            </w:r>
          </w:p>
        </w:tc>
      </w:tr>
      <w:tr w:rsidR="004A69E4" w:rsidRPr="007A4FF3" w:rsidTr="004A69E4">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Solar</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w:t>
            </w:r>
          </w:p>
        </w:tc>
        <w:tc>
          <w:tcPr>
            <w:tcW w:w="10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12,90</w:t>
            </w:r>
          </w:p>
        </w:tc>
        <w:tc>
          <w:tcPr>
            <w:tcW w:w="10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13,90</w:t>
            </w:r>
          </w:p>
        </w:tc>
      </w:tr>
      <w:tr w:rsidR="004A69E4" w:rsidRPr="007A4FF3" w:rsidTr="004A69E4">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H</w:t>
            </w:r>
            <w:r>
              <w:rPr>
                <w:rFonts w:ascii="Times New Roman" w:eastAsia="Times New Roman" w:hAnsi="Times New Roman" w:cs="Times New Roman"/>
                <w:b/>
                <w:bCs/>
                <w:color w:val="000000"/>
                <w:lang w:eastAsia="tr-TR" w:bidi="ar-SA"/>
              </w:rPr>
              <w:t>ydraulic</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21</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930</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217</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598</w:t>
            </w:r>
          </w:p>
        </w:tc>
        <w:tc>
          <w:tcPr>
            <w:tcW w:w="9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2.116,33</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9.960,00</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11.096,26</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11.706,41</w:t>
            </w:r>
          </w:p>
        </w:tc>
      </w:tr>
      <w:tr w:rsidR="004A69E4" w:rsidRPr="007A4FF3" w:rsidTr="004A69E4">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Wind</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469</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685</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76</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825</w:t>
            </w:r>
          </w:p>
        </w:tc>
        <w:tc>
          <w:tcPr>
            <w:tcW w:w="9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2.732,14</w:t>
            </w:r>
          </w:p>
        </w:tc>
        <w:tc>
          <w:tcPr>
            <w:tcW w:w="10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4.319,83</w:t>
            </w:r>
          </w:p>
        </w:tc>
        <w:tc>
          <w:tcPr>
            <w:tcW w:w="10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5.238,70</w:t>
            </w:r>
          </w:p>
        </w:tc>
        <w:tc>
          <w:tcPr>
            <w:tcW w:w="10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6.199,99</w:t>
            </w:r>
          </w:p>
        </w:tc>
      </w:tr>
      <w:tr w:rsidR="004A69E4" w:rsidRPr="007A4FF3" w:rsidTr="004A69E4">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Geothermal</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72</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140</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228</w:t>
            </w:r>
          </w:p>
        </w:tc>
        <w:tc>
          <w:tcPr>
            <w:tcW w:w="9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389,92</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599,16</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752,11</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996,78</w:t>
            </w:r>
          </w:p>
        </w:tc>
      </w:tr>
      <w:tr w:rsidR="004A69E4" w:rsidRPr="007A4FF3" w:rsidTr="004A69E4">
        <w:trPr>
          <w:trHeight w:val="315"/>
        </w:trPr>
        <w:tc>
          <w:tcPr>
            <w:tcW w:w="1500" w:type="dxa"/>
            <w:tcBorders>
              <w:top w:val="nil"/>
              <w:left w:val="single" w:sz="8" w:space="0" w:color="auto"/>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Bi</w:t>
            </w:r>
            <w:r>
              <w:rPr>
                <w:rFonts w:ascii="Times New Roman" w:eastAsia="Times New Roman" w:hAnsi="Times New Roman" w:cs="Times New Roman"/>
                <w:b/>
                <w:bCs/>
                <w:color w:val="000000"/>
                <w:lang w:eastAsia="tr-TR" w:bidi="ar-SA"/>
              </w:rPr>
              <w:t>omass</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45</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73</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101</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147</w:t>
            </w:r>
          </w:p>
        </w:tc>
        <w:tc>
          <w:tcPr>
            <w:tcW w:w="9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185,23</w:t>
            </w:r>
          </w:p>
        </w:tc>
        <w:tc>
          <w:tcPr>
            <w:tcW w:w="10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203,72</w:t>
            </w:r>
          </w:p>
        </w:tc>
        <w:tc>
          <w:tcPr>
            <w:tcW w:w="10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299,97</w:t>
            </w:r>
          </w:p>
        </w:tc>
        <w:tc>
          <w:tcPr>
            <w:tcW w:w="1060" w:type="dxa"/>
            <w:tcBorders>
              <w:top w:val="nil"/>
              <w:left w:val="nil"/>
              <w:bottom w:val="single" w:sz="8" w:space="0" w:color="auto"/>
              <w:right w:val="single" w:sz="8" w:space="0" w:color="auto"/>
            </w:tcBorders>
            <w:shd w:val="clear" w:color="auto" w:fill="auto"/>
            <w:vAlign w:val="center"/>
            <w:hideMark/>
          </w:tcPr>
          <w:p w:rsidR="004A69E4" w:rsidRPr="007A4FF3" w:rsidRDefault="004A69E4" w:rsidP="004A69E4">
            <w:pPr>
              <w:spacing w:after="0" w:line="240" w:lineRule="auto"/>
              <w:jc w:val="both"/>
              <w:rPr>
                <w:rFonts w:ascii="Times New Roman" w:eastAsia="Times New Roman" w:hAnsi="Times New Roman" w:cs="Times New Roman"/>
                <w:color w:val="000000"/>
                <w:lang w:eastAsia="tr-TR" w:bidi="ar-SA"/>
              </w:rPr>
            </w:pPr>
            <w:r w:rsidRPr="007A4FF3">
              <w:rPr>
                <w:rFonts w:ascii="Times New Roman" w:eastAsia="Times New Roman" w:hAnsi="Times New Roman" w:cs="Times New Roman"/>
                <w:color w:val="000000"/>
                <w:lang w:eastAsia="tr-TR" w:bidi="ar-SA"/>
              </w:rPr>
              <w:t>349,21</w:t>
            </w:r>
          </w:p>
        </w:tc>
      </w:tr>
      <w:tr w:rsidR="004A69E4" w:rsidRPr="007A4FF3" w:rsidTr="004A69E4">
        <w:trPr>
          <w:trHeight w:val="315"/>
        </w:trPr>
        <w:tc>
          <w:tcPr>
            <w:tcW w:w="1500" w:type="dxa"/>
            <w:tcBorders>
              <w:top w:val="nil"/>
              <w:left w:val="single" w:sz="8" w:space="0" w:color="auto"/>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Total</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608</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1.760</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534</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1.798</w:t>
            </w:r>
          </w:p>
        </w:tc>
        <w:tc>
          <w:tcPr>
            <w:tcW w:w="9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5.423,63</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15.082,72</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sidRPr="007A4FF3">
              <w:rPr>
                <w:rFonts w:ascii="Times New Roman" w:eastAsia="Times New Roman" w:hAnsi="Times New Roman" w:cs="Times New Roman"/>
                <w:b/>
                <w:bCs/>
                <w:color w:val="000000"/>
                <w:lang w:eastAsia="tr-TR" w:bidi="ar-SA"/>
              </w:rPr>
              <w:t>17.399,94</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7A4FF3" w:rsidRDefault="004A69E4" w:rsidP="004A69E4">
            <w:pPr>
              <w:spacing w:after="0" w:line="240" w:lineRule="auto"/>
              <w:jc w:val="both"/>
              <w:rPr>
                <w:rFonts w:ascii="Times New Roman" w:eastAsia="Times New Roman" w:hAnsi="Times New Roman" w:cs="Times New Roman"/>
                <w:b/>
                <w:bCs/>
                <w:color w:val="000000"/>
                <w:lang w:eastAsia="tr-TR" w:bidi="ar-SA"/>
              </w:rPr>
            </w:pPr>
            <w:r>
              <w:rPr>
                <w:rFonts w:ascii="Times New Roman" w:eastAsia="Times New Roman" w:hAnsi="Times New Roman" w:cs="Times New Roman"/>
                <w:b/>
                <w:bCs/>
                <w:color w:val="000000"/>
                <w:lang w:eastAsia="tr-TR" w:bidi="ar-SA"/>
              </w:rPr>
              <w:t>19.266</w:t>
            </w:r>
            <w:r w:rsidRPr="007A4FF3">
              <w:rPr>
                <w:rFonts w:ascii="Times New Roman" w:eastAsia="Times New Roman" w:hAnsi="Times New Roman" w:cs="Times New Roman"/>
                <w:b/>
                <w:bCs/>
                <w:color w:val="000000"/>
                <w:lang w:eastAsia="tr-TR" w:bidi="ar-SA"/>
              </w:rPr>
              <w:t>,29</w:t>
            </w:r>
          </w:p>
        </w:tc>
      </w:tr>
    </w:tbl>
    <w:p w:rsidR="004A69E4" w:rsidRDefault="004A69E4" w:rsidP="004A69E4">
      <w:pPr>
        <w:pStyle w:val="Balk1"/>
      </w:pPr>
      <w:bookmarkStart w:id="540" w:name="_Toc10123891"/>
      <w:bookmarkStart w:id="541" w:name="_Toc10191434"/>
      <w:bookmarkStart w:id="542" w:name="_Toc12526265"/>
      <w:r w:rsidRPr="000C6D21">
        <w:t>Table</w:t>
      </w:r>
      <w:r>
        <w:t xml:space="preserve"> 2</w:t>
      </w:r>
      <w:r w:rsidRPr="000C6D21">
        <w:t xml:space="preserve">.5.2: </w:t>
      </w:r>
      <w:r>
        <w:t xml:space="preserve">Installed </w:t>
      </w:r>
      <w:r w:rsidRPr="00447A29">
        <w:t>Capacity</w:t>
      </w:r>
      <w:r w:rsidRPr="003A610B">
        <w:t xml:space="preserve"> of the</w:t>
      </w:r>
      <w:r w:rsidRPr="0099731C">
        <w:rPr>
          <w:color w:val="auto"/>
        </w:rPr>
        <w:t xml:space="preserve"> </w:t>
      </w:r>
      <w:r w:rsidR="00944835">
        <w:rPr>
          <w:color w:val="auto"/>
        </w:rPr>
        <w:t>RESSUM</w:t>
      </w:r>
      <w:r w:rsidRPr="004A69E4">
        <w:rPr>
          <w:color w:val="auto"/>
        </w:rPr>
        <w:t xml:space="preserve"> </w:t>
      </w:r>
      <w:r>
        <w:t xml:space="preserve">Participants by Years </w:t>
      </w:r>
      <w:r w:rsidRPr="001C77FE">
        <w:rPr>
          <w:rFonts w:asciiTheme="minorHAnsi" w:eastAsiaTheme="minorEastAsia" w:hAnsiTheme="minorHAnsi" w:cstheme="minorHAnsi"/>
          <w:szCs w:val="24"/>
        </w:rPr>
        <w:t>*</w:t>
      </w:r>
      <w:r>
        <w:t>(MW)</w:t>
      </w:r>
      <w:bookmarkEnd w:id="540"/>
      <w:bookmarkEnd w:id="541"/>
      <w:bookmarkEnd w:id="542"/>
    </w:p>
    <w:p w:rsidR="004A69E4" w:rsidRDefault="004A69E4" w:rsidP="004A69E4">
      <w:pPr>
        <w:spacing w:line="360" w:lineRule="auto"/>
        <w:ind w:firstLine="708"/>
        <w:jc w:val="both"/>
      </w:pPr>
    </w:p>
    <w:p w:rsidR="004A69E4" w:rsidRPr="00006856" w:rsidRDefault="004A69E4" w:rsidP="004A69E4">
      <w:pPr>
        <w:spacing w:line="360" w:lineRule="auto"/>
        <w:jc w:val="both"/>
        <w:rPr>
          <w:rFonts w:ascii="Times New Roman" w:eastAsiaTheme="minorEastAsia" w:hAnsi="Times New Roman" w:cs="Times New Roman"/>
          <w:sz w:val="24"/>
          <w:szCs w:val="24"/>
        </w:rPr>
      </w:pPr>
      <w:r w:rsidRPr="00006856">
        <w:rPr>
          <w:rFonts w:ascii="Times New Roman" w:eastAsiaTheme="minorEastAsia" w:hAnsi="Times New Roman" w:cs="Times New Roman"/>
          <w:sz w:val="24"/>
          <w:szCs w:val="24"/>
        </w:rPr>
        <w:t xml:space="preserve">In addition, by the end of 2018, 5.310,37 MW </w:t>
      </w:r>
      <w:r>
        <w:rPr>
          <w:rFonts w:ascii="Times New Roman" w:eastAsiaTheme="minorEastAsia" w:hAnsi="Times New Roman" w:cs="Times New Roman"/>
          <w:sz w:val="24"/>
          <w:szCs w:val="24"/>
        </w:rPr>
        <w:t xml:space="preserve">of </w:t>
      </w:r>
      <w:r w:rsidRPr="00006856">
        <w:rPr>
          <w:rFonts w:ascii="Times New Roman" w:eastAsiaTheme="minorEastAsia" w:hAnsi="Times New Roman" w:cs="Times New Roman"/>
          <w:sz w:val="24"/>
          <w:szCs w:val="24"/>
        </w:rPr>
        <w:t xml:space="preserve">unlicensed installed capacity </w:t>
      </w:r>
      <w:r>
        <w:rPr>
          <w:rFonts w:ascii="Times New Roman" w:eastAsiaTheme="minorEastAsia" w:hAnsi="Times New Roman" w:cs="Times New Roman"/>
          <w:sz w:val="24"/>
          <w:szCs w:val="24"/>
        </w:rPr>
        <w:t xml:space="preserve">(natural gas plants excluded) </w:t>
      </w:r>
      <w:r w:rsidRPr="00006856">
        <w:rPr>
          <w:rFonts w:ascii="Times New Roman" w:eastAsiaTheme="minorEastAsia" w:hAnsi="Times New Roman" w:cs="Times New Roman"/>
          <w:sz w:val="24"/>
          <w:szCs w:val="24"/>
        </w:rPr>
        <w:t xml:space="preserve">are covered by </w:t>
      </w:r>
      <w:r w:rsidR="00944835">
        <w:rPr>
          <w:rFonts w:ascii="Times New Roman" w:eastAsiaTheme="minorEastAsia" w:hAnsi="Times New Roman" w:cs="Times New Roman"/>
          <w:sz w:val="24"/>
          <w:szCs w:val="24"/>
        </w:rPr>
        <w:t>RESSUM</w:t>
      </w:r>
      <w:r w:rsidRPr="00006856">
        <w:rPr>
          <w:rFonts w:ascii="Times New Roman" w:eastAsiaTheme="minorEastAsia" w:hAnsi="Times New Roman" w:cs="Times New Roman"/>
          <w:sz w:val="24"/>
          <w:szCs w:val="24"/>
        </w:rPr>
        <w:t xml:space="preserve">. Details are given at "Unlicensed Electricity Generation" in Section 1.3, </w:t>
      </w:r>
    </w:p>
    <w:p w:rsidR="004A69E4" w:rsidRPr="00006856" w:rsidRDefault="004A69E4" w:rsidP="004A69E4">
      <w:pPr>
        <w:spacing w:line="360" w:lineRule="auto"/>
        <w:jc w:val="both"/>
        <w:rPr>
          <w:rFonts w:ascii="Times New Roman" w:eastAsiaTheme="minorEastAsia" w:hAnsi="Times New Roman" w:cs="Times New Roman"/>
          <w:sz w:val="24"/>
          <w:szCs w:val="24"/>
        </w:rPr>
      </w:pPr>
      <w:r w:rsidRPr="00006856">
        <w:rPr>
          <w:rFonts w:ascii="Times New Roman" w:eastAsiaTheme="minorEastAsia" w:hAnsi="Times New Roman" w:cs="Times New Roman"/>
          <w:sz w:val="24"/>
          <w:szCs w:val="24"/>
        </w:rPr>
        <w:t xml:space="preserve">Share of installed capacity in the scope of the </w:t>
      </w:r>
      <w:r>
        <w:rPr>
          <w:rFonts w:ascii="Times New Roman" w:eastAsiaTheme="minorEastAsia" w:hAnsi="Times New Roman" w:cs="Times New Roman"/>
          <w:sz w:val="24"/>
          <w:szCs w:val="24"/>
        </w:rPr>
        <w:t>RES Support</w:t>
      </w:r>
      <w:r w:rsidRPr="00006856">
        <w:rPr>
          <w:rFonts w:ascii="Times New Roman" w:eastAsiaTheme="minorEastAsia" w:hAnsi="Times New Roman" w:cs="Times New Roman"/>
          <w:color w:val="FF0000"/>
          <w:sz w:val="24"/>
          <w:szCs w:val="24"/>
        </w:rPr>
        <w:t xml:space="preserve"> </w:t>
      </w:r>
      <w:r w:rsidRPr="00006856">
        <w:rPr>
          <w:rFonts w:ascii="Times New Roman" w:eastAsiaTheme="minorEastAsia" w:hAnsi="Times New Roman" w:cs="Times New Roman"/>
          <w:sz w:val="24"/>
          <w:szCs w:val="24"/>
        </w:rPr>
        <w:t>in Turkey's total installed capacity in 2017 was 24,28%, while this share reached to 27,60% in 2018.</w:t>
      </w:r>
    </w:p>
    <w:p w:rsidR="004A69E4" w:rsidRPr="00006856" w:rsidRDefault="004A69E4" w:rsidP="004A69E4">
      <w:pPr>
        <w:spacing w:line="360" w:lineRule="auto"/>
        <w:jc w:val="both"/>
        <w:rPr>
          <w:rFonts w:ascii="Times New Roman" w:eastAsiaTheme="minorEastAsia" w:hAnsi="Times New Roman" w:cs="Times New Roman"/>
          <w:sz w:val="24"/>
          <w:szCs w:val="24"/>
        </w:rPr>
      </w:pPr>
      <w:r w:rsidRPr="00006856">
        <w:rPr>
          <w:rFonts w:ascii="Times New Roman" w:eastAsiaTheme="minorEastAsia" w:hAnsi="Times New Roman" w:cs="Times New Roman"/>
          <w:sz w:val="24"/>
          <w:szCs w:val="24"/>
        </w:rPr>
        <w:t>In the following Figure 2.5.1, distribution of installed capacity based on sources in 2018 is given.</w:t>
      </w:r>
      <w:bookmarkStart w:id="543" w:name="_Toc432165749"/>
      <w:bookmarkStart w:id="544" w:name="_Toc450307933"/>
      <w:bookmarkStart w:id="545" w:name="_Toc487101657"/>
      <w:bookmarkStart w:id="546" w:name="_Toc512430999"/>
    </w:p>
    <w:p w:rsidR="004A69E4" w:rsidRDefault="004A69E4" w:rsidP="004A69E4">
      <w:pPr>
        <w:pStyle w:val="Balk2"/>
      </w:pPr>
      <w:bookmarkStart w:id="547" w:name="_Toc520822126"/>
      <w:bookmarkStart w:id="548" w:name="_Toc10123892"/>
      <w:bookmarkStart w:id="549" w:name="_Toc12526266"/>
      <w:bookmarkStart w:id="550" w:name="_Toc12535892"/>
      <w:bookmarkEnd w:id="543"/>
      <w:bookmarkEnd w:id="544"/>
      <w:bookmarkEnd w:id="545"/>
      <w:bookmarkEnd w:id="546"/>
      <w:r w:rsidRPr="0077239A">
        <w:lastRenderedPageBreak/>
        <w:t>Figure</w:t>
      </w:r>
      <w:r>
        <w:t xml:space="preserve"> 2</w:t>
      </w:r>
      <w:r w:rsidRPr="0077239A">
        <w:t xml:space="preserve">.5.1: </w:t>
      </w:r>
      <w:r w:rsidRPr="00F02199">
        <w:t xml:space="preserve">Distribution of Installed Capacity </w:t>
      </w:r>
      <w:r>
        <w:t>by</w:t>
      </w:r>
      <w:r w:rsidRPr="00F02199">
        <w:t xml:space="preserve"> </w:t>
      </w:r>
      <w:r>
        <w:t>S</w:t>
      </w:r>
      <w:r w:rsidRPr="00F02199">
        <w:t>ources</w:t>
      </w:r>
      <w:r>
        <w:t xml:space="preserve"> in 2018 </w:t>
      </w:r>
      <w:r w:rsidRPr="00F02199">
        <w:t>(%)</w:t>
      </w:r>
      <w:bookmarkEnd w:id="547"/>
      <w:bookmarkEnd w:id="548"/>
      <w:bookmarkEnd w:id="549"/>
      <w:bookmarkEnd w:id="550"/>
    </w:p>
    <w:p w:rsidR="004A69E4" w:rsidRDefault="004A69E4" w:rsidP="004A69E4">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bidi="ar-SA"/>
        </w:rPr>
        <w:drawing>
          <wp:inline distT="0" distB="0" distL="0" distR="0" wp14:anchorId="13CEE2B8" wp14:editId="02DC760E">
            <wp:extent cx="5495925" cy="2914650"/>
            <wp:effectExtent l="0" t="0" r="9525"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95925" cy="2914650"/>
                    </a:xfrm>
                    <a:prstGeom prst="rect">
                      <a:avLst/>
                    </a:prstGeom>
                    <a:noFill/>
                    <a:ln>
                      <a:noFill/>
                    </a:ln>
                  </pic:spPr>
                </pic:pic>
              </a:graphicData>
            </a:graphic>
          </wp:inline>
        </w:drawing>
      </w:r>
    </w:p>
    <w:p w:rsidR="004A69E4" w:rsidRDefault="004A69E4" w:rsidP="004A69E4">
      <w:pPr>
        <w:spacing w:line="360" w:lineRule="auto"/>
        <w:jc w:val="both"/>
        <w:rPr>
          <w:rFonts w:ascii="Times New Roman" w:eastAsiaTheme="minorEastAsia" w:hAnsi="Times New Roman" w:cs="Times New Roman"/>
          <w:sz w:val="24"/>
          <w:szCs w:val="24"/>
        </w:rPr>
      </w:pPr>
      <w:r w:rsidRPr="00006856">
        <w:rPr>
          <w:rFonts w:ascii="Times New Roman" w:eastAsiaTheme="minorEastAsia" w:hAnsi="Times New Roman" w:cs="Times New Roman"/>
          <w:sz w:val="24"/>
          <w:szCs w:val="24"/>
        </w:rPr>
        <w:t xml:space="preserve">Development of the generation within the scope of </w:t>
      </w:r>
      <w:r w:rsidR="00944835">
        <w:rPr>
          <w:rFonts w:ascii="Times New Roman" w:eastAsiaTheme="minorEastAsia" w:hAnsi="Times New Roman" w:cs="Times New Roman"/>
          <w:sz w:val="24"/>
          <w:szCs w:val="24"/>
        </w:rPr>
        <w:t>RESSUM</w:t>
      </w:r>
      <w:r w:rsidRPr="004A69E4">
        <w:rPr>
          <w:rFonts w:ascii="Times New Roman" w:eastAsiaTheme="minorEastAsia" w:hAnsi="Times New Roman" w:cs="Times New Roman"/>
          <w:color w:val="FF0000"/>
          <w:sz w:val="24"/>
          <w:szCs w:val="24"/>
        </w:rPr>
        <w:t xml:space="preserve"> </w:t>
      </w:r>
      <w:r w:rsidRPr="00006856">
        <w:rPr>
          <w:rFonts w:ascii="Times New Roman" w:eastAsiaTheme="minorEastAsia" w:hAnsi="Times New Roman" w:cs="Times New Roman"/>
          <w:sz w:val="24"/>
          <w:szCs w:val="24"/>
        </w:rPr>
        <w:t xml:space="preserve">is shown at </w:t>
      </w:r>
      <w:r w:rsidRPr="00006856">
        <w:rPr>
          <w:rFonts w:ascii="Times New Roman" w:eastAsiaTheme="minorEastAsia" w:hAnsi="Times New Roman" w:cs="Times New Roman"/>
          <w:sz w:val="24"/>
          <w:szCs w:val="24"/>
        </w:rPr>
        <w:fldChar w:fldCharType="begin"/>
      </w:r>
      <w:r w:rsidRPr="00006856">
        <w:rPr>
          <w:rFonts w:ascii="Times New Roman" w:eastAsiaTheme="minorEastAsia" w:hAnsi="Times New Roman" w:cs="Times New Roman"/>
          <w:sz w:val="24"/>
          <w:szCs w:val="24"/>
        </w:rPr>
        <w:instrText xml:space="preserve"> REF _Ref417998640 \h  \* MERGEFORMAT </w:instrText>
      </w:r>
      <w:r w:rsidRPr="00006856">
        <w:rPr>
          <w:rFonts w:ascii="Times New Roman" w:eastAsiaTheme="minorEastAsia" w:hAnsi="Times New Roman" w:cs="Times New Roman"/>
          <w:sz w:val="24"/>
          <w:szCs w:val="24"/>
        </w:rPr>
      </w:r>
      <w:r w:rsidRPr="00006856">
        <w:rPr>
          <w:rFonts w:ascii="Times New Roman" w:eastAsiaTheme="minorEastAsia" w:hAnsi="Times New Roman" w:cs="Times New Roman"/>
          <w:sz w:val="24"/>
          <w:szCs w:val="24"/>
        </w:rPr>
        <w:fldChar w:fldCharType="separate"/>
      </w:r>
      <w:r w:rsidRPr="00006856">
        <w:rPr>
          <w:rFonts w:ascii="Times New Roman" w:eastAsiaTheme="minorEastAsia" w:hAnsi="Times New Roman" w:cs="Times New Roman"/>
          <w:bCs/>
          <w:sz w:val="24"/>
          <w:szCs w:val="24"/>
        </w:rPr>
        <w:t>Table</w:t>
      </w:r>
      <w:r w:rsidRPr="00006856">
        <w:rPr>
          <w:rFonts w:ascii="Times New Roman" w:eastAsiaTheme="minorEastAsia" w:hAnsi="Times New Roman" w:cs="Times New Roman"/>
          <w:sz w:val="24"/>
          <w:szCs w:val="24"/>
        </w:rPr>
        <w:fldChar w:fldCharType="end"/>
      </w:r>
      <w:r w:rsidRPr="00006856">
        <w:rPr>
          <w:rFonts w:ascii="Times New Roman" w:eastAsiaTheme="minorEastAsia" w:hAnsi="Times New Roman" w:cs="Times New Roman"/>
          <w:sz w:val="24"/>
          <w:szCs w:val="24"/>
        </w:rPr>
        <w:t xml:space="preserve"> 2.5.3. Generation in 2018 increased by 23,9% and reached to 62,6 TWh. </w:t>
      </w:r>
    </w:p>
    <w:p w:rsidR="004C7560" w:rsidRPr="00006856" w:rsidRDefault="004C7560" w:rsidP="004A69E4">
      <w:pPr>
        <w:spacing w:line="360" w:lineRule="auto"/>
        <w:jc w:val="both"/>
        <w:rPr>
          <w:rFonts w:ascii="Times New Roman" w:eastAsiaTheme="minorEastAsia" w:hAnsi="Times New Roman" w:cs="Times New Roman"/>
          <w:sz w:val="24"/>
          <w:szCs w:val="24"/>
        </w:rPr>
      </w:pPr>
    </w:p>
    <w:p w:rsidR="004A69E4" w:rsidRPr="00493527" w:rsidRDefault="004A69E4" w:rsidP="004A69E4">
      <w:pPr>
        <w:pStyle w:val="Balk1"/>
        <w:rPr>
          <w:rFonts w:cstheme="minorBidi"/>
          <w:caps/>
        </w:rPr>
      </w:pPr>
      <w:bookmarkStart w:id="551" w:name="_Toc494982838"/>
      <w:bookmarkStart w:id="552" w:name="_Toc514674258"/>
      <w:bookmarkStart w:id="553" w:name="_Toc520822054"/>
      <w:bookmarkStart w:id="554" w:name="_Toc10123894"/>
      <w:bookmarkStart w:id="555" w:name="_Toc10191435"/>
      <w:bookmarkStart w:id="556" w:name="_Toc12526267"/>
      <w:r w:rsidRPr="003A489E">
        <w:t>Table</w:t>
      </w:r>
      <w:r w:rsidRPr="000C6D21">
        <w:t xml:space="preserve"> 2</w:t>
      </w:r>
      <w:r w:rsidRPr="00493527">
        <w:t xml:space="preserve">.5.3: </w:t>
      </w:r>
      <w:r>
        <w:t>Yearly Generation of</w:t>
      </w:r>
      <w:r w:rsidRPr="0099731C">
        <w:rPr>
          <w:color w:val="auto"/>
        </w:rPr>
        <w:t xml:space="preserve"> </w:t>
      </w:r>
      <w:r w:rsidR="00944835">
        <w:rPr>
          <w:color w:val="auto"/>
        </w:rPr>
        <w:t>RESSUM</w:t>
      </w:r>
      <w:r w:rsidRPr="004A69E4">
        <w:rPr>
          <w:color w:val="auto"/>
        </w:rPr>
        <w:t xml:space="preserve"> </w:t>
      </w:r>
      <w:r w:rsidRPr="00F02199">
        <w:t>Participants by years (MWh)*</w:t>
      </w:r>
      <w:bookmarkEnd w:id="551"/>
      <w:bookmarkEnd w:id="552"/>
      <w:bookmarkEnd w:id="553"/>
      <w:bookmarkEnd w:id="554"/>
      <w:bookmarkEnd w:id="555"/>
      <w:bookmarkEnd w:id="556"/>
    </w:p>
    <w:tbl>
      <w:tblPr>
        <w:tblW w:w="9340" w:type="dxa"/>
        <w:tblInd w:w="60" w:type="dxa"/>
        <w:tblCellMar>
          <w:left w:w="70" w:type="dxa"/>
          <w:right w:w="70" w:type="dxa"/>
        </w:tblCellMar>
        <w:tblLook w:val="04A0" w:firstRow="1" w:lastRow="0" w:firstColumn="1" w:lastColumn="0" w:noHBand="0" w:noVBand="1"/>
      </w:tblPr>
      <w:tblGrid>
        <w:gridCol w:w="1780"/>
        <w:gridCol w:w="1030"/>
        <w:gridCol w:w="1030"/>
        <w:gridCol w:w="1030"/>
        <w:gridCol w:w="1141"/>
        <w:gridCol w:w="1141"/>
        <w:gridCol w:w="1141"/>
        <w:gridCol w:w="1141"/>
      </w:tblGrid>
      <w:tr w:rsidR="004A69E4" w:rsidRPr="00CE1D0D" w:rsidTr="004A69E4">
        <w:trPr>
          <w:trHeight w:val="315"/>
        </w:trPr>
        <w:tc>
          <w:tcPr>
            <w:tcW w:w="1780"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Type</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2012</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2013</w:t>
            </w:r>
          </w:p>
        </w:tc>
        <w:tc>
          <w:tcPr>
            <w:tcW w:w="960"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2014</w:t>
            </w:r>
          </w:p>
        </w:tc>
        <w:tc>
          <w:tcPr>
            <w:tcW w:w="1060" w:type="dxa"/>
            <w:tcBorders>
              <w:top w:val="single" w:sz="8" w:space="0" w:color="auto"/>
              <w:left w:val="nil"/>
              <w:bottom w:val="single" w:sz="8" w:space="0" w:color="auto"/>
              <w:right w:val="single" w:sz="8" w:space="0" w:color="auto"/>
            </w:tcBorders>
            <w:shd w:val="clear" w:color="000000" w:fill="4BACC6"/>
            <w:noWrap/>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2015</w:t>
            </w:r>
          </w:p>
        </w:tc>
        <w:tc>
          <w:tcPr>
            <w:tcW w:w="1060" w:type="dxa"/>
            <w:tcBorders>
              <w:top w:val="single" w:sz="8" w:space="0" w:color="auto"/>
              <w:left w:val="nil"/>
              <w:bottom w:val="single" w:sz="8" w:space="0" w:color="auto"/>
              <w:right w:val="single" w:sz="8" w:space="0" w:color="auto"/>
            </w:tcBorders>
            <w:shd w:val="clear" w:color="000000" w:fill="4BACC6"/>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2016</w:t>
            </w:r>
          </w:p>
        </w:tc>
        <w:tc>
          <w:tcPr>
            <w:tcW w:w="1240" w:type="dxa"/>
            <w:tcBorders>
              <w:top w:val="single" w:sz="8" w:space="0" w:color="auto"/>
              <w:left w:val="nil"/>
              <w:bottom w:val="single" w:sz="8" w:space="0" w:color="auto"/>
              <w:right w:val="single" w:sz="8" w:space="0" w:color="auto"/>
            </w:tcBorders>
            <w:shd w:val="clear" w:color="000000" w:fill="4BACC6"/>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2017</w:t>
            </w:r>
          </w:p>
        </w:tc>
        <w:tc>
          <w:tcPr>
            <w:tcW w:w="1320" w:type="dxa"/>
            <w:tcBorders>
              <w:top w:val="single" w:sz="8" w:space="0" w:color="auto"/>
              <w:left w:val="nil"/>
              <w:bottom w:val="single" w:sz="8" w:space="0" w:color="auto"/>
              <w:right w:val="single" w:sz="8" w:space="0" w:color="auto"/>
            </w:tcBorders>
            <w:shd w:val="clear" w:color="000000" w:fill="4BACC6"/>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2018</w:t>
            </w:r>
          </w:p>
        </w:tc>
      </w:tr>
      <w:tr w:rsidR="004A69E4" w:rsidRPr="00CE1D0D" w:rsidTr="004A69E4">
        <w:trPr>
          <w:trHeight w:val="315"/>
        </w:trPr>
        <w:tc>
          <w:tcPr>
            <w:tcW w:w="1780" w:type="dxa"/>
            <w:tcBorders>
              <w:top w:val="nil"/>
              <w:left w:val="single" w:sz="8" w:space="0" w:color="auto"/>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Solar</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124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24.268</w:t>
            </w:r>
          </w:p>
        </w:tc>
        <w:tc>
          <w:tcPr>
            <w:tcW w:w="132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39.140</w:t>
            </w:r>
          </w:p>
        </w:tc>
      </w:tr>
      <w:tr w:rsidR="004A69E4" w:rsidRPr="00CE1D0D" w:rsidTr="004A69E4">
        <w:trPr>
          <w:trHeight w:val="315"/>
        </w:trPr>
        <w:tc>
          <w:tcPr>
            <w:tcW w:w="1780" w:type="dxa"/>
            <w:tcBorders>
              <w:top w:val="nil"/>
              <w:left w:val="single" w:sz="8" w:space="0" w:color="auto"/>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Unlicensed</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w:t>
            </w:r>
          </w:p>
        </w:tc>
        <w:tc>
          <w:tcPr>
            <w:tcW w:w="10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222.724</w:t>
            </w:r>
          </w:p>
        </w:tc>
        <w:tc>
          <w:tcPr>
            <w:tcW w:w="1060" w:type="dxa"/>
            <w:tcBorders>
              <w:top w:val="nil"/>
              <w:left w:val="nil"/>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1.134.024</w:t>
            </w:r>
          </w:p>
        </w:tc>
        <w:tc>
          <w:tcPr>
            <w:tcW w:w="1240" w:type="dxa"/>
            <w:tcBorders>
              <w:top w:val="nil"/>
              <w:left w:val="nil"/>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3.031.558</w:t>
            </w:r>
          </w:p>
        </w:tc>
        <w:tc>
          <w:tcPr>
            <w:tcW w:w="1320" w:type="dxa"/>
            <w:tcBorders>
              <w:top w:val="nil"/>
              <w:left w:val="nil"/>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8.212.478</w:t>
            </w:r>
          </w:p>
        </w:tc>
      </w:tr>
      <w:tr w:rsidR="004A69E4" w:rsidRPr="00CE1D0D" w:rsidTr="004A69E4">
        <w:trPr>
          <w:trHeight w:val="315"/>
        </w:trPr>
        <w:tc>
          <w:tcPr>
            <w:tcW w:w="1780" w:type="dxa"/>
            <w:tcBorders>
              <w:top w:val="nil"/>
              <w:left w:val="single" w:sz="8" w:space="0" w:color="auto"/>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Hydraulic</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2.296.047</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528.646</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1.072.832</w:t>
            </w:r>
          </w:p>
        </w:tc>
        <w:tc>
          <w:tcPr>
            <w:tcW w:w="10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5.683.331</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25.520.255</w:t>
            </w:r>
          </w:p>
        </w:tc>
        <w:tc>
          <w:tcPr>
            <w:tcW w:w="124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24.417.133</w:t>
            </w:r>
          </w:p>
        </w:tc>
        <w:tc>
          <w:tcPr>
            <w:tcW w:w="132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27.338.752</w:t>
            </w:r>
          </w:p>
        </w:tc>
      </w:tr>
      <w:tr w:rsidR="004A69E4" w:rsidRPr="00CE1D0D" w:rsidTr="004A69E4">
        <w:trPr>
          <w:trHeight w:val="315"/>
        </w:trPr>
        <w:tc>
          <w:tcPr>
            <w:tcW w:w="1780" w:type="dxa"/>
            <w:tcBorders>
              <w:top w:val="nil"/>
              <w:left w:val="single" w:sz="8" w:space="0" w:color="auto"/>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Wind</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2.081.745</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234.000</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2.378.819</w:t>
            </w:r>
          </w:p>
        </w:tc>
        <w:tc>
          <w:tcPr>
            <w:tcW w:w="10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8.275.992</w:t>
            </w:r>
          </w:p>
        </w:tc>
        <w:tc>
          <w:tcPr>
            <w:tcW w:w="1060" w:type="dxa"/>
            <w:tcBorders>
              <w:top w:val="nil"/>
              <w:left w:val="nil"/>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14.163.403</w:t>
            </w:r>
          </w:p>
        </w:tc>
        <w:tc>
          <w:tcPr>
            <w:tcW w:w="1240" w:type="dxa"/>
            <w:tcBorders>
              <w:top w:val="nil"/>
              <w:left w:val="nil"/>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16.765.418</w:t>
            </w:r>
          </w:p>
        </w:tc>
        <w:tc>
          <w:tcPr>
            <w:tcW w:w="1320" w:type="dxa"/>
            <w:tcBorders>
              <w:top w:val="nil"/>
              <w:left w:val="nil"/>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19.002.863</w:t>
            </w:r>
          </w:p>
        </w:tc>
      </w:tr>
      <w:tr w:rsidR="004A69E4" w:rsidRPr="00CE1D0D" w:rsidTr="004A69E4">
        <w:trPr>
          <w:trHeight w:val="315"/>
        </w:trPr>
        <w:tc>
          <w:tcPr>
            <w:tcW w:w="1780" w:type="dxa"/>
            <w:tcBorders>
              <w:top w:val="nil"/>
              <w:left w:val="single" w:sz="8" w:space="0" w:color="auto"/>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Geo</w:t>
            </w:r>
            <w:r w:rsidRPr="00CE1D0D">
              <w:rPr>
                <w:rFonts w:ascii="Arial" w:eastAsia="Times New Roman" w:hAnsi="Arial" w:cs="Arial"/>
                <w:b/>
                <w:bCs/>
                <w:color w:val="000000"/>
                <w:sz w:val="20"/>
                <w:szCs w:val="20"/>
                <w:lang w:eastAsia="tr-TR" w:bidi="ar-SA"/>
              </w:rPr>
              <w:t>t</w:t>
            </w:r>
            <w:r>
              <w:rPr>
                <w:rFonts w:ascii="Arial" w:eastAsia="Times New Roman" w:hAnsi="Arial" w:cs="Arial"/>
                <w:b/>
                <w:bCs/>
                <w:color w:val="000000"/>
                <w:sz w:val="20"/>
                <w:szCs w:val="20"/>
                <w:lang w:eastAsia="tr-TR" w:bidi="ar-SA"/>
              </w:rPr>
              <w:t>h</w:t>
            </w:r>
            <w:r w:rsidRPr="00CE1D0D">
              <w:rPr>
                <w:rFonts w:ascii="Arial" w:eastAsia="Times New Roman" w:hAnsi="Arial" w:cs="Arial"/>
                <w:b/>
                <w:bCs/>
                <w:color w:val="000000"/>
                <w:sz w:val="20"/>
                <w:szCs w:val="20"/>
                <w:lang w:eastAsia="tr-TR" w:bidi="ar-SA"/>
              </w:rPr>
              <w:t>ermal</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487.364</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857.527</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1.436.579</w:t>
            </w:r>
          </w:p>
        </w:tc>
        <w:tc>
          <w:tcPr>
            <w:tcW w:w="10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2.710.856</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3.706.764</w:t>
            </w:r>
          </w:p>
        </w:tc>
        <w:tc>
          <w:tcPr>
            <w:tcW w:w="124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4.503.345</w:t>
            </w:r>
          </w:p>
        </w:tc>
        <w:tc>
          <w:tcPr>
            <w:tcW w:w="132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5.968.202</w:t>
            </w:r>
          </w:p>
        </w:tc>
      </w:tr>
      <w:tr w:rsidR="004A69E4" w:rsidRPr="00CE1D0D" w:rsidTr="004A69E4">
        <w:trPr>
          <w:trHeight w:val="315"/>
        </w:trPr>
        <w:tc>
          <w:tcPr>
            <w:tcW w:w="1780" w:type="dxa"/>
            <w:tcBorders>
              <w:top w:val="nil"/>
              <w:left w:val="single" w:sz="8" w:space="0" w:color="auto"/>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Biomass</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374.002</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750.715</w:t>
            </w:r>
          </w:p>
        </w:tc>
        <w:tc>
          <w:tcPr>
            <w:tcW w:w="9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925.516</w:t>
            </w:r>
          </w:p>
        </w:tc>
        <w:tc>
          <w:tcPr>
            <w:tcW w:w="1060" w:type="dxa"/>
            <w:tcBorders>
              <w:top w:val="nil"/>
              <w:left w:val="nil"/>
              <w:bottom w:val="single" w:sz="8" w:space="0" w:color="auto"/>
              <w:right w:val="single" w:sz="8" w:space="0" w:color="auto"/>
            </w:tcBorders>
            <w:shd w:val="clear" w:color="auto" w:fill="auto"/>
            <w:noWrap/>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1.050.796</w:t>
            </w:r>
          </w:p>
        </w:tc>
        <w:tc>
          <w:tcPr>
            <w:tcW w:w="1060" w:type="dxa"/>
            <w:tcBorders>
              <w:top w:val="nil"/>
              <w:left w:val="nil"/>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1.306.057</w:t>
            </w:r>
          </w:p>
        </w:tc>
        <w:tc>
          <w:tcPr>
            <w:tcW w:w="1240" w:type="dxa"/>
            <w:tcBorders>
              <w:top w:val="nil"/>
              <w:left w:val="nil"/>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1.789.053</w:t>
            </w:r>
          </w:p>
        </w:tc>
        <w:tc>
          <w:tcPr>
            <w:tcW w:w="1320" w:type="dxa"/>
            <w:tcBorders>
              <w:top w:val="nil"/>
              <w:left w:val="nil"/>
              <w:bottom w:val="single" w:sz="8" w:space="0" w:color="auto"/>
              <w:right w:val="single" w:sz="8" w:space="0" w:color="auto"/>
            </w:tcBorders>
            <w:shd w:val="clear" w:color="auto" w:fill="auto"/>
            <w:vAlign w:val="center"/>
            <w:hideMark/>
          </w:tcPr>
          <w:p w:rsidR="004A69E4" w:rsidRPr="00CE1D0D" w:rsidRDefault="004A69E4" w:rsidP="004A69E4">
            <w:pPr>
              <w:spacing w:after="0" w:line="240" w:lineRule="auto"/>
              <w:jc w:val="both"/>
              <w:rPr>
                <w:rFonts w:ascii="Arial" w:eastAsia="Times New Roman" w:hAnsi="Arial" w:cs="Arial"/>
                <w:color w:val="000000"/>
                <w:sz w:val="20"/>
                <w:szCs w:val="20"/>
                <w:lang w:eastAsia="tr-TR" w:bidi="ar-SA"/>
              </w:rPr>
            </w:pPr>
            <w:r w:rsidRPr="00CE1D0D">
              <w:rPr>
                <w:rFonts w:ascii="Arial" w:eastAsia="Times New Roman" w:hAnsi="Arial" w:cs="Arial"/>
                <w:color w:val="000000"/>
                <w:sz w:val="20"/>
                <w:szCs w:val="20"/>
                <w:lang w:eastAsia="tr-TR" w:bidi="ar-SA"/>
              </w:rPr>
              <w:t>2.047.082</w:t>
            </w:r>
          </w:p>
        </w:tc>
      </w:tr>
      <w:tr w:rsidR="004A69E4" w:rsidRPr="00CE1D0D" w:rsidTr="004A69E4">
        <w:trPr>
          <w:trHeight w:val="315"/>
        </w:trPr>
        <w:tc>
          <w:tcPr>
            <w:tcW w:w="1780" w:type="dxa"/>
            <w:tcBorders>
              <w:top w:val="nil"/>
              <w:left w:val="single" w:sz="8" w:space="0" w:color="auto"/>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Pr>
                <w:rFonts w:ascii="Arial" w:eastAsia="Times New Roman" w:hAnsi="Arial" w:cs="Arial"/>
                <w:b/>
                <w:bCs/>
                <w:color w:val="000000"/>
                <w:sz w:val="20"/>
                <w:szCs w:val="20"/>
                <w:lang w:eastAsia="tr-TR" w:bidi="ar-SA"/>
              </w:rPr>
              <w:t>Total</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5.239.158</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2.370.888</w:t>
            </w:r>
          </w:p>
        </w:tc>
        <w:tc>
          <w:tcPr>
            <w:tcW w:w="960" w:type="dxa"/>
            <w:tcBorders>
              <w:top w:val="nil"/>
              <w:left w:val="nil"/>
              <w:bottom w:val="single" w:sz="8" w:space="0" w:color="auto"/>
              <w:right w:val="single" w:sz="8" w:space="0" w:color="auto"/>
            </w:tcBorders>
            <w:shd w:val="clear" w:color="000000" w:fill="D2EAF1"/>
            <w:noWrap/>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5.813.746</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17.943.699</w:t>
            </w:r>
          </w:p>
        </w:tc>
        <w:tc>
          <w:tcPr>
            <w:tcW w:w="106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45.830.503</w:t>
            </w:r>
          </w:p>
        </w:tc>
        <w:tc>
          <w:tcPr>
            <w:tcW w:w="124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50.530.776</w:t>
            </w:r>
          </w:p>
        </w:tc>
        <w:tc>
          <w:tcPr>
            <w:tcW w:w="1320" w:type="dxa"/>
            <w:tcBorders>
              <w:top w:val="nil"/>
              <w:left w:val="nil"/>
              <w:bottom w:val="single" w:sz="8" w:space="0" w:color="auto"/>
              <w:right w:val="single" w:sz="8" w:space="0" w:color="auto"/>
            </w:tcBorders>
            <w:shd w:val="clear" w:color="000000" w:fill="D2EAF1"/>
            <w:vAlign w:val="center"/>
            <w:hideMark/>
          </w:tcPr>
          <w:p w:rsidR="004A69E4" w:rsidRPr="00CE1D0D" w:rsidRDefault="004A69E4" w:rsidP="004A69E4">
            <w:pPr>
              <w:spacing w:after="0" w:line="240" w:lineRule="auto"/>
              <w:jc w:val="both"/>
              <w:rPr>
                <w:rFonts w:ascii="Arial" w:eastAsia="Times New Roman" w:hAnsi="Arial" w:cs="Arial"/>
                <w:b/>
                <w:bCs/>
                <w:color w:val="000000"/>
                <w:sz w:val="20"/>
                <w:szCs w:val="20"/>
                <w:lang w:eastAsia="tr-TR" w:bidi="ar-SA"/>
              </w:rPr>
            </w:pPr>
            <w:r w:rsidRPr="00CE1D0D">
              <w:rPr>
                <w:rFonts w:ascii="Arial" w:eastAsia="Times New Roman" w:hAnsi="Arial" w:cs="Arial"/>
                <w:b/>
                <w:bCs/>
                <w:color w:val="000000"/>
                <w:sz w:val="20"/>
                <w:szCs w:val="20"/>
                <w:lang w:eastAsia="tr-TR" w:bidi="ar-SA"/>
              </w:rPr>
              <w:t>62.608.517</w:t>
            </w:r>
          </w:p>
        </w:tc>
      </w:tr>
    </w:tbl>
    <w:p w:rsidR="004A69E4" w:rsidRDefault="004A69E4" w:rsidP="004A69E4"/>
    <w:p w:rsidR="004C7560" w:rsidRDefault="004C7560" w:rsidP="004A69E4">
      <w:pPr>
        <w:spacing w:line="360" w:lineRule="auto"/>
        <w:jc w:val="both"/>
        <w:rPr>
          <w:rFonts w:ascii="Times New Roman" w:eastAsiaTheme="minorEastAsia" w:hAnsi="Times New Roman" w:cs="Times New Roman"/>
          <w:sz w:val="24"/>
          <w:szCs w:val="24"/>
        </w:rPr>
      </w:pPr>
      <w:bookmarkStart w:id="557" w:name="_Ref417998818"/>
      <w:bookmarkStart w:id="558" w:name="_Ref417998814"/>
      <w:bookmarkStart w:id="559" w:name="_Toc432165750"/>
    </w:p>
    <w:p w:rsidR="004A69E4" w:rsidRPr="0099731C" w:rsidRDefault="004A69E4" w:rsidP="004A69E4">
      <w:pPr>
        <w:spacing w:line="360" w:lineRule="auto"/>
        <w:jc w:val="both"/>
        <w:rPr>
          <w:rFonts w:ascii="Times New Roman" w:eastAsiaTheme="minorEastAsia" w:hAnsi="Times New Roman" w:cs="Times New Roman"/>
          <w:sz w:val="24"/>
          <w:szCs w:val="24"/>
        </w:rPr>
      </w:pPr>
      <w:r w:rsidRPr="0099731C">
        <w:rPr>
          <w:rFonts w:ascii="Times New Roman" w:eastAsiaTheme="minorEastAsia" w:hAnsi="Times New Roman" w:cs="Times New Roman"/>
          <w:sz w:val="24"/>
          <w:szCs w:val="24"/>
        </w:rPr>
        <w:t xml:space="preserve">Distribution of generation in 2018 by source types is shown at Figure 2.5.2. The highest generation was obtained from hydro and wind power plants respectively. </w:t>
      </w:r>
    </w:p>
    <w:p w:rsidR="004A69E4" w:rsidRDefault="004A69E4" w:rsidP="004A69E4">
      <w:pPr>
        <w:pStyle w:val="Balk2"/>
      </w:pPr>
      <w:bookmarkStart w:id="560" w:name="_Toc520822127"/>
      <w:bookmarkStart w:id="561" w:name="_Toc10123895"/>
      <w:bookmarkStart w:id="562" w:name="_Toc12526268"/>
      <w:bookmarkStart w:id="563" w:name="_Toc12535893"/>
      <w:bookmarkEnd w:id="557"/>
      <w:bookmarkEnd w:id="558"/>
      <w:bookmarkEnd w:id="559"/>
      <w:r w:rsidRPr="006C0732">
        <w:lastRenderedPageBreak/>
        <w:t>Figure</w:t>
      </w:r>
      <w:r>
        <w:t xml:space="preserve"> 2</w:t>
      </w:r>
      <w:r w:rsidRPr="0077239A">
        <w:t xml:space="preserve">.5.2: </w:t>
      </w:r>
      <w:r w:rsidRPr="0089517C">
        <w:t xml:space="preserve">Distribution of </w:t>
      </w:r>
      <w:r>
        <w:t>Generation in</w:t>
      </w:r>
      <w:r w:rsidRPr="0089517C">
        <w:t xml:space="preserve"> </w:t>
      </w:r>
      <w:r w:rsidR="00944835">
        <w:rPr>
          <w:color w:val="auto"/>
        </w:rPr>
        <w:t>RESSUM</w:t>
      </w:r>
      <w:r w:rsidRPr="00006856">
        <w:rPr>
          <w:color w:val="FF0000"/>
        </w:rPr>
        <w:t xml:space="preserve"> </w:t>
      </w:r>
      <w:r>
        <w:t>by</w:t>
      </w:r>
      <w:r w:rsidRPr="0089517C">
        <w:t xml:space="preserve"> </w:t>
      </w:r>
      <w:r>
        <w:t>S</w:t>
      </w:r>
      <w:r w:rsidRPr="0089517C">
        <w:t>ources in 201</w:t>
      </w:r>
      <w:bookmarkEnd w:id="560"/>
      <w:r>
        <w:t>8</w:t>
      </w:r>
      <w:bookmarkEnd w:id="561"/>
      <w:bookmarkEnd w:id="562"/>
      <w:bookmarkEnd w:id="563"/>
    </w:p>
    <w:p w:rsidR="004A69E4" w:rsidRPr="00006856" w:rsidRDefault="004A69E4" w:rsidP="004A69E4">
      <w:pPr>
        <w:jc w:val="center"/>
      </w:pPr>
      <w:r>
        <w:rPr>
          <w:noProof/>
          <w:lang w:bidi="ar-SA"/>
        </w:rPr>
        <w:drawing>
          <wp:inline distT="0" distB="0" distL="0" distR="0" wp14:anchorId="5EA995F4" wp14:editId="2AEAAB8E">
            <wp:extent cx="5762624" cy="2562225"/>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73420" cy="2567025"/>
                    </a:xfrm>
                    <a:prstGeom prst="rect">
                      <a:avLst/>
                    </a:prstGeom>
                    <a:noFill/>
                  </pic:spPr>
                </pic:pic>
              </a:graphicData>
            </a:graphic>
          </wp:inline>
        </w:drawing>
      </w:r>
    </w:p>
    <w:p w:rsidR="004A69E4" w:rsidRPr="00F05D14" w:rsidRDefault="004A69E4" w:rsidP="004A69E4">
      <w:pPr>
        <w:spacing w:line="360" w:lineRule="auto"/>
        <w:jc w:val="both"/>
        <w:rPr>
          <w:rFonts w:ascii="Times New Roman" w:eastAsiaTheme="minorEastAsia" w:hAnsi="Times New Roman" w:cs="Times New Roman"/>
          <w:sz w:val="24"/>
          <w:szCs w:val="24"/>
        </w:rPr>
      </w:pPr>
      <w:bookmarkStart w:id="564" w:name="_Ref398910817"/>
      <w:bookmarkStart w:id="565" w:name="_Toc432165751"/>
      <w:bookmarkStart w:id="566" w:name="_Toc450307935"/>
      <w:r w:rsidRPr="00F05D14">
        <w:rPr>
          <w:rFonts w:ascii="Times New Roman" w:eastAsiaTheme="minorEastAsia" w:hAnsi="Times New Roman" w:cs="Times New Roman"/>
          <w:sz w:val="24"/>
          <w:szCs w:val="24"/>
        </w:rPr>
        <w:t xml:space="preserve">Share of the generation within the scope of the </w:t>
      </w:r>
      <w:r w:rsidR="00944835">
        <w:rPr>
          <w:rFonts w:ascii="Times New Roman" w:eastAsiaTheme="minorEastAsia" w:hAnsi="Times New Roman" w:cs="Times New Roman"/>
          <w:sz w:val="24"/>
          <w:szCs w:val="24"/>
        </w:rPr>
        <w:t>RESSUM</w:t>
      </w:r>
      <w:r w:rsidRPr="00F05D14">
        <w:rPr>
          <w:rFonts w:ascii="Times New Roman" w:eastAsiaTheme="minorEastAsia" w:hAnsi="Times New Roman" w:cs="Times New Roman"/>
          <w:color w:val="FF0000"/>
          <w:sz w:val="24"/>
          <w:szCs w:val="24"/>
        </w:rPr>
        <w:t xml:space="preserve"> </w:t>
      </w:r>
      <w:r w:rsidRPr="00F05D14">
        <w:rPr>
          <w:rFonts w:ascii="Times New Roman" w:eastAsiaTheme="minorEastAsia" w:hAnsi="Times New Roman" w:cs="Times New Roman"/>
          <w:sz w:val="24"/>
          <w:szCs w:val="24"/>
        </w:rPr>
        <w:t>in total generation was 21,19% in 2018, while this ratio was 17,26 % in 2017.</w:t>
      </w:r>
    </w:p>
    <w:p w:rsidR="004A69E4" w:rsidRDefault="004A69E4" w:rsidP="004C7560">
      <w:pPr>
        <w:spacing w:line="360" w:lineRule="auto"/>
        <w:jc w:val="both"/>
        <w:rPr>
          <w:lang w:bidi="ar-SA"/>
        </w:rPr>
      </w:pPr>
      <w:bookmarkStart w:id="567" w:name="_Toc487101659"/>
      <w:bookmarkStart w:id="568" w:name="_Toc512431001"/>
      <w:r w:rsidRPr="00F05D14">
        <w:rPr>
          <w:rFonts w:ascii="Times New Roman" w:eastAsiaTheme="minorEastAsia" w:hAnsi="Times New Roman" w:cs="Times New Roman"/>
          <w:sz w:val="24"/>
          <w:szCs w:val="24"/>
        </w:rPr>
        <w:t xml:space="preserve">Monthly development of the 2018 </w:t>
      </w:r>
      <w:r w:rsidR="00944835">
        <w:rPr>
          <w:rFonts w:ascii="Times New Roman" w:eastAsiaTheme="minorEastAsia" w:hAnsi="Times New Roman" w:cs="Times New Roman"/>
          <w:sz w:val="24"/>
          <w:szCs w:val="24"/>
        </w:rPr>
        <w:t>RESSUM</w:t>
      </w:r>
      <w:r w:rsidR="006078D4" w:rsidRPr="006078D4">
        <w:rPr>
          <w:rFonts w:ascii="Times New Roman" w:eastAsiaTheme="minorEastAsia" w:hAnsi="Times New Roman" w:cs="Times New Roman"/>
          <w:sz w:val="24"/>
          <w:szCs w:val="24"/>
        </w:rPr>
        <w:t xml:space="preserve"> </w:t>
      </w:r>
      <w:r w:rsidRPr="00F05D14">
        <w:rPr>
          <w:rFonts w:ascii="Times New Roman" w:eastAsiaTheme="minorEastAsia" w:hAnsi="Times New Roman" w:cs="Times New Roman"/>
          <w:sz w:val="24"/>
          <w:szCs w:val="24"/>
        </w:rPr>
        <w:t xml:space="preserve">is seen at Figure 2.5.3. Because of rainfalls in spring, hydraulic generation and therefore the generation of </w:t>
      </w:r>
      <w:r>
        <w:rPr>
          <w:rFonts w:ascii="Times New Roman" w:eastAsiaTheme="minorEastAsia" w:hAnsi="Times New Roman" w:cs="Times New Roman"/>
          <w:sz w:val="24"/>
          <w:szCs w:val="24"/>
        </w:rPr>
        <w:t>RESUM</w:t>
      </w:r>
      <w:r w:rsidRPr="00F05D14">
        <w:rPr>
          <w:rFonts w:ascii="Times New Roman" w:eastAsiaTheme="minorEastAsia" w:hAnsi="Times New Roman" w:cs="Times New Roman"/>
          <w:color w:val="FF0000"/>
          <w:sz w:val="24"/>
          <w:szCs w:val="24"/>
        </w:rPr>
        <w:t xml:space="preserve"> </w:t>
      </w:r>
      <w:r w:rsidRPr="00F05D14">
        <w:rPr>
          <w:rFonts w:ascii="Times New Roman" w:eastAsiaTheme="minorEastAsia" w:hAnsi="Times New Roman" w:cs="Times New Roman"/>
          <w:sz w:val="24"/>
          <w:szCs w:val="24"/>
        </w:rPr>
        <w:t>increased. For other sources, more stable generation was realized during the year.</w:t>
      </w:r>
      <w:bookmarkEnd w:id="564"/>
      <w:bookmarkEnd w:id="565"/>
      <w:bookmarkEnd w:id="566"/>
      <w:bookmarkEnd w:id="567"/>
      <w:bookmarkEnd w:id="568"/>
    </w:p>
    <w:p w:rsidR="004C7560" w:rsidRDefault="004C7560" w:rsidP="004A69E4">
      <w:pPr>
        <w:pStyle w:val="Balk2"/>
        <w:spacing w:after="120"/>
      </w:pPr>
      <w:bookmarkStart w:id="569" w:name="_Toc494988658"/>
      <w:bookmarkStart w:id="570" w:name="_Toc520822128"/>
      <w:bookmarkStart w:id="571" w:name="_Toc10123896"/>
    </w:p>
    <w:p w:rsidR="004A69E4" w:rsidRDefault="004A69E4" w:rsidP="004A69E4">
      <w:pPr>
        <w:pStyle w:val="Balk2"/>
        <w:spacing w:after="120"/>
      </w:pPr>
      <w:bookmarkStart w:id="572" w:name="_Toc12526269"/>
      <w:bookmarkStart w:id="573" w:name="_Toc12535894"/>
      <w:r w:rsidRPr="00916934">
        <w:t xml:space="preserve">Figure 2.5.3: Monthly Development of </w:t>
      </w:r>
      <w:r w:rsidR="00944835">
        <w:t>RESSUM</w:t>
      </w:r>
      <w:r>
        <w:t xml:space="preserve"> Generation in 2018</w:t>
      </w:r>
      <w:r w:rsidRPr="00916934">
        <w:t xml:space="preserve"> (MWh)</w:t>
      </w:r>
      <w:bookmarkEnd w:id="569"/>
      <w:bookmarkEnd w:id="570"/>
      <w:bookmarkEnd w:id="571"/>
      <w:bookmarkEnd w:id="572"/>
      <w:bookmarkEnd w:id="573"/>
    </w:p>
    <w:p w:rsidR="004A69E4" w:rsidRPr="00F05D14" w:rsidRDefault="004A69E4" w:rsidP="004A69E4">
      <w:pPr>
        <w:spacing w:line="276" w:lineRule="auto"/>
        <w:jc w:val="center"/>
        <w:rPr>
          <w:rFonts w:ascii="Times New Roman" w:hAnsi="Times New Roman" w:cs="Times New Roman"/>
          <w:b/>
          <w:sz w:val="24"/>
          <w:szCs w:val="32"/>
          <w:lang w:bidi="ar-SA"/>
        </w:rPr>
      </w:pPr>
      <w:r>
        <w:rPr>
          <w:rFonts w:ascii="Times New Roman" w:hAnsi="Times New Roman" w:cs="Times New Roman"/>
          <w:b/>
          <w:noProof/>
          <w:sz w:val="24"/>
          <w:szCs w:val="32"/>
          <w:lang w:bidi="ar-SA"/>
        </w:rPr>
        <w:drawing>
          <wp:inline distT="0" distB="0" distL="0" distR="0" wp14:anchorId="07C41F03" wp14:editId="09E660F4">
            <wp:extent cx="5762625" cy="3019425"/>
            <wp:effectExtent l="0" t="0" r="9525" b="952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73420" cy="3025081"/>
                    </a:xfrm>
                    <a:prstGeom prst="rect">
                      <a:avLst/>
                    </a:prstGeom>
                    <a:noFill/>
                  </pic:spPr>
                </pic:pic>
              </a:graphicData>
            </a:graphic>
          </wp:inline>
        </w:drawing>
      </w:r>
    </w:p>
    <w:p w:rsidR="004C7560" w:rsidRDefault="004C7560" w:rsidP="004A69E4">
      <w:pPr>
        <w:spacing w:line="360" w:lineRule="auto"/>
        <w:jc w:val="both"/>
        <w:rPr>
          <w:rFonts w:ascii="Times New Roman" w:hAnsi="Times New Roman" w:cs="Times New Roman"/>
          <w:sz w:val="24"/>
          <w:szCs w:val="24"/>
        </w:rPr>
      </w:pPr>
      <w:bookmarkStart w:id="574" w:name="_Toc432165752"/>
      <w:bookmarkStart w:id="575" w:name="_Toc450307936"/>
      <w:bookmarkStart w:id="576" w:name="_Toc487101660"/>
      <w:bookmarkStart w:id="577" w:name="_Toc512431002"/>
    </w:p>
    <w:p w:rsidR="004A69E4" w:rsidRPr="00F05D14" w:rsidRDefault="004A69E4" w:rsidP="004A69E4">
      <w:pPr>
        <w:spacing w:line="360" w:lineRule="auto"/>
        <w:jc w:val="both"/>
        <w:rPr>
          <w:rFonts w:ascii="Times New Roman" w:eastAsiaTheme="minorEastAsia" w:hAnsi="Times New Roman" w:cs="Times New Roman"/>
          <w:sz w:val="24"/>
          <w:szCs w:val="24"/>
        </w:rPr>
      </w:pPr>
      <w:r w:rsidRPr="00F05D14">
        <w:rPr>
          <w:rFonts w:ascii="Times New Roman" w:hAnsi="Times New Roman" w:cs="Times New Roman"/>
          <w:sz w:val="24"/>
          <w:szCs w:val="24"/>
        </w:rPr>
        <w:t xml:space="preserve">Figure 2.5.4, the monthly weighted average </w:t>
      </w:r>
      <w:r w:rsidRPr="00437585">
        <w:rPr>
          <w:rFonts w:ascii="Times New Roman" w:hAnsi="Times New Roman" w:cs="Times New Roman"/>
          <w:sz w:val="24"/>
          <w:szCs w:val="24"/>
        </w:rPr>
        <w:t>MCP</w:t>
      </w:r>
      <w:r w:rsidRPr="00437585">
        <w:rPr>
          <w:rFonts w:ascii="Times New Roman" w:hAnsi="Times New Roman" w:cs="Times New Roman"/>
          <w:color w:val="FF0000"/>
          <w:sz w:val="24"/>
          <w:szCs w:val="24"/>
        </w:rPr>
        <w:t xml:space="preserve"> </w:t>
      </w:r>
      <w:r w:rsidRPr="00F05D14">
        <w:rPr>
          <w:rFonts w:ascii="Times New Roman" w:hAnsi="Times New Roman" w:cs="Times New Roman"/>
          <w:sz w:val="24"/>
          <w:szCs w:val="24"/>
        </w:rPr>
        <w:t xml:space="preserve">and </w:t>
      </w:r>
      <w:r w:rsidR="00944835">
        <w:rPr>
          <w:rFonts w:ascii="Times New Roman" w:hAnsi="Times New Roman" w:cs="Times New Roman"/>
          <w:sz w:val="24"/>
          <w:szCs w:val="24"/>
        </w:rPr>
        <w:t>RESSUM</w:t>
      </w:r>
      <w:r w:rsidR="006078D4" w:rsidRPr="006078D4">
        <w:rPr>
          <w:rFonts w:ascii="Times New Roman" w:hAnsi="Times New Roman" w:cs="Times New Roman"/>
          <w:color w:val="FF0000"/>
          <w:sz w:val="24"/>
          <w:szCs w:val="24"/>
        </w:rPr>
        <w:t xml:space="preserve"> </w:t>
      </w:r>
      <w:r w:rsidRPr="004545BC">
        <w:rPr>
          <w:rFonts w:ascii="Times New Roman" w:hAnsi="Times New Roman" w:cs="Times New Roman"/>
          <w:sz w:val="24"/>
          <w:szCs w:val="24"/>
        </w:rPr>
        <w:t>feed</w:t>
      </w:r>
      <w:r w:rsidRPr="00F05D14">
        <w:rPr>
          <w:rFonts w:ascii="Times New Roman" w:hAnsi="Times New Roman" w:cs="Times New Roman"/>
          <w:sz w:val="24"/>
          <w:szCs w:val="24"/>
        </w:rPr>
        <w:t>-in tariffs are given for 2018.</w:t>
      </w:r>
    </w:p>
    <w:p w:rsidR="004A69E4" w:rsidRDefault="004A69E4" w:rsidP="004A69E4">
      <w:pPr>
        <w:pStyle w:val="Balk2"/>
      </w:pPr>
      <w:bookmarkStart w:id="578" w:name="_Toc494988659"/>
      <w:bookmarkStart w:id="579" w:name="_Toc520822129"/>
      <w:bookmarkStart w:id="580" w:name="_Toc10123897"/>
      <w:bookmarkStart w:id="581" w:name="_Toc12526270"/>
      <w:bookmarkStart w:id="582" w:name="_Toc12535895"/>
      <w:bookmarkEnd w:id="574"/>
      <w:bookmarkEnd w:id="575"/>
      <w:bookmarkEnd w:id="576"/>
      <w:bookmarkEnd w:id="577"/>
      <w:r w:rsidRPr="00CD40B6">
        <w:lastRenderedPageBreak/>
        <w:t xml:space="preserve">Figure 2.5.4: Monthly Development of </w:t>
      </w:r>
      <w:r w:rsidR="00944835">
        <w:t>RESSUM</w:t>
      </w:r>
      <w:r w:rsidRPr="00CD40B6">
        <w:t xml:space="preserve"> Feed-in Tariffs and MCP in 2018 (MWh)</w:t>
      </w:r>
      <w:bookmarkEnd w:id="578"/>
      <w:bookmarkEnd w:id="579"/>
      <w:bookmarkEnd w:id="580"/>
      <w:bookmarkEnd w:id="581"/>
      <w:bookmarkEnd w:id="582"/>
    </w:p>
    <w:p w:rsidR="004A69E4" w:rsidRDefault="00CD40B6" w:rsidP="004A69E4">
      <w:pPr>
        <w:spacing w:line="276" w:lineRule="auto"/>
        <w:jc w:val="both"/>
        <w:rPr>
          <w:rFonts w:ascii="Times New Roman" w:hAnsi="Times New Roman"/>
          <w:b/>
          <w:sz w:val="24"/>
          <w:szCs w:val="32"/>
          <w:lang w:bidi="ar-SA"/>
        </w:rPr>
      </w:pPr>
      <w:r>
        <w:rPr>
          <w:rFonts w:ascii="Times New Roman" w:hAnsi="Times New Roman"/>
          <w:b/>
          <w:noProof/>
          <w:sz w:val="24"/>
          <w:szCs w:val="32"/>
          <w:lang w:bidi="ar-SA"/>
        </w:rPr>
        <w:drawing>
          <wp:inline distT="0" distB="0" distL="0" distR="0" wp14:anchorId="5CB5BC24">
            <wp:extent cx="6028478" cy="295275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26317" cy="2951691"/>
                    </a:xfrm>
                    <a:prstGeom prst="rect">
                      <a:avLst/>
                    </a:prstGeom>
                    <a:noFill/>
                  </pic:spPr>
                </pic:pic>
              </a:graphicData>
            </a:graphic>
          </wp:inline>
        </w:drawing>
      </w:r>
    </w:p>
    <w:p w:rsidR="004A69E4" w:rsidRDefault="004A69E4" w:rsidP="004A69E4">
      <w:pPr>
        <w:spacing w:line="360" w:lineRule="auto"/>
        <w:jc w:val="both"/>
        <w:rPr>
          <w:rFonts w:ascii="Times New Roman" w:eastAsiaTheme="minorEastAsia" w:hAnsi="Times New Roman" w:cs="Times New Roman"/>
          <w:sz w:val="24"/>
          <w:szCs w:val="24"/>
        </w:rPr>
      </w:pPr>
      <w:bookmarkStart w:id="583" w:name="_Ref398902430"/>
      <w:bookmarkStart w:id="584" w:name="_Toc432165753"/>
      <w:bookmarkStart w:id="585" w:name="_Toc450307937"/>
      <w:bookmarkStart w:id="586" w:name="_Toc487101661"/>
      <w:bookmarkStart w:id="587" w:name="_Toc512431003"/>
      <w:r w:rsidRPr="00437585">
        <w:rPr>
          <w:rFonts w:ascii="Times New Roman" w:hAnsi="Times New Roman" w:cs="Times New Roman"/>
          <w:sz w:val="24"/>
          <w:szCs w:val="24"/>
        </w:rPr>
        <w:t xml:space="preserve">In the following Figure 2.5.5, feed-in tariffs in </w:t>
      </w:r>
      <w:r w:rsidR="00944835">
        <w:rPr>
          <w:rFonts w:ascii="Times New Roman" w:hAnsi="Times New Roman" w:cs="Times New Roman"/>
          <w:sz w:val="24"/>
          <w:szCs w:val="24"/>
        </w:rPr>
        <w:t>RESSUM</w:t>
      </w:r>
      <w:r w:rsidR="006078D4" w:rsidRPr="006078D4">
        <w:rPr>
          <w:rFonts w:ascii="Times New Roman" w:hAnsi="Times New Roman" w:cs="Times New Roman"/>
          <w:sz w:val="24"/>
          <w:szCs w:val="24"/>
        </w:rPr>
        <w:t xml:space="preserve"> </w:t>
      </w:r>
      <w:r w:rsidRPr="00437585">
        <w:rPr>
          <w:rFonts w:ascii="Times New Roman" w:hAnsi="Times New Roman" w:cs="Times New Roman"/>
          <w:sz w:val="24"/>
          <w:szCs w:val="24"/>
        </w:rPr>
        <w:t xml:space="preserve">are shown together with MCP. When the feed-in tariffs for </w:t>
      </w:r>
      <w:r w:rsidR="00944835">
        <w:rPr>
          <w:rFonts w:ascii="Times New Roman" w:hAnsi="Times New Roman" w:cs="Times New Roman"/>
          <w:sz w:val="24"/>
          <w:szCs w:val="24"/>
        </w:rPr>
        <w:t>RESSUM</w:t>
      </w:r>
      <w:r w:rsidR="006078D4" w:rsidRPr="006078D4">
        <w:rPr>
          <w:rFonts w:ascii="Times New Roman" w:hAnsi="Times New Roman" w:cs="Times New Roman"/>
          <w:sz w:val="24"/>
          <w:szCs w:val="24"/>
        </w:rPr>
        <w:t xml:space="preserve"> </w:t>
      </w:r>
      <w:r w:rsidRPr="00437585">
        <w:rPr>
          <w:rFonts w:ascii="Times New Roman" w:hAnsi="Times New Roman" w:cs="Times New Roman"/>
          <w:sz w:val="24"/>
          <w:szCs w:val="24"/>
        </w:rPr>
        <w:t xml:space="preserve">are compared with the monthly average MCP, it is observed that even the lowest incentive amount is realized above the MCP. The difference between the </w:t>
      </w:r>
      <w:r w:rsidR="00944835">
        <w:rPr>
          <w:rFonts w:ascii="Times New Roman" w:hAnsi="Times New Roman" w:cs="Times New Roman"/>
          <w:sz w:val="24"/>
          <w:szCs w:val="24"/>
        </w:rPr>
        <w:t>RESSUM</w:t>
      </w:r>
      <w:r w:rsidR="006078D4" w:rsidRPr="006078D4">
        <w:rPr>
          <w:rFonts w:ascii="Times New Roman" w:hAnsi="Times New Roman" w:cs="Times New Roman"/>
          <w:sz w:val="24"/>
          <w:szCs w:val="24"/>
        </w:rPr>
        <w:t xml:space="preserve"> </w:t>
      </w:r>
      <w:r w:rsidRPr="00437585">
        <w:rPr>
          <w:rFonts w:ascii="Times New Roman" w:hAnsi="Times New Roman" w:cs="Times New Roman"/>
          <w:sz w:val="24"/>
          <w:szCs w:val="24"/>
        </w:rPr>
        <w:t>price and the MCP is observed to enlarge in spring months</w:t>
      </w:r>
      <w:r w:rsidRPr="00437585">
        <w:rPr>
          <w:rFonts w:ascii="Times New Roman" w:eastAsiaTheme="minorEastAsia" w:hAnsi="Times New Roman" w:cs="Times New Roman"/>
          <w:sz w:val="24"/>
          <w:szCs w:val="24"/>
        </w:rPr>
        <w:t xml:space="preserve">. </w:t>
      </w:r>
    </w:p>
    <w:p w:rsidR="004A69E4" w:rsidRPr="0077239A" w:rsidRDefault="004A69E4" w:rsidP="004A69E4">
      <w:pPr>
        <w:pStyle w:val="Balk2"/>
      </w:pPr>
      <w:bookmarkStart w:id="588" w:name="_Toc494988660"/>
      <w:bookmarkStart w:id="589" w:name="_Toc520822130"/>
      <w:bookmarkStart w:id="590" w:name="_Toc10123898"/>
      <w:bookmarkStart w:id="591" w:name="_Toc12526271"/>
      <w:bookmarkStart w:id="592" w:name="_Toc12535896"/>
      <w:bookmarkEnd w:id="583"/>
      <w:bookmarkEnd w:id="584"/>
      <w:bookmarkEnd w:id="585"/>
      <w:bookmarkEnd w:id="586"/>
      <w:bookmarkEnd w:id="587"/>
      <w:r w:rsidRPr="00CD40B6">
        <w:t xml:space="preserve">Figure 2.5.5: Average of </w:t>
      </w:r>
      <w:r w:rsidR="00944835">
        <w:t>RESSUM</w:t>
      </w:r>
      <w:r w:rsidR="006078D4" w:rsidRPr="00CD40B6">
        <w:t xml:space="preserve"> </w:t>
      </w:r>
      <w:r w:rsidRPr="00CD40B6">
        <w:t>and MCP in 2018 (Kr./kWh)</w:t>
      </w:r>
      <w:r w:rsidRPr="00CD40B6">
        <w:rPr>
          <w:vertAlign w:val="superscript"/>
        </w:rPr>
        <w:footnoteReference w:id="1"/>
      </w:r>
      <w:bookmarkEnd w:id="588"/>
      <w:bookmarkEnd w:id="589"/>
      <w:bookmarkEnd w:id="590"/>
      <w:bookmarkEnd w:id="591"/>
      <w:bookmarkEnd w:id="592"/>
    </w:p>
    <w:p w:rsidR="004A69E4" w:rsidRDefault="004A69E4" w:rsidP="004A69E4">
      <w:pPr>
        <w:spacing w:line="276" w:lineRule="auto"/>
        <w:jc w:val="both"/>
        <w:rPr>
          <w:rFonts w:ascii="Times New Roman" w:hAnsi="Times New Roman"/>
          <w:b/>
          <w:sz w:val="24"/>
          <w:szCs w:val="32"/>
          <w:lang w:bidi="ar-SA"/>
        </w:rPr>
      </w:pPr>
      <w:r>
        <w:rPr>
          <w:rFonts w:ascii="Times New Roman" w:hAnsi="Times New Roman"/>
          <w:b/>
          <w:noProof/>
          <w:sz w:val="24"/>
          <w:szCs w:val="32"/>
          <w:lang w:bidi="ar-SA"/>
        </w:rPr>
        <w:drawing>
          <wp:inline distT="0" distB="0" distL="0" distR="0" wp14:anchorId="5D618C1D" wp14:editId="024915A5">
            <wp:extent cx="5752236" cy="2628900"/>
            <wp:effectExtent l="0" t="0" r="127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55005" cy="2630165"/>
                    </a:xfrm>
                    <a:prstGeom prst="rect">
                      <a:avLst/>
                    </a:prstGeom>
                    <a:noFill/>
                  </pic:spPr>
                </pic:pic>
              </a:graphicData>
            </a:graphic>
          </wp:inline>
        </w:drawing>
      </w:r>
    </w:p>
    <w:p w:rsidR="004A69E4" w:rsidRPr="00437585" w:rsidRDefault="004A69E4" w:rsidP="004A69E4">
      <w:pPr>
        <w:spacing w:line="360" w:lineRule="auto"/>
        <w:jc w:val="both"/>
        <w:rPr>
          <w:rFonts w:ascii="Times New Roman" w:eastAsiaTheme="minorEastAsia" w:hAnsi="Times New Roman" w:cs="Times New Roman"/>
          <w:sz w:val="24"/>
          <w:szCs w:val="24"/>
        </w:rPr>
      </w:pPr>
      <w:r w:rsidRPr="00437585">
        <w:rPr>
          <w:rFonts w:ascii="Times New Roman" w:hAnsi="Times New Roman" w:cs="Times New Roman"/>
          <w:sz w:val="24"/>
          <w:szCs w:val="24"/>
        </w:rPr>
        <w:t xml:space="preserve">In Figure 2.5.6, </w:t>
      </w:r>
      <w:r w:rsidRPr="00437585">
        <w:rPr>
          <w:rFonts w:ascii="Times New Roman" w:eastAsiaTheme="minorEastAsia" w:hAnsi="Times New Roman" w:cs="Times New Roman"/>
          <w:sz w:val="24"/>
          <w:szCs w:val="24"/>
        </w:rPr>
        <w:t xml:space="preserve">monthly development of payments made within the scope of </w:t>
      </w:r>
      <w:r w:rsidR="00944835">
        <w:rPr>
          <w:rFonts w:ascii="Times New Roman" w:eastAsiaTheme="minorEastAsia" w:hAnsi="Times New Roman" w:cs="Times New Roman"/>
          <w:sz w:val="24"/>
          <w:szCs w:val="24"/>
        </w:rPr>
        <w:t>RESSUM</w:t>
      </w:r>
      <w:r w:rsidRPr="00437585">
        <w:rPr>
          <w:rFonts w:ascii="Times New Roman" w:eastAsiaTheme="minorEastAsia" w:hAnsi="Times New Roman" w:cs="Times New Roman"/>
          <w:sz w:val="24"/>
          <w:szCs w:val="24"/>
        </w:rPr>
        <w:t xml:space="preserve">. </w:t>
      </w:r>
    </w:p>
    <w:p w:rsidR="004A69E4" w:rsidRDefault="004A69E4" w:rsidP="004A69E4">
      <w:pPr>
        <w:pStyle w:val="Balk2"/>
      </w:pPr>
      <w:bookmarkStart w:id="593" w:name="_Toc494988661"/>
      <w:bookmarkStart w:id="594" w:name="_Toc520822131"/>
      <w:bookmarkStart w:id="595" w:name="_Toc10123899"/>
      <w:bookmarkStart w:id="596" w:name="_Toc12526272"/>
      <w:bookmarkStart w:id="597" w:name="_Toc12535897"/>
      <w:r w:rsidRPr="001C77FE">
        <w:t>Figure 2.5.6</w:t>
      </w:r>
      <w:r>
        <w:t>: Monthly Payments Made within the S</w:t>
      </w:r>
      <w:r w:rsidRPr="00D7595D">
        <w:t xml:space="preserve">cope of the </w:t>
      </w:r>
      <w:r w:rsidR="00944835">
        <w:t>RESSUM</w:t>
      </w:r>
      <w:r w:rsidR="006078D4" w:rsidRPr="006078D4">
        <w:t xml:space="preserve"> </w:t>
      </w:r>
      <w:r>
        <w:t>in 2018</w:t>
      </w:r>
      <w:r w:rsidRPr="00D7595D">
        <w:t xml:space="preserve"> (TL)</w:t>
      </w:r>
      <w:bookmarkEnd w:id="593"/>
      <w:bookmarkEnd w:id="594"/>
      <w:bookmarkEnd w:id="595"/>
      <w:bookmarkEnd w:id="596"/>
      <w:bookmarkEnd w:id="597"/>
    </w:p>
    <w:p w:rsidR="004A69E4" w:rsidRPr="00437585" w:rsidRDefault="004A69E4" w:rsidP="004A69E4">
      <w:pPr>
        <w:jc w:val="both"/>
      </w:pPr>
    </w:p>
    <w:p w:rsidR="004A69E4" w:rsidRDefault="004A69E4" w:rsidP="004A69E4">
      <w:pPr>
        <w:spacing w:line="276" w:lineRule="auto"/>
        <w:jc w:val="center"/>
        <w:rPr>
          <w:rFonts w:ascii="Times New Roman" w:hAnsi="Times New Roman"/>
          <w:b/>
          <w:sz w:val="24"/>
          <w:szCs w:val="32"/>
          <w:lang w:bidi="ar-SA"/>
        </w:rPr>
      </w:pPr>
      <w:r>
        <w:rPr>
          <w:rFonts w:ascii="Times New Roman" w:hAnsi="Times New Roman"/>
          <w:b/>
          <w:noProof/>
          <w:sz w:val="24"/>
          <w:szCs w:val="32"/>
          <w:lang w:bidi="ar-SA"/>
        </w:rPr>
        <w:lastRenderedPageBreak/>
        <w:drawing>
          <wp:inline distT="0" distB="0" distL="0" distR="0" wp14:anchorId="48D01E01" wp14:editId="731BD5A5">
            <wp:extent cx="5414010" cy="2603500"/>
            <wp:effectExtent l="0" t="0" r="0" b="635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14010" cy="2603500"/>
                    </a:xfrm>
                    <a:prstGeom prst="rect">
                      <a:avLst/>
                    </a:prstGeom>
                    <a:noFill/>
                  </pic:spPr>
                </pic:pic>
              </a:graphicData>
            </a:graphic>
          </wp:inline>
        </w:drawing>
      </w:r>
    </w:p>
    <w:p w:rsidR="004A69E4" w:rsidRPr="00E45D2C" w:rsidRDefault="004A69E4" w:rsidP="004A69E4">
      <w:pPr>
        <w:spacing w:line="360" w:lineRule="auto"/>
        <w:jc w:val="both"/>
        <w:rPr>
          <w:rFonts w:ascii="Times New Roman" w:eastAsiaTheme="minorEastAsia" w:hAnsi="Times New Roman" w:cs="Times New Roman"/>
          <w:sz w:val="24"/>
          <w:szCs w:val="24"/>
        </w:rPr>
      </w:pPr>
      <w:r w:rsidRPr="00E45D2C">
        <w:rPr>
          <w:rFonts w:ascii="Times New Roman" w:eastAsiaTheme="minorEastAsia" w:hAnsi="Times New Roman" w:cs="Times New Roman"/>
          <w:sz w:val="24"/>
          <w:szCs w:val="24"/>
        </w:rPr>
        <w:t xml:space="preserve">Figure given below shows the improvement of monthly additional cost of </w:t>
      </w:r>
      <w:r w:rsidR="00944835">
        <w:rPr>
          <w:rFonts w:ascii="Times New Roman" w:eastAsiaTheme="minorEastAsia" w:hAnsi="Times New Roman" w:cs="Times New Roman"/>
          <w:sz w:val="24"/>
          <w:szCs w:val="24"/>
        </w:rPr>
        <w:t>RESSUM</w:t>
      </w:r>
      <w:r w:rsidR="006078D4" w:rsidRPr="006078D4">
        <w:rPr>
          <w:rFonts w:ascii="Times New Roman" w:eastAsiaTheme="minorEastAsia" w:hAnsi="Times New Roman" w:cs="Times New Roman"/>
          <w:sz w:val="24"/>
          <w:szCs w:val="24"/>
        </w:rPr>
        <w:t xml:space="preserve"> </w:t>
      </w:r>
      <w:r w:rsidRPr="00E45D2C">
        <w:rPr>
          <w:rFonts w:ascii="Times New Roman" w:eastAsiaTheme="minorEastAsia" w:hAnsi="Times New Roman" w:cs="Times New Roman"/>
          <w:sz w:val="24"/>
          <w:szCs w:val="24"/>
        </w:rPr>
        <w:t xml:space="preserve">per invoiced unit energy amount. In 2018, </w:t>
      </w:r>
      <w:r w:rsidR="00944835">
        <w:rPr>
          <w:rFonts w:ascii="Times New Roman" w:eastAsiaTheme="minorEastAsia" w:hAnsi="Times New Roman" w:cs="Times New Roman"/>
          <w:sz w:val="24"/>
          <w:szCs w:val="24"/>
        </w:rPr>
        <w:t>RESSUM</w:t>
      </w:r>
      <w:r w:rsidRPr="00E45D2C">
        <w:rPr>
          <w:rFonts w:ascii="Times New Roman" w:eastAsiaTheme="minorEastAsia" w:hAnsi="Times New Roman" w:cs="Times New Roman"/>
          <w:sz w:val="24"/>
          <w:szCs w:val="24"/>
        </w:rPr>
        <w:t xml:space="preserve"> additional cost increased by 33,18% </w:t>
      </w:r>
      <w:r>
        <w:rPr>
          <w:rFonts w:ascii="Times New Roman" w:eastAsiaTheme="minorEastAsia" w:hAnsi="Times New Roman" w:cs="Times New Roman"/>
          <w:sz w:val="24"/>
          <w:szCs w:val="24"/>
        </w:rPr>
        <w:t xml:space="preserve">compared to previous year </w:t>
      </w:r>
      <w:r w:rsidRPr="00E45D2C">
        <w:rPr>
          <w:rFonts w:ascii="Times New Roman" w:eastAsiaTheme="minorEastAsia" w:hAnsi="Times New Roman" w:cs="Times New Roman"/>
          <w:sz w:val="24"/>
          <w:szCs w:val="24"/>
        </w:rPr>
        <w:t>and reached to 31,75 TL/MWh</w:t>
      </w:r>
      <w:r>
        <w:rPr>
          <w:rFonts w:ascii="Times New Roman" w:eastAsiaTheme="minorEastAsia" w:hAnsi="Times New Roman" w:cs="Times New Roman"/>
          <w:sz w:val="24"/>
          <w:szCs w:val="24"/>
        </w:rPr>
        <w:t>.</w:t>
      </w:r>
    </w:p>
    <w:p w:rsidR="004A69E4" w:rsidRDefault="004A69E4" w:rsidP="004A69E4">
      <w:pPr>
        <w:pStyle w:val="Balk2"/>
      </w:pPr>
      <w:bookmarkStart w:id="598" w:name="_Toc512431005"/>
      <w:bookmarkStart w:id="599" w:name="_Toc520822132"/>
      <w:bookmarkStart w:id="600" w:name="_Toc10123900"/>
      <w:bookmarkStart w:id="601" w:name="_Toc12526273"/>
      <w:bookmarkStart w:id="602" w:name="_Toc12535898"/>
      <w:r w:rsidRPr="003E70AB">
        <w:t xml:space="preserve">Figure 2.5.7 Monthly Improvement of Average </w:t>
      </w:r>
      <w:r w:rsidR="00944835">
        <w:t>RESSUM</w:t>
      </w:r>
      <w:r w:rsidR="006078D4" w:rsidRPr="003E70AB">
        <w:t xml:space="preserve"> </w:t>
      </w:r>
      <w:r w:rsidRPr="003E70AB">
        <w:t>Additional Cost in 2018 (TL/MWh)</w:t>
      </w:r>
      <w:bookmarkEnd w:id="598"/>
      <w:bookmarkEnd w:id="599"/>
      <w:bookmarkEnd w:id="600"/>
      <w:bookmarkEnd w:id="601"/>
      <w:bookmarkEnd w:id="602"/>
    </w:p>
    <w:p w:rsidR="004A69E4" w:rsidRDefault="004A69E4" w:rsidP="004A69E4">
      <w:pPr>
        <w:jc w:val="center"/>
      </w:pPr>
      <w:r>
        <w:rPr>
          <w:noProof/>
          <w:lang w:bidi="ar-SA"/>
        </w:rPr>
        <w:drawing>
          <wp:inline distT="0" distB="0" distL="0" distR="0" wp14:anchorId="0DDFFE26" wp14:editId="6525BE29">
            <wp:extent cx="5761355" cy="3133725"/>
            <wp:effectExtent l="0" t="0" r="0" b="9525"/>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61355" cy="3133725"/>
                    </a:xfrm>
                    <a:prstGeom prst="rect">
                      <a:avLst/>
                    </a:prstGeom>
                    <a:noFill/>
                  </pic:spPr>
                </pic:pic>
              </a:graphicData>
            </a:graphic>
          </wp:inline>
        </w:drawing>
      </w:r>
    </w:p>
    <w:p w:rsidR="004A69E4" w:rsidRDefault="004A69E4" w:rsidP="004A69E4"/>
    <w:p w:rsidR="004A69E4" w:rsidRPr="00DE583A" w:rsidRDefault="004A69E4" w:rsidP="004A69E4">
      <w:pPr>
        <w:pStyle w:val="BALIKLAR"/>
        <w:jc w:val="both"/>
      </w:pPr>
      <w:bookmarkStart w:id="603" w:name="_Toc404863970"/>
      <w:bookmarkStart w:id="604" w:name="_Toc404864374"/>
      <w:bookmarkStart w:id="605" w:name="_Toc404864529"/>
      <w:bookmarkStart w:id="606" w:name="_Toc404864639"/>
      <w:bookmarkStart w:id="607" w:name="_Toc404865488"/>
      <w:bookmarkStart w:id="608" w:name="_Toc405476959"/>
      <w:bookmarkStart w:id="609" w:name="_Toc405817134"/>
      <w:bookmarkStart w:id="610" w:name="_Toc423946989"/>
      <w:bookmarkStart w:id="611" w:name="_Toc428360329"/>
      <w:bookmarkStart w:id="612" w:name="_Toc428422432"/>
      <w:bookmarkStart w:id="613" w:name="_Toc428456312"/>
      <w:bookmarkStart w:id="614" w:name="_Toc428709041"/>
      <w:bookmarkStart w:id="615" w:name="_Toc428709082"/>
      <w:bookmarkStart w:id="616" w:name="_Toc428709713"/>
      <w:bookmarkStart w:id="617" w:name="_Toc428716825"/>
      <w:bookmarkStart w:id="618" w:name="_Toc428716859"/>
      <w:bookmarkStart w:id="619" w:name="_Toc428786941"/>
      <w:bookmarkStart w:id="620" w:name="_Toc429402386"/>
      <w:bookmarkStart w:id="621" w:name="_Toc429469229"/>
      <w:bookmarkStart w:id="622" w:name="_Toc429475748"/>
      <w:bookmarkStart w:id="623" w:name="_Toc432164551"/>
      <w:bookmarkStart w:id="624" w:name="_Toc450223273"/>
      <w:bookmarkStart w:id="625" w:name="_Toc450300234"/>
      <w:bookmarkStart w:id="626" w:name="_Toc450300273"/>
      <w:bookmarkStart w:id="627" w:name="_Toc450309730"/>
      <w:bookmarkStart w:id="628" w:name="_Toc450309805"/>
      <w:bookmarkStart w:id="629" w:name="_Toc450309918"/>
      <w:bookmarkStart w:id="630" w:name="_Toc450314136"/>
      <w:bookmarkStart w:id="631" w:name="_Toc450319863"/>
      <w:bookmarkStart w:id="632" w:name="_Toc450555907"/>
      <w:bookmarkStart w:id="633" w:name="_Toc452044466"/>
      <w:bookmarkStart w:id="634" w:name="_Toc452044880"/>
      <w:bookmarkStart w:id="635" w:name="_Toc452106910"/>
      <w:bookmarkStart w:id="636" w:name="_Toc452111710"/>
      <w:bookmarkStart w:id="637" w:name="_Toc480375593"/>
      <w:bookmarkStart w:id="638" w:name="_Toc480451673"/>
      <w:bookmarkStart w:id="639" w:name="_Toc480534993"/>
      <w:bookmarkStart w:id="640" w:name="_Toc480899356"/>
      <w:bookmarkStart w:id="641" w:name="_Toc480991768"/>
      <w:bookmarkStart w:id="642" w:name="_Toc481497639"/>
      <w:bookmarkStart w:id="643" w:name="_Toc482801125"/>
      <w:bookmarkStart w:id="644" w:name="_Toc483791442"/>
      <w:bookmarkStart w:id="645" w:name="_Toc483791695"/>
      <w:bookmarkStart w:id="646" w:name="_Toc483831855"/>
      <w:bookmarkStart w:id="647" w:name="_Toc511123178"/>
      <w:bookmarkStart w:id="648" w:name="_Toc511123217"/>
      <w:bookmarkStart w:id="649" w:name="_Toc511221800"/>
      <w:bookmarkStart w:id="650" w:name="_Toc512429797"/>
      <w:bookmarkStart w:id="651" w:name="_Toc512431635"/>
      <w:bookmarkStart w:id="652" w:name="_Toc512431674"/>
      <w:bookmarkStart w:id="653" w:name="_Toc10123902"/>
      <w:bookmarkStart w:id="654" w:name="_Toc12528948"/>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r w:rsidRPr="00792BA9">
        <w:t>3. COMPETITION</w:t>
      </w:r>
      <w:bookmarkEnd w:id="654"/>
      <w:r>
        <w:t xml:space="preserve"> </w:t>
      </w:r>
    </w:p>
    <w:p w:rsidR="004A69E4" w:rsidRPr="003E70AB" w:rsidRDefault="004A69E4" w:rsidP="003E70AB">
      <w:pPr>
        <w:spacing w:line="360" w:lineRule="auto"/>
        <w:jc w:val="both"/>
        <w:rPr>
          <w:rFonts w:ascii="Times New Roman" w:hAnsi="Times New Roman" w:cs="Times New Roman"/>
          <w:sz w:val="24"/>
          <w:szCs w:val="24"/>
        </w:rPr>
      </w:pPr>
      <w:bookmarkStart w:id="655" w:name="_Toc12526275"/>
      <w:r w:rsidRPr="003E70AB">
        <w:rPr>
          <w:rFonts w:ascii="Times New Roman" w:hAnsi="Times New Roman" w:cs="Times New Roman"/>
          <w:sz w:val="24"/>
          <w:szCs w:val="24"/>
        </w:rPr>
        <w:t xml:space="preserve">The main aim of the Electricity Market Law is to improve competition by creating an open market structure. Among the functions of the Authority, to prevent competition disruptions in the parts of the market open to competition by detecting the market power. EMRA also increases the number of consumers who can choose their supplier at the demand side by decreasing the eligible consumer limit for the following year at the end of each year. In this </w:t>
      </w:r>
      <w:r w:rsidRPr="003E70AB">
        <w:rPr>
          <w:rFonts w:ascii="Times New Roman" w:hAnsi="Times New Roman" w:cs="Times New Roman"/>
          <w:sz w:val="24"/>
          <w:szCs w:val="24"/>
        </w:rPr>
        <w:lastRenderedPageBreak/>
        <w:t>framework, development of supply and demand that open to negotiations on the wholesale market, are critical to the establishment of competition.</w:t>
      </w:r>
      <w:bookmarkEnd w:id="653"/>
      <w:bookmarkEnd w:id="655"/>
    </w:p>
    <w:p w:rsidR="004A69E4" w:rsidRPr="00651B7C" w:rsidRDefault="004A69E4" w:rsidP="004A69E4">
      <w:pPr>
        <w:pStyle w:val="BALIKLAR"/>
        <w:jc w:val="both"/>
      </w:pPr>
      <w:bookmarkStart w:id="656" w:name="_Toc12528949"/>
      <w:r>
        <w:t>3.1 Supply Side</w:t>
      </w:r>
      <w:bookmarkEnd w:id="656"/>
    </w:p>
    <w:p w:rsidR="006078D4" w:rsidRDefault="006078D4" w:rsidP="004A69E4">
      <w:pPr>
        <w:spacing w:line="360" w:lineRule="auto"/>
        <w:jc w:val="both"/>
        <w:rPr>
          <w:rFonts w:ascii="Times New Roman" w:hAnsi="Times New Roman" w:cs="Times New Roman"/>
          <w:sz w:val="24"/>
          <w:szCs w:val="24"/>
        </w:rPr>
      </w:pPr>
    </w:p>
    <w:p w:rsidR="004A69E4" w:rsidRPr="001730F7" w:rsidRDefault="004A69E4" w:rsidP="004A69E4">
      <w:pPr>
        <w:spacing w:line="360" w:lineRule="auto"/>
        <w:jc w:val="both"/>
        <w:rPr>
          <w:rFonts w:ascii="Times New Roman" w:hAnsi="Times New Roman" w:cs="Times New Roman"/>
          <w:sz w:val="24"/>
          <w:szCs w:val="24"/>
        </w:rPr>
      </w:pPr>
      <w:r w:rsidRPr="001730F7">
        <w:rPr>
          <w:rFonts w:ascii="Times New Roman" w:hAnsi="Times New Roman" w:cs="Times New Roman"/>
          <w:sz w:val="24"/>
          <w:szCs w:val="24"/>
        </w:rPr>
        <w:t xml:space="preserve">It is considered that open electricity markets provide the most effective investment and generation incentives theoretically and in practice. Nevertheless, it may be necessary to make regulations to ensure competition and supply security because of low level of flexibility of demand and incapability of network about energy storage. For this reason, these issues are also regulated by various countries and the European Union with various market share limits and mechanisms.  </w:t>
      </w:r>
    </w:p>
    <w:p w:rsidR="004A69E4" w:rsidRPr="001730F7" w:rsidRDefault="004A69E4" w:rsidP="004A69E4">
      <w:pPr>
        <w:spacing w:line="360" w:lineRule="auto"/>
        <w:jc w:val="both"/>
        <w:rPr>
          <w:rFonts w:ascii="Times New Roman" w:hAnsi="Times New Roman" w:cs="Times New Roman"/>
          <w:sz w:val="24"/>
          <w:szCs w:val="24"/>
        </w:rPr>
      </w:pPr>
      <w:r w:rsidRPr="001730F7">
        <w:rPr>
          <w:rFonts w:ascii="Times New Roman" w:hAnsi="Times New Roman" w:cs="Times New Roman"/>
          <w:sz w:val="24"/>
          <w:szCs w:val="24"/>
        </w:rPr>
        <w:t>The indices used to follow the competition generally measure the supply side concentration in the market and the producers' ability to intervene. The HHI is used for measuring the market concentration with the addition of squares of market shares. The index can be calculated separately on generation and installed capacity.</w:t>
      </w:r>
      <w:r w:rsidRPr="001730F7">
        <w:rPr>
          <w:rStyle w:val="DipnotBavurusu"/>
          <w:rFonts w:ascii="Times New Roman" w:hAnsi="Times New Roman" w:cs="Times New Roman"/>
          <w:sz w:val="24"/>
          <w:szCs w:val="24"/>
        </w:rPr>
        <w:footnoteReference w:id="2"/>
      </w:r>
    </w:p>
    <w:p w:rsidR="004A69E4" w:rsidRPr="000C6D21" w:rsidRDefault="004A69E4" w:rsidP="004A69E4">
      <w:pPr>
        <w:pStyle w:val="Balk1"/>
      </w:pPr>
      <w:bookmarkStart w:id="657" w:name="_Toc494982839"/>
      <w:bookmarkStart w:id="658" w:name="_Toc514674259"/>
      <w:bookmarkStart w:id="659" w:name="_Toc520822055"/>
      <w:bookmarkStart w:id="660" w:name="_Toc10123904"/>
      <w:bookmarkStart w:id="661" w:name="_Toc10191436"/>
      <w:bookmarkStart w:id="662" w:name="_Toc12526277"/>
      <w:r w:rsidRPr="005C7209">
        <w:t>Table</w:t>
      </w:r>
      <w:r>
        <w:t xml:space="preserve"> 3.1</w:t>
      </w:r>
      <w:r w:rsidRPr="000C6D21">
        <w:t xml:space="preserve">: </w:t>
      </w:r>
      <w:r w:rsidRPr="00285DB4">
        <w:t xml:space="preserve">HHI </w:t>
      </w:r>
      <w:r>
        <w:t xml:space="preserve">Values </w:t>
      </w:r>
      <w:r w:rsidRPr="00285DB4">
        <w:t>by Generation and Capacity</w:t>
      </w:r>
      <w:bookmarkEnd w:id="657"/>
      <w:bookmarkEnd w:id="658"/>
      <w:bookmarkEnd w:id="659"/>
      <w:bookmarkEnd w:id="660"/>
      <w:bookmarkEnd w:id="661"/>
      <w:bookmarkEnd w:id="662"/>
    </w:p>
    <w:tbl>
      <w:tblPr>
        <w:tblW w:w="5000" w:type="pct"/>
        <w:tblLayout w:type="fixed"/>
        <w:tblCellMar>
          <w:left w:w="70" w:type="dxa"/>
          <w:right w:w="70" w:type="dxa"/>
        </w:tblCellMar>
        <w:tblLook w:val="04A0" w:firstRow="1" w:lastRow="0" w:firstColumn="1" w:lastColumn="0" w:noHBand="0" w:noVBand="1"/>
      </w:tblPr>
      <w:tblGrid>
        <w:gridCol w:w="2200"/>
        <w:gridCol w:w="706"/>
        <w:gridCol w:w="708"/>
        <w:gridCol w:w="709"/>
        <w:gridCol w:w="709"/>
        <w:gridCol w:w="709"/>
        <w:gridCol w:w="709"/>
        <w:gridCol w:w="709"/>
        <w:gridCol w:w="709"/>
        <w:gridCol w:w="707"/>
        <w:gridCol w:w="635"/>
      </w:tblGrid>
      <w:tr w:rsidR="004A69E4" w:rsidRPr="001834BC" w:rsidTr="004A69E4">
        <w:trPr>
          <w:trHeight w:val="330"/>
        </w:trPr>
        <w:tc>
          <w:tcPr>
            <w:tcW w:w="1194" w:type="pct"/>
            <w:tcBorders>
              <w:top w:val="nil"/>
              <w:left w:val="nil"/>
              <w:bottom w:val="nil"/>
              <w:right w:val="nil"/>
            </w:tcBorders>
            <w:shd w:val="clear" w:color="auto" w:fill="auto"/>
            <w:noWrap/>
            <w:vAlign w:val="bottom"/>
            <w:hideMark/>
          </w:tcPr>
          <w:p w:rsidR="004A69E4" w:rsidRPr="001834BC" w:rsidRDefault="004A69E4" w:rsidP="004A69E4">
            <w:pPr>
              <w:spacing w:after="0" w:line="240" w:lineRule="auto"/>
              <w:jc w:val="both"/>
              <w:rPr>
                <w:rFonts w:ascii="Arial" w:eastAsia="Times New Roman" w:hAnsi="Arial" w:cs="Arial"/>
                <w:color w:val="000000"/>
                <w:lang w:eastAsia="tr-TR" w:bidi="ar-SA"/>
              </w:rPr>
            </w:pPr>
          </w:p>
        </w:tc>
        <w:tc>
          <w:tcPr>
            <w:tcW w:w="3806" w:type="pct"/>
            <w:gridSpan w:val="10"/>
            <w:tcBorders>
              <w:top w:val="nil"/>
              <w:left w:val="single" w:sz="8" w:space="0" w:color="auto"/>
              <w:bottom w:val="nil"/>
              <w:right w:val="single" w:sz="8" w:space="0" w:color="000000"/>
            </w:tcBorders>
            <w:shd w:val="clear" w:color="000000" w:fill="FF0000"/>
            <w:noWrap/>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 xml:space="preserve">HHI </w:t>
            </w:r>
            <w:r>
              <w:rPr>
                <w:rFonts w:ascii="Times New Roman" w:eastAsia="Times New Roman" w:hAnsi="Times New Roman" w:cs="Times New Roman"/>
                <w:b/>
                <w:bCs/>
                <w:color w:val="FFFFFF"/>
                <w:sz w:val="24"/>
                <w:szCs w:val="24"/>
                <w:lang w:eastAsia="tr-TR" w:bidi="ar-SA"/>
              </w:rPr>
              <w:t>Values</w:t>
            </w:r>
          </w:p>
        </w:tc>
      </w:tr>
      <w:tr w:rsidR="004A69E4" w:rsidRPr="001834BC" w:rsidTr="004A69E4">
        <w:trPr>
          <w:trHeight w:val="330"/>
        </w:trPr>
        <w:tc>
          <w:tcPr>
            <w:tcW w:w="1194" w:type="pct"/>
            <w:tcBorders>
              <w:top w:val="nil"/>
              <w:left w:val="nil"/>
              <w:bottom w:val="nil"/>
              <w:right w:val="nil"/>
            </w:tcBorders>
            <w:shd w:val="clear" w:color="auto" w:fill="auto"/>
            <w:noWrap/>
            <w:vAlign w:val="bottom"/>
            <w:hideMark/>
          </w:tcPr>
          <w:p w:rsidR="004A69E4" w:rsidRPr="001834BC" w:rsidRDefault="004A69E4" w:rsidP="004A69E4">
            <w:pPr>
              <w:spacing w:after="0" w:line="240" w:lineRule="auto"/>
              <w:jc w:val="both"/>
              <w:rPr>
                <w:rFonts w:ascii="Arial" w:eastAsia="Times New Roman" w:hAnsi="Arial" w:cs="Arial"/>
                <w:color w:val="000000"/>
                <w:lang w:eastAsia="tr-TR" w:bidi="ar-SA"/>
              </w:rPr>
            </w:pPr>
          </w:p>
        </w:tc>
        <w:tc>
          <w:tcPr>
            <w:tcW w:w="1922" w:type="pct"/>
            <w:gridSpan w:val="5"/>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Generation</w:t>
            </w:r>
          </w:p>
        </w:tc>
        <w:tc>
          <w:tcPr>
            <w:tcW w:w="1884" w:type="pct"/>
            <w:gridSpan w:val="5"/>
            <w:tcBorders>
              <w:top w:val="single" w:sz="8" w:space="0" w:color="auto"/>
              <w:left w:val="nil"/>
              <w:bottom w:val="single" w:sz="8" w:space="0" w:color="auto"/>
              <w:right w:val="single" w:sz="8" w:space="0" w:color="000000"/>
            </w:tcBorders>
            <w:shd w:val="clear" w:color="000000" w:fill="FF0000"/>
            <w:noWrap/>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Installed Cpacity</w:t>
            </w:r>
          </w:p>
        </w:tc>
      </w:tr>
      <w:tr w:rsidR="004A69E4" w:rsidRPr="001834BC" w:rsidTr="004A69E4">
        <w:trPr>
          <w:trHeight w:val="330"/>
        </w:trPr>
        <w:tc>
          <w:tcPr>
            <w:tcW w:w="1194"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4A69E4" w:rsidRPr="001834BC" w:rsidRDefault="004A69E4" w:rsidP="004A69E4">
            <w:pPr>
              <w:spacing w:after="0" w:line="240" w:lineRule="auto"/>
              <w:jc w:val="both"/>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eastAsia="tr-TR" w:bidi="ar-SA"/>
              </w:rPr>
              <w:t>Years</w:t>
            </w:r>
          </w:p>
        </w:tc>
        <w:tc>
          <w:tcPr>
            <w:tcW w:w="383" w:type="pct"/>
            <w:tcBorders>
              <w:top w:val="nil"/>
              <w:left w:val="nil"/>
              <w:bottom w:val="single" w:sz="8" w:space="0" w:color="auto"/>
              <w:right w:val="single" w:sz="8" w:space="0" w:color="auto"/>
            </w:tcBorders>
            <w:shd w:val="clear" w:color="000000" w:fill="FF0000"/>
            <w:noWrap/>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2014</w:t>
            </w:r>
          </w:p>
        </w:tc>
        <w:tc>
          <w:tcPr>
            <w:tcW w:w="384" w:type="pct"/>
            <w:tcBorders>
              <w:top w:val="nil"/>
              <w:left w:val="nil"/>
              <w:bottom w:val="single" w:sz="8" w:space="0" w:color="auto"/>
              <w:right w:val="single" w:sz="8" w:space="0" w:color="auto"/>
            </w:tcBorders>
            <w:shd w:val="clear" w:color="000000" w:fill="FF0000"/>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2015</w:t>
            </w:r>
          </w:p>
        </w:tc>
        <w:tc>
          <w:tcPr>
            <w:tcW w:w="385" w:type="pct"/>
            <w:tcBorders>
              <w:top w:val="nil"/>
              <w:left w:val="nil"/>
              <w:bottom w:val="single" w:sz="8" w:space="0" w:color="auto"/>
              <w:right w:val="single" w:sz="8" w:space="0" w:color="auto"/>
            </w:tcBorders>
            <w:shd w:val="clear" w:color="000000" w:fill="FF0000"/>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2016</w:t>
            </w:r>
          </w:p>
        </w:tc>
        <w:tc>
          <w:tcPr>
            <w:tcW w:w="385" w:type="pct"/>
            <w:tcBorders>
              <w:top w:val="nil"/>
              <w:left w:val="nil"/>
              <w:bottom w:val="single" w:sz="8" w:space="0" w:color="auto"/>
              <w:right w:val="single" w:sz="8" w:space="0" w:color="auto"/>
            </w:tcBorders>
            <w:shd w:val="clear" w:color="000000" w:fill="FF0000"/>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2017</w:t>
            </w:r>
          </w:p>
        </w:tc>
        <w:tc>
          <w:tcPr>
            <w:tcW w:w="385" w:type="pct"/>
            <w:tcBorders>
              <w:top w:val="nil"/>
              <w:left w:val="nil"/>
              <w:bottom w:val="single" w:sz="8" w:space="0" w:color="auto"/>
              <w:right w:val="single" w:sz="8" w:space="0" w:color="auto"/>
            </w:tcBorders>
            <w:shd w:val="clear" w:color="000000" w:fill="FF0000"/>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2018</w:t>
            </w:r>
          </w:p>
        </w:tc>
        <w:tc>
          <w:tcPr>
            <w:tcW w:w="385" w:type="pct"/>
            <w:tcBorders>
              <w:top w:val="nil"/>
              <w:left w:val="nil"/>
              <w:bottom w:val="single" w:sz="8" w:space="0" w:color="auto"/>
              <w:right w:val="single" w:sz="8" w:space="0" w:color="auto"/>
            </w:tcBorders>
            <w:shd w:val="clear" w:color="000000" w:fill="FF0000"/>
            <w:noWrap/>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2014</w:t>
            </w:r>
          </w:p>
        </w:tc>
        <w:tc>
          <w:tcPr>
            <w:tcW w:w="385" w:type="pct"/>
            <w:tcBorders>
              <w:top w:val="nil"/>
              <w:left w:val="nil"/>
              <w:bottom w:val="single" w:sz="8" w:space="0" w:color="auto"/>
              <w:right w:val="single" w:sz="8" w:space="0" w:color="auto"/>
            </w:tcBorders>
            <w:shd w:val="clear" w:color="000000" w:fill="FF0000"/>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2015</w:t>
            </w:r>
          </w:p>
        </w:tc>
        <w:tc>
          <w:tcPr>
            <w:tcW w:w="385" w:type="pct"/>
            <w:tcBorders>
              <w:top w:val="nil"/>
              <w:left w:val="nil"/>
              <w:bottom w:val="single" w:sz="8" w:space="0" w:color="auto"/>
              <w:right w:val="single" w:sz="8" w:space="0" w:color="auto"/>
            </w:tcBorders>
            <w:shd w:val="clear" w:color="000000" w:fill="FF0000"/>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2016</w:t>
            </w:r>
          </w:p>
        </w:tc>
        <w:tc>
          <w:tcPr>
            <w:tcW w:w="384" w:type="pct"/>
            <w:tcBorders>
              <w:top w:val="nil"/>
              <w:left w:val="nil"/>
              <w:bottom w:val="single" w:sz="8" w:space="0" w:color="auto"/>
              <w:right w:val="single" w:sz="8" w:space="0" w:color="auto"/>
            </w:tcBorders>
            <w:shd w:val="clear" w:color="000000" w:fill="FF0000"/>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2017</w:t>
            </w:r>
          </w:p>
        </w:tc>
        <w:tc>
          <w:tcPr>
            <w:tcW w:w="345" w:type="pct"/>
            <w:tcBorders>
              <w:top w:val="nil"/>
              <w:left w:val="nil"/>
              <w:bottom w:val="single" w:sz="8" w:space="0" w:color="auto"/>
              <w:right w:val="single" w:sz="8" w:space="0" w:color="auto"/>
            </w:tcBorders>
            <w:shd w:val="clear" w:color="000000" w:fill="FF0000"/>
            <w:vAlign w:val="center"/>
            <w:hideMark/>
          </w:tcPr>
          <w:p w:rsidR="004A69E4" w:rsidRPr="001834BC" w:rsidRDefault="004A69E4" w:rsidP="004A69E4">
            <w:pPr>
              <w:spacing w:after="0" w:line="240" w:lineRule="auto"/>
              <w:jc w:val="both"/>
              <w:rPr>
                <w:rFonts w:ascii="Times New Roman" w:eastAsia="Times New Roman" w:hAnsi="Times New Roman" w:cs="Times New Roman"/>
                <w:b/>
                <w:bCs/>
                <w:color w:val="FFFFFF"/>
                <w:sz w:val="24"/>
                <w:szCs w:val="24"/>
                <w:lang w:eastAsia="tr-TR" w:bidi="ar-SA"/>
              </w:rPr>
            </w:pPr>
            <w:r w:rsidRPr="001834BC">
              <w:rPr>
                <w:rFonts w:ascii="Times New Roman" w:eastAsia="Times New Roman" w:hAnsi="Times New Roman" w:cs="Times New Roman"/>
                <w:b/>
                <w:bCs/>
                <w:color w:val="FFFFFF"/>
                <w:sz w:val="24"/>
                <w:szCs w:val="24"/>
                <w:lang w:eastAsia="tr-TR" w:bidi="ar-SA"/>
              </w:rPr>
              <w:t>2018</w:t>
            </w:r>
          </w:p>
        </w:tc>
      </w:tr>
      <w:tr w:rsidR="004A69E4" w:rsidRPr="001834BC" w:rsidTr="004A69E4">
        <w:trPr>
          <w:trHeight w:val="330"/>
        </w:trPr>
        <w:tc>
          <w:tcPr>
            <w:tcW w:w="1194" w:type="pct"/>
            <w:tcBorders>
              <w:top w:val="nil"/>
              <w:left w:val="single" w:sz="8" w:space="0" w:color="auto"/>
              <w:bottom w:val="single" w:sz="8" w:space="0" w:color="auto"/>
              <w:right w:val="single" w:sz="8" w:space="0" w:color="auto"/>
            </w:tcBorders>
            <w:shd w:val="clear" w:color="000000" w:fill="FF5050"/>
            <w:noWrap/>
            <w:vAlign w:val="center"/>
            <w:hideMark/>
          </w:tcPr>
          <w:p w:rsidR="004A69E4" w:rsidRPr="001834BC" w:rsidRDefault="004A69E4" w:rsidP="004A69E4">
            <w:pPr>
              <w:spacing w:after="0" w:line="240" w:lineRule="auto"/>
              <w:jc w:val="both"/>
              <w:rPr>
                <w:rFonts w:ascii="Times New Roman" w:eastAsia="Times New Roman" w:hAnsi="Times New Roman" w:cs="Times New Roman"/>
                <w:color w:val="FFFFFF"/>
                <w:sz w:val="24"/>
                <w:szCs w:val="24"/>
                <w:lang w:eastAsia="tr-TR" w:bidi="ar-SA"/>
              </w:rPr>
            </w:pPr>
            <w:r w:rsidRPr="001834BC">
              <w:rPr>
                <w:rFonts w:ascii="Times New Roman" w:eastAsia="Times New Roman" w:hAnsi="Times New Roman" w:cs="Times New Roman"/>
                <w:color w:val="FFFFFF"/>
                <w:sz w:val="24"/>
                <w:szCs w:val="24"/>
                <w:lang w:eastAsia="tr-TR" w:bidi="ar-SA"/>
              </w:rPr>
              <w:t xml:space="preserve">EÜAŞ </w:t>
            </w:r>
            <w:r>
              <w:rPr>
                <w:rFonts w:ascii="Times New Roman" w:eastAsia="Times New Roman" w:hAnsi="Times New Roman" w:cs="Times New Roman"/>
                <w:color w:val="FFFFFF"/>
                <w:sz w:val="24"/>
                <w:szCs w:val="24"/>
                <w:lang w:eastAsia="tr-TR" w:bidi="ar-SA"/>
              </w:rPr>
              <w:t>and</w:t>
            </w:r>
            <w:r w:rsidRPr="001834BC">
              <w:rPr>
                <w:rFonts w:ascii="Times New Roman" w:eastAsia="Times New Roman" w:hAnsi="Times New Roman" w:cs="Times New Roman"/>
                <w:color w:val="FFFFFF"/>
                <w:sz w:val="24"/>
                <w:szCs w:val="24"/>
                <w:lang w:eastAsia="tr-TR" w:bidi="ar-SA"/>
              </w:rPr>
              <w:t xml:space="preserve"> TETAŞ </w:t>
            </w:r>
            <w:r>
              <w:rPr>
                <w:rFonts w:ascii="Times New Roman" w:eastAsia="Times New Roman" w:hAnsi="Times New Roman" w:cs="Times New Roman"/>
                <w:color w:val="FFFFFF"/>
                <w:sz w:val="24"/>
                <w:szCs w:val="24"/>
                <w:lang w:eastAsia="tr-TR" w:bidi="ar-SA"/>
              </w:rPr>
              <w:t>Separetely</w:t>
            </w:r>
          </w:p>
        </w:tc>
        <w:tc>
          <w:tcPr>
            <w:tcW w:w="383" w:type="pct"/>
            <w:tcBorders>
              <w:top w:val="nil"/>
              <w:left w:val="nil"/>
              <w:bottom w:val="single" w:sz="8" w:space="0" w:color="auto"/>
              <w:right w:val="single" w:sz="8" w:space="0" w:color="auto"/>
            </w:tcBorders>
            <w:shd w:val="clear" w:color="auto" w:fill="auto"/>
            <w:noWrap/>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1416</w:t>
            </w:r>
          </w:p>
        </w:tc>
        <w:tc>
          <w:tcPr>
            <w:tcW w:w="384"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1123</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673</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696</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575</w:t>
            </w:r>
          </w:p>
        </w:tc>
        <w:tc>
          <w:tcPr>
            <w:tcW w:w="385" w:type="pct"/>
            <w:tcBorders>
              <w:top w:val="nil"/>
              <w:left w:val="nil"/>
              <w:bottom w:val="single" w:sz="8" w:space="0" w:color="auto"/>
              <w:right w:val="single" w:sz="8" w:space="0" w:color="auto"/>
            </w:tcBorders>
            <w:shd w:val="clear" w:color="auto" w:fill="auto"/>
            <w:noWrap/>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1132</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996</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873</w:t>
            </w:r>
          </w:p>
        </w:tc>
        <w:tc>
          <w:tcPr>
            <w:tcW w:w="384"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789</w:t>
            </w:r>
          </w:p>
        </w:tc>
        <w:tc>
          <w:tcPr>
            <w:tcW w:w="34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682</w:t>
            </w:r>
          </w:p>
        </w:tc>
      </w:tr>
      <w:tr w:rsidR="004A69E4" w:rsidRPr="001834BC" w:rsidTr="004A69E4">
        <w:trPr>
          <w:trHeight w:val="330"/>
        </w:trPr>
        <w:tc>
          <w:tcPr>
            <w:tcW w:w="1194" w:type="pct"/>
            <w:tcBorders>
              <w:top w:val="nil"/>
              <w:left w:val="single" w:sz="8" w:space="0" w:color="auto"/>
              <w:bottom w:val="single" w:sz="8" w:space="0" w:color="auto"/>
              <w:right w:val="single" w:sz="8" w:space="0" w:color="auto"/>
            </w:tcBorders>
            <w:shd w:val="clear" w:color="000000" w:fill="FF5050"/>
            <w:noWrap/>
            <w:vAlign w:val="center"/>
            <w:hideMark/>
          </w:tcPr>
          <w:p w:rsidR="004A69E4" w:rsidRPr="001834BC" w:rsidRDefault="004A69E4" w:rsidP="004A69E4">
            <w:pPr>
              <w:spacing w:after="0" w:line="240" w:lineRule="auto"/>
              <w:jc w:val="both"/>
              <w:rPr>
                <w:rFonts w:ascii="Times New Roman" w:eastAsia="Times New Roman" w:hAnsi="Times New Roman" w:cs="Times New Roman"/>
                <w:color w:val="FFFFFF"/>
                <w:sz w:val="24"/>
                <w:szCs w:val="24"/>
                <w:lang w:eastAsia="tr-TR" w:bidi="ar-SA"/>
              </w:rPr>
            </w:pPr>
            <w:r w:rsidRPr="001834BC">
              <w:rPr>
                <w:rFonts w:ascii="Times New Roman" w:eastAsia="Times New Roman" w:hAnsi="Times New Roman" w:cs="Times New Roman"/>
                <w:color w:val="FFFFFF"/>
                <w:sz w:val="24"/>
                <w:szCs w:val="24"/>
                <w:lang w:eastAsia="tr-TR" w:bidi="ar-SA"/>
              </w:rPr>
              <w:t xml:space="preserve">EÜAŞ </w:t>
            </w:r>
            <w:r>
              <w:rPr>
                <w:rFonts w:ascii="Times New Roman" w:eastAsia="Times New Roman" w:hAnsi="Times New Roman" w:cs="Times New Roman"/>
                <w:color w:val="FFFFFF"/>
                <w:sz w:val="24"/>
                <w:szCs w:val="24"/>
                <w:lang w:eastAsia="tr-TR" w:bidi="ar-SA"/>
              </w:rPr>
              <w:t>and</w:t>
            </w:r>
            <w:r w:rsidRPr="001834BC">
              <w:rPr>
                <w:rFonts w:ascii="Times New Roman" w:eastAsia="Times New Roman" w:hAnsi="Times New Roman" w:cs="Times New Roman"/>
                <w:color w:val="FFFFFF"/>
                <w:sz w:val="24"/>
                <w:szCs w:val="24"/>
                <w:lang w:eastAsia="tr-TR" w:bidi="ar-SA"/>
              </w:rPr>
              <w:t xml:space="preserve"> TETAŞ </w:t>
            </w:r>
            <w:r>
              <w:rPr>
                <w:rFonts w:ascii="Times New Roman" w:eastAsia="Times New Roman" w:hAnsi="Times New Roman" w:cs="Times New Roman"/>
                <w:color w:val="FFFFFF"/>
                <w:sz w:val="24"/>
                <w:szCs w:val="24"/>
                <w:lang w:eastAsia="tr-TR" w:bidi="ar-SA"/>
              </w:rPr>
              <w:t>Together</w:t>
            </w:r>
          </w:p>
        </w:tc>
        <w:tc>
          <w:tcPr>
            <w:tcW w:w="383" w:type="pct"/>
            <w:tcBorders>
              <w:top w:val="nil"/>
              <w:left w:val="nil"/>
              <w:bottom w:val="single" w:sz="8" w:space="0" w:color="auto"/>
              <w:right w:val="single" w:sz="8" w:space="0" w:color="auto"/>
            </w:tcBorders>
            <w:shd w:val="clear" w:color="auto" w:fill="auto"/>
            <w:noWrap/>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2748</w:t>
            </w:r>
          </w:p>
        </w:tc>
        <w:tc>
          <w:tcPr>
            <w:tcW w:w="384"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2153</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1241</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1276</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1028</w:t>
            </w:r>
          </w:p>
        </w:tc>
        <w:tc>
          <w:tcPr>
            <w:tcW w:w="385" w:type="pct"/>
            <w:tcBorders>
              <w:top w:val="nil"/>
              <w:left w:val="nil"/>
              <w:bottom w:val="single" w:sz="8" w:space="0" w:color="auto"/>
              <w:right w:val="single" w:sz="8" w:space="0" w:color="auto"/>
            </w:tcBorders>
            <w:shd w:val="clear" w:color="auto" w:fill="auto"/>
            <w:noWrap/>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1918</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1645</w:t>
            </w:r>
          </w:p>
        </w:tc>
        <w:tc>
          <w:tcPr>
            <w:tcW w:w="38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1483</w:t>
            </w:r>
          </w:p>
        </w:tc>
        <w:tc>
          <w:tcPr>
            <w:tcW w:w="384"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1345</w:t>
            </w:r>
          </w:p>
        </w:tc>
        <w:tc>
          <w:tcPr>
            <w:tcW w:w="345" w:type="pct"/>
            <w:tcBorders>
              <w:top w:val="nil"/>
              <w:left w:val="nil"/>
              <w:bottom w:val="single" w:sz="8" w:space="0" w:color="auto"/>
              <w:right w:val="single" w:sz="8" w:space="0" w:color="auto"/>
            </w:tcBorders>
            <w:shd w:val="clear" w:color="auto" w:fill="auto"/>
            <w:vAlign w:val="center"/>
            <w:hideMark/>
          </w:tcPr>
          <w:p w:rsidR="004A69E4" w:rsidRPr="001834BC" w:rsidRDefault="004A69E4" w:rsidP="004A69E4">
            <w:pPr>
              <w:spacing w:after="0" w:line="240" w:lineRule="auto"/>
              <w:jc w:val="both"/>
              <w:rPr>
                <w:rFonts w:ascii="Times New Roman" w:eastAsia="Times New Roman" w:hAnsi="Times New Roman" w:cs="Times New Roman"/>
                <w:color w:val="000000"/>
                <w:sz w:val="24"/>
                <w:szCs w:val="24"/>
                <w:lang w:eastAsia="tr-TR" w:bidi="ar-SA"/>
              </w:rPr>
            </w:pPr>
            <w:r w:rsidRPr="001834BC">
              <w:rPr>
                <w:rFonts w:ascii="Times New Roman" w:eastAsia="Times New Roman" w:hAnsi="Times New Roman" w:cs="Times New Roman"/>
                <w:color w:val="000000"/>
                <w:sz w:val="24"/>
                <w:szCs w:val="24"/>
                <w:lang w:eastAsia="tr-TR" w:bidi="ar-SA"/>
              </w:rPr>
              <w:t>1184</w:t>
            </w:r>
          </w:p>
        </w:tc>
      </w:tr>
    </w:tbl>
    <w:p w:rsidR="004A69E4" w:rsidRDefault="004A69E4" w:rsidP="004A69E4">
      <w:pPr>
        <w:spacing w:line="276" w:lineRule="auto"/>
        <w:jc w:val="both"/>
      </w:pPr>
    </w:p>
    <w:p w:rsidR="004A69E4" w:rsidRPr="001730F7" w:rsidRDefault="004A69E4" w:rsidP="004A69E4">
      <w:pPr>
        <w:spacing w:line="360" w:lineRule="auto"/>
        <w:jc w:val="both"/>
        <w:rPr>
          <w:rFonts w:ascii="Times New Roman" w:hAnsi="Times New Roman" w:cs="Times New Roman"/>
          <w:sz w:val="24"/>
          <w:szCs w:val="24"/>
        </w:rPr>
      </w:pPr>
      <w:r w:rsidRPr="001730F7">
        <w:rPr>
          <w:rFonts w:ascii="Times New Roman" w:hAnsi="Times New Roman" w:cs="Times New Roman"/>
          <w:sz w:val="24"/>
          <w:szCs w:val="24"/>
        </w:rPr>
        <w:t xml:space="preserve">As shown in Table 3.1 the HHI </w:t>
      </w:r>
      <w:r>
        <w:rPr>
          <w:rFonts w:ascii="Times New Roman" w:hAnsi="Times New Roman" w:cs="Times New Roman"/>
          <w:sz w:val="24"/>
          <w:szCs w:val="24"/>
        </w:rPr>
        <w:t>in 2018</w:t>
      </w:r>
      <w:r w:rsidRPr="001730F7">
        <w:rPr>
          <w:rFonts w:ascii="Times New Roman" w:hAnsi="Times New Roman" w:cs="Times New Roman"/>
          <w:sz w:val="24"/>
          <w:szCs w:val="24"/>
        </w:rPr>
        <w:t>, which is based on generation and installed capacity, has decreased compared to the previous year. In addition, HHI which is depending on generation has slightly increased. With the completion of privatizations and the continuing expiration of existing contracts, the decrease in these index values is expected to continue.</w:t>
      </w:r>
    </w:p>
    <w:p w:rsidR="004A69E4" w:rsidRPr="001730F7" w:rsidRDefault="004A69E4" w:rsidP="004A69E4">
      <w:pPr>
        <w:spacing w:line="360" w:lineRule="auto"/>
        <w:jc w:val="both"/>
        <w:rPr>
          <w:rFonts w:ascii="Times New Roman" w:hAnsi="Times New Roman" w:cs="Times New Roman"/>
          <w:sz w:val="24"/>
          <w:szCs w:val="24"/>
        </w:rPr>
      </w:pPr>
      <w:r w:rsidRPr="001730F7">
        <w:rPr>
          <w:rFonts w:ascii="Times New Roman" w:hAnsi="Times New Roman" w:cs="Times New Roman"/>
          <w:sz w:val="24"/>
          <w:szCs w:val="24"/>
        </w:rPr>
        <w:t xml:space="preserve">The sales of supplier license holders to end-users are shown in Table 3.2. The HHI, which is calculated according to the supplier shares, </w:t>
      </w:r>
      <w:r>
        <w:rPr>
          <w:rFonts w:ascii="Times New Roman" w:hAnsi="Times New Roman" w:cs="Times New Roman"/>
          <w:sz w:val="24"/>
          <w:szCs w:val="24"/>
        </w:rPr>
        <w:t>was 437,5 in 2017</w:t>
      </w:r>
      <w:r w:rsidRPr="001730F7">
        <w:rPr>
          <w:rFonts w:ascii="Times New Roman" w:hAnsi="Times New Roman" w:cs="Times New Roman"/>
          <w:sz w:val="24"/>
          <w:szCs w:val="24"/>
        </w:rPr>
        <w:t xml:space="preserve">. The value </w:t>
      </w:r>
      <w:r>
        <w:rPr>
          <w:rFonts w:ascii="Times New Roman" w:hAnsi="Times New Roman" w:cs="Times New Roman"/>
          <w:sz w:val="24"/>
          <w:szCs w:val="24"/>
        </w:rPr>
        <w:t>of 2018</w:t>
      </w:r>
      <w:r w:rsidRPr="001730F7">
        <w:rPr>
          <w:rFonts w:ascii="Times New Roman" w:hAnsi="Times New Roman" w:cs="Times New Roman"/>
          <w:sz w:val="24"/>
          <w:szCs w:val="24"/>
        </w:rPr>
        <w:t xml:space="preserve"> was calculated as </w:t>
      </w:r>
      <w:r>
        <w:rPr>
          <w:rFonts w:ascii="Times New Roman" w:hAnsi="Times New Roman" w:cs="Times New Roman"/>
          <w:sz w:val="24"/>
          <w:szCs w:val="24"/>
        </w:rPr>
        <w:t>494,3</w:t>
      </w:r>
      <w:r w:rsidRPr="001730F7">
        <w:rPr>
          <w:rFonts w:ascii="Times New Roman" w:hAnsi="Times New Roman" w:cs="Times New Roman"/>
          <w:sz w:val="24"/>
          <w:szCs w:val="24"/>
        </w:rPr>
        <w:t xml:space="preserve">. Relevant rise of index value results from the share of the total sales of the </w:t>
      </w:r>
      <w:r w:rsidRPr="001730F7">
        <w:rPr>
          <w:rFonts w:ascii="Times New Roman" w:hAnsi="Times New Roman" w:cs="Times New Roman"/>
          <w:sz w:val="24"/>
          <w:szCs w:val="24"/>
        </w:rPr>
        <w:lastRenderedPageBreak/>
        <w:t xml:space="preserve">21 incumbent suppliers in the total sales volume of all the supply licensed companies </w:t>
      </w:r>
      <w:r>
        <w:rPr>
          <w:rFonts w:ascii="Times New Roman" w:hAnsi="Times New Roman" w:cs="Times New Roman"/>
          <w:sz w:val="24"/>
          <w:szCs w:val="24"/>
        </w:rPr>
        <w:t>was 84,96% in 2018</w:t>
      </w:r>
      <w:r w:rsidRPr="001730F7">
        <w:rPr>
          <w:rFonts w:ascii="Times New Roman" w:hAnsi="Times New Roman" w:cs="Times New Roman"/>
          <w:sz w:val="24"/>
          <w:szCs w:val="24"/>
        </w:rPr>
        <w:t xml:space="preserve">, whereas </w:t>
      </w:r>
      <w:r>
        <w:rPr>
          <w:rFonts w:ascii="Times New Roman" w:hAnsi="Times New Roman" w:cs="Times New Roman"/>
          <w:sz w:val="24"/>
          <w:szCs w:val="24"/>
        </w:rPr>
        <w:t>79,37</w:t>
      </w:r>
      <w:r w:rsidRPr="001730F7">
        <w:rPr>
          <w:rFonts w:ascii="Times New Roman" w:hAnsi="Times New Roman" w:cs="Times New Roman"/>
          <w:sz w:val="24"/>
          <w:szCs w:val="24"/>
        </w:rPr>
        <w:t xml:space="preserve"> % </w:t>
      </w:r>
      <w:r>
        <w:rPr>
          <w:rFonts w:ascii="Times New Roman" w:hAnsi="Times New Roman" w:cs="Times New Roman"/>
          <w:sz w:val="24"/>
          <w:szCs w:val="24"/>
        </w:rPr>
        <w:t>in 2017</w:t>
      </w:r>
      <w:r w:rsidRPr="001730F7">
        <w:rPr>
          <w:rFonts w:ascii="Times New Roman" w:hAnsi="Times New Roman" w:cs="Times New Roman"/>
          <w:sz w:val="24"/>
          <w:szCs w:val="24"/>
        </w:rPr>
        <w:t xml:space="preserve">. </w:t>
      </w:r>
    </w:p>
    <w:p w:rsidR="004A69E4" w:rsidRPr="001730F7" w:rsidRDefault="004A69E4" w:rsidP="004A69E4">
      <w:pPr>
        <w:spacing w:line="360" w:lineRule="auto"/>
        <w:jc w:val="both"/>
        <w:rPr>
          <w:rFonts w:ascii="Times New Roman" w:hAnsi="Times New Roman" w:cs="Times New Roman"/>
          <w:sz w:val="24"/>
          <w:szCs w:val="24"/>
        </w:rPr>
      </w:pPr>
      <w:r w:rsidRPr="001730F7">
        <w:rPr>
          <w:rFonts w:ascii="Times New Roman" w:hAnsi="Times New Roman" w:cs="Times New Roman"/>
          <w:sz w:val="24"/>
          <w:szCs w:val="24"/>
        </w:rPr>
        <w:t>As known, the limit of the eligible consumer in the electricity market could not reach to zero yet. In other words, not all consumers in the market are eligible consumers. It is not legally possible for any supplier to sell energy to non-eligible consumers, except for incumbent supply companies. Therefore, in order to properly evaluate the competitive environment in the market of sales made to the final consumers, it is important that an environment in which all consumers are eligible and can provide energy from any supplier.</w:t>
      </w:r>
    </w:p>
    <w:p w:rsidR="004A69E4" w:rsidRDefault="004A69E4" w:rsidP="004A69E4">
      <w:pPr>
        <w:pStyle w:val="Balk1"/>
      </w:pPr>
      <w:bookmarkStart w:id="663" w:name="_Toc494982840"/>
      <w:bookmarkStart w:id="664" w:name="_Toc514674260"/>
      <w:bookmarkStart w:id="665" w:name="_Toc520822056"/>
      <w:bookmarkStart w:id="666" w:name="_Toc10123905"/>
    </w:p>
    <w:p w:rsidR="004A69E4" w:rsidRDefault="004A69E4" w:rsidP="004A69E4">
      <w:pPr>
        <w:pStyle w:val="Balk1"/>
      </w:pPr>
      <w:bookmarkStart w:id="667" w:name="_Toc10191437"/>
      <w:bookmarkStart w:id="668" w:name="_Toc12526278"/>
      <w:r w:rsidRPr="005036E7">
        <w:t>Table 3.2: Sales</w:t>
      </w:r>
      <w:r w:rsidRPr="005036E7">
        <w:rPr>
          <w:rStyle w:val="DipnotBavurusu"/>
        </w:rPr>
        <w:footnoteReference w:id="3"/>
      </w:r>
      <w:r w:rsidRPr="005036E7">
        <w:t>, Market Shares and HHI Values of Supply License Owners</w:t>
      </w:r>
      <w:bookmarkEnd w:id="663"/>
      <w:bookmarkEnd w:id="664"/>
      <w:bookmarkEnd w:id="665"/>
      <w:bookmarkEnd w:id="666"/>
      <w:bookmarkEnd w:id="667"/>
      <w:bookmarkEnd w:id="668"/>
    </w:p>
    <w:tbl>
      <w:tblPr>
        <w:tblW w:w="5271" w:type="pct"/>
        <w:tblLayout w:type="fixed"/>
        <w:tblCellMar>
          <w:left w:w="70" w:type="dxa"/>
          <w:right w:w="70" w:type="dxa"/>
        </w:tblCellMar>
        <w:tblLook w:val="04A0" w:firstRow="1" w:lastRow="0" w:firstColumn="1" w:lastColumn="0" w:noHBand="0" w:noVBand="1"/>
      </w:tblPr>
      <w:tblGrid>
        <w:gridCol w:w="6874"/>
        <w:gridCol w:w="1843"/>
        <w:gridCol w:w="992"/>
      </w:tblGrid>
      <w:tr w:rsidR="004A69E4" w:rsidRPr="004D7662" w:rsidTr="004A69E4">
        <w:trPr>
          <w:trHeight w:val="615"/>
          <w:tblHeader/>
        </w:trPr>
        <w:tc>
          <w:tcPr>
            <w:tcW w:w="3540" w:type="pct"/>
            <w:tcBorders>
              <w:top w:val="single" w:sz="4" w:space="0" w:color="auto"/>
              <w:left w:val="single" w:sz="4" w:space="0" w:color="auto"/>
              <w:bottom w:val="single" w:sz="4" w:space="0" w:color="auto"/>
              <w:right w:val="single" w:sz="4" w:space="0" w:color="auto"/>
            </w:tcBorders>
            <w:shd w:val="clear" w:color="000000" w:fill="FF0000"/>
            <w:noWrap/>
            <w:vAlign w:val="center"/>
            <w:hideMark/>
          </w:tcPr>
          <w:p w:rsidR="004A69E4" w:rsidRPr="004D7662" w:rsidRDefault="004A69E4" w:rsidP="004A69E4">
            <w:pPr>
              <w:spacing w:after="0" w:line="240" w:lineRule="auto"/>
              <w:jc w:val="both"/>
              <w:rPr>
                <w:rFonts w:ascii="Arial" w:eastAsia="Times New Roman" w:hAnsi="Arial" w:cs="Arial"/>
                <w:b/>
                <w:bCs/>
                <w:color w:val="FFFFFF"/>
                <w:lang w:eastAsia="tr-TR" w:bidi="ar-SA"/>
              </w:rPr>
            </w:pPr>
            <w:r>
              <w:rPr>
                <w:rFonts w:ascii="Arial" w:eastAsia="Times New Roman" w:hAnsi="Arial" w:cs="Arial"/>
                <w:b/>
                <w:bCs/>
                <w:color w:val="FFFFFF"/>
                <w:lang w:eastAsia="tr-TR" w:bidi="ar-SA"/>
              </w:rPr>
              <w:t>Supply Company Title</w:t>
            </w:r>
          </w:p>
        </w:tc>
        <w:tc>
          <w:tcPr>
            <w:tcW w:w="949" w:type="pct"/>
            <w:tcBorders>
              <w:top w:val="single" w:sz="4" w:space="0" w:color="auto"/>
              <w:left w:val="nil"/>
              <w:bottom w:val="single" w:sz="4" w:space="0" w:color="auto"/>
              <w:right w:val="single" w:sz="4" w:space="0" w:color="auto"/>
            </w:tcBorders>
            <w:shd w:val="clear" w:color="000000" w:fill="FF0000"/>
            <w:vAlign w:val="center"/>
            <w:hideMark/>
          </w:tcPr>
          <w:p w:rsidR="004A69E4" w:rsidRPr="004D7662" w:rsidRDefault="004A69E4" w:rsidP="004A69E4">
            <w:pPr>
              <w:spacing w:after="0" w:line="240" w:lineRule="auto"/>
              <w:jc w:val="both"/>
              <w:rPr>
                <w:rFonts w:ascii="Arial" w:eastAsia="Times New Roman" w:hAnsi="Arial" w:cs="Arial"/>
                <w:b/>
                <w:bCs/>
                <w:color w:val="FFFFFF"/>
                <w:lang w:eastAsia="tr-TR" w:bidi="ar-SA"/>
              </w:rPr>
            </w:pPr>
            <w:r>
              <w:rPr>
                <w:rFonts w:ascii="Arial" w:eastAsia="Times New Roman" w:hAnsi="Arial" w:cs="Arial"/>
                <w:b/>
                <w:bCs/>
                <w:color w:val="FFFFFF"/>
                <w:lang w:eastAsia="tr-TR" w:bidi="ar-SA"/>
              </w:rPr>
              <w:t>Sales</w:t>
            </w:r>
            <w:r w:rsidRPr="004D7662">
              <w:rPr>
                <w:rFonts w:ascii="Arial" w:eastAsia="Times New Roman" w:hAnsi="Arial" w:cs="Arial"/>
                <w:b/>
                <w:bCs/>
                <w:color w:val="FFFFFF"/>
                <w:lang w:eastAsia="tr-TR" w:bidi="ar-SA"/>
              </w:rPr>
              <w:t xml:space="preserve"> (MWh)</w:t>
            </w:r>
          </w:p>
        </w:tc>
        <w:tc>
          <w:tcPr>
            <w:tcW w:w="511" w:type="pct"/>
            <w:tcBorders>
              <w:top w:val="single" w:sz="4" w:space="0" w:color="auto"/>
              <w:left w:val="nil"/>
              <w:bottom w:val="single" w:sz="4" w:space="0" w:color="auto"/>
              <w:right w:val="single" w:sz="4" w:space="0" w:color="auto"/>
            </w:tcBorders>
            <w:shd w:val="clear" w:color="000000" w:fill="FF0000"/>
            <w:vAlign w:val="center"/>
            <w:hideMark/>
          </w:tcPr>
          <w:p w:rsidR="004A69E4" w:rsidRPr="004D7662" w:rsidRDefault="004A69E4" w:rsidP="004A69E4">
            <w:pPr>
              <w:spacing w:after="0" w:line="240" w:lineRule="auto"/>
              <w:jc w:val="both"/>
              <w:rPr>
                <w:rFonts w:ascii="Arial" w:eastAsia="Times New Roman" w:hAnsi="Arial" w:cs="Arial"/>
                <w:b/>
                <w:bCs/>
                <w:color w:val="FFFFFF"/>
                <w:lang w:eastAsia="tr-TR" w:bidi="ar-SA"/>
              </w:rPr>
            </w:pPr>
            <w:r>
              <w:rPr>
                <w:rFonts w:ascii="Arial" w:eastAsia="Times New Roman" w:hAnsi="Arial" w:cs="Arial"/>
                <w:b/>
                <w:bCs/>
                <w:color w:val="FFFFFF"/>
                <w:lang w:eastAsia="tr-TR" w:bidi="ar-SA"/>
              </w:rPr>
              <w:t>Share</w:t>
            </w:r>
            <w:r w:rsidRPr="004D7662">
              <w:rPr>
                <w:rFonts w:ascii="Arial" w:eastAsia="Times New Roman" w:hAnsi="Arial" w:cs="Arial"/>
                <w:b/>
                <w:bCs/>
                <w:color w:val="FFFFFF"/>
                <w:lang w:eastAsia="tr-TR" w:bidi="ar-SA"/>
              </w:rPr>
              <w:t xml:space="preserve"> (%)</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CK BOĞAZİÇİ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22.952.192,84</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10,88</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ENERJİSA TOROSLAR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16.377.086,44</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7,77</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GEDİZ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14.226.324,48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6,75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SAKARYA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13.564.449,53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6,43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ENERJİSA BAŞKENT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13.417.284,71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6,36</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LİMAK ULUDAĞ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12.558.497,12</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5,95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ENERJİSA İSTANBUL ANADOLU YAKASI ELEKTRİK PERAKENDE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11.758.692,87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5,58</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DİCLE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9.416.719,31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4,47</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CK AKDENİZ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8.938.740,13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4,24</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MERAM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8.557.865,85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4,06</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AYDEM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8.129.416,33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3,85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OSMANGAZİ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7.016.556,75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3,33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TRAKYA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6.809.500,47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3,23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YEŞİLIRMAK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5.039.234,11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2,39</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DOEL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4.216.501,19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AKEDAŞ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4.059.616,28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1,92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CK ÇAMLIBEL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3.912.233,80</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1,86</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KAYSERİ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3.515.562,56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1,67</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AKSA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3.212.890,77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1,52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ÇORUH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3.064.614,60</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1,45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FIRAT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2.429.052,13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GAZİANTEP OSB ELEKTRİK ENERJİSİ TEDARİK TOPTAN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2.089.653,63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0,99</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ARAS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2.056.715,27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0,98</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TÜRKERLER VANGÖLÜ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1.374.863,32</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0,65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lastRenderedPageBreak/>
              <w:t>VOYTRON ENERJİ ELEKTRİK PERAKENDE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1.275.762,54</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0,60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KOLEN ELEKTRİK TOPTAN SATIŞ İTH. VE İHR.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1.074.432,48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0,51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TOSYALI ELEKTRİK ENERJİSİ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1.049.186,17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0,50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ZORLU ELEKTRİK ENERJİSİ İTHALAT, İHRACAT VE TOPTAN TİCARET </w:t>
            </w:r>
            <w:r>
              <w:rPr>
                <w:rFonts w:ascii="Arial" w:eastAsia="Times New Roman" w:hAnsi="Arial" w:cs="Arial"/>
                <w:color w:val="FFFFFF"/>
                <w:sz w:val="18"/>
                <w:szCs w:val="18"/>
                <w:lang w:eastAsia="tr-TR" w:bidi="ar-SA"/>
              </w:rPr>
              <w:t>A.Ş.</w:t>
            </w:r>
            <w:r w:rsidRPr="00B867C4">
              <w:rPr>
                <w:rFonts w:ascii="Arial" w:eastAsia="Times New Roman" w:hAnsi="Arial" w:cs="Arial"/>
                <w:color w:val="FFFFFF"/>
                <w:sz w:val="18"/>
                <w:szCs w:val="18"/>
                <w:lang w:eastAsia="tr-TR" w:bidi="ar-SA"/>
              </w:rPr>
              <w:t xml:space="preserve"> </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1.037.630,11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0,49</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CENGİZ ELEKTRİK TOPTAN SATIŞ 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920.966,69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0,44</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IC İÇTAŞ ELEKTRİK TOPTAN SATIŞ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906.854,39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0,43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BEREKET ELEKTRİK TEDARİK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818.210,13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0,39</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TTES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813.668,24</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0,39</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OMV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807.324,11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0,38</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CK ENERJİ ORTAKLIĞI TOPTAN ELEKTRİK SATIŞI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745.950,39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EREN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738.284,35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ENKO ENERJİ SANAYİ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669.308,39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TURKCELL ENERJİ ÇÖZÜMLERİ VE ELEKTRİK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661.652,73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ELEKTRİK ÜRETİM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640.058,54</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TÜRKİYE ELEKTRİK TİCARET VE TAAHHÜT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626.015,31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0,30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OYAK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594.684,39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0,28</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ŞİŞECAM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574.909,05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0,27</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İPRAGAZ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538.275,68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0,26</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YEŞİLYURT ELEKTRİK ENERJİSİ TOPTAN SATIŞ VE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461.757,16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MERAM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453.288,41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GATES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452.205,73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0,21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BORDO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348.808,81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0,17</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FİNA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287.982,04</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0,14</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RÖNESANS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286.543,45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0,14</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KET KİPAŞ ELEKTRİK ENERJİSİ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283.136,69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EWE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278.868,19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VTC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276.168,58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ÇELİKLER ELEKTRİK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267.611,31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AVEL AVRUPA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259.563,40</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SOYAK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252.800,58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MARMARA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250.681,16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EKSİM ELEKTRİK ENERJİSİ İTHALAT, İHRACAT VE TOPTAN SATIŞ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238.091,80</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ELTEK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228.460,68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0,11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ELEKTRA ENERJİ TOPTAN SATIŞ VE İTHALAT İHRACAT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199.982,11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0,09</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EOS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198.491,92</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0,09</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OZAN ELEKTRİK ENERJİSİ İTH. İHR. VE TOPTAN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187.057,56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0,09</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AYEN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178.640,45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0,08</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ENOVA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141.360,68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0,07</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BATIÇİM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138.132,48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0,07</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YAĞMUR GROUP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136.922,95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0,06</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DOĞRUDAN ELEKTRİK ENERJİSİ TOPTAN SATIŞ VE TEDARİK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131.486,93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0,06</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FIRAT ENERJİ TOPTAN SATIŞ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118.244,13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0,06</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lastRenderedPageBreak/>
              <w:t>DOĞUŞ ENERJİ TOPTAN ELEKTRİK TİC.AŞ.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114.308,88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DEDELİ ELEKTRİK ENERJİSİ TOPTAN TİCARET 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113.512,00</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KGM ENERJİ TİCARET LİMİTED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106.678,15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ENERJİM PERAKENDE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106.412,27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YKS ELEKTRİK ENERJİSİ TOPTAN SATIŞ DIŞ TİCARET LİMİTED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105.333,03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0,05</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UZ ENERGY DIŞ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89.130,26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0,04</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ÜRÜNDÜL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82.882,11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0,04</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İÇDAŞ ELEKTRİK ENERJİSİ TOPTAN SATIŞ İTHALAT VE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70.777,99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ORTADOĞU ELEKTRİK ENERJİSİ TOPTAN SATIŞ 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66.143,78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ATA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62.004,37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AGE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56.083,32</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0,03</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AVEM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51.212,81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TENERA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51.046,59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GROUP TRANS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50.998,53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FİDES ELEKTRİK ENERJİSİ TOPTAN ALIŞ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46.475,06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MAC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39.291,09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SEDSAL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38.207,33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AYCAN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37.302,43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EAG ELEKTRİK ENERJİSİ TOPTAN SATIŞI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34.913,14</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DOASAN ENERJİ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33.846,99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0,02</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ENGİE ENERJİ TİCARET VE PAZARLAMA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30.835,03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AKS GRUP ELEKTRİK ENERJİSİ TOPTAN ALIŞ VE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30.802,25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BALKAYA ENERJİ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27.594,28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CFC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22.775,91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ENSAT ELEKTRİK ENERJİSİ TEDARİK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22.730,99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TESAŞ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21.093,75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CAN ENERJİ TOPTAN ELEKTRİK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18.294,41</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SHELL ENERJİ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16.791,84</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TEKİN ELEKTRİK ENERJİSİ TEDARİK TOPTAN SATIŞ İTHALAT İHRACAT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12.267,43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YETAŞ YILDIRIM ENERJİ TEDARİK 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11.150,82</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BON ELEKTRİK TEDARİK İTHALAT İHRACAT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10.598,86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KIVANÇ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10.546,48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0,01</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METRO GRUP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8.937,73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HGÇ TOPTAN EL. EN.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8.697,38</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AKFEN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7.569,76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BOSEN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6.892,93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DESA ELEKTRİK ENERJİSİ TEDARİK VE TOPTAN SATIŞ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6.203,33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TRANSPOWER ENERJİ ELEKTRİK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4.927,60</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İMC ELEKTRİK ENERJİSİ TOPTAN SATIŞ İTHALAT İHRACAT LİMİTED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3.669,02</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İDEAL PERAKENDE ELEKTRİK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3.585,79</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HALİS ELEKTRİK ENERJİSİ TOPTAN SATIŞ VE İTH. İHR.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3.337,67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SARI PERAKENDE ENERJİ SATIŞ VE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1.582,67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lastRenderedPageBreak/>
              <w:t>HİDİV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1.308,53</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ÜNDEM ELEKTRİK ENERJİSİ TOPTAN SATIŞ TİCARET 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1.308,22</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NYK ELEKTRİK ENERJİSİ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1.247,17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AKENERJİ ELEKTRİK ENERJİSİ İTHALAT İHRACAT VE TOPTAN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1.112,26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 xml:space="preserve">PARK TOPTAN ELEKTRİK ENERJİSİ SATIŞ SANAYİ VE TİCARET </w:t>
            </w:r>
            <w:r>
              <w:rPr>
                <w:rFonts w:ascii="Arial" w:eastAsia="Times New Roman" w:hAnsi="Arial" w:cs="Arial"/>
                <w:color w:val="FFFFFF"/>
                <w:sz w:val="18"/>
                <w:szCs w:val="18"/>
                <w:lang w:eastAsia="tr-TR" w:bidi="ar-SA"/>
              </w:rPr>
              <w:t>A.Ş.</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774,12</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ADB ELEKTRİK ENERJİSİ TOPTAN SATIŞ LİMİTED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686,26</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SETEL ELEKTRİK ENERJİSİ İHR.İTH. VE TOPTAN SATIŞ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468,55</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B867C4" w:rsidTr="004A69E4">
        <w:trPr>
          <w:trHeight w:val="315"/>
        </w:trPr>
        <w:tc>
          <w:tcPr>
            <w:tcW w:w="3540" w:type="pct"/>
            <w:tcBorders>
              <w:top w:val="nil"/>
              <w:left w:val="single" w:sz="4" w:space="0" w:color="auto"/>
              <w:bottom w:val="single" w:sz="4" w:space="0" w:color="auto"/>
              <w:right w:val="single" w:sz="4" w:space="0" w:color="auto"/>
            </w:tcBorders>
            <w:shd w:val="clear" w:color="000000" w:fill="FF5050"/>
            <w:noWrap/>
            <w:vAlign w:val="center"/>
          </w:tcPr>
          <w:p w:rsidR="004A69E4" w:rsidRPr="00B867C4" w:rsidRDefault="004A69E4" w:rsidP="004A69E4">
            <w:pPr>
              <w:spacing w:after="0" w:line="240" w:lineRule="auto"/>
              <w:jc w:val="both"/>
              <w:rPr>
                <w:rFonts w:ascii="Arial" w:eastAsia="Times New Roman" w:hAnsi="Arial" w:cs="Arial"/>
                <w:color w:val="FFFFFF"/>
                <w:sz w:val="18"/>
                <w:szCs w:val="18"/>
                <w:lang w:eastAsia="tr-TR" w:bidi="ar-SA"/>
              </w:rPr>
            </w:pPr>
            <w:r w:rsidRPr="00B867C4">
              <w:rPr>
                <w:rFonts w:ascii="Arial" w:eastAsia="Times New Roman" w:hAnsi="Arial" w:cs="Arial"/>
                <w:color w:val="FFFFFF"/>
                <w:sz w:val="18"/>
                <w:szCs w:val="18"/>
                <w:lang w:eastAsia="tr-TR" w:bidi="ar-SA"/>
              </w:rPr>
              <w:t>ALEN ALARKO ENERJİ TİCARET ANONİM ŞİRKETİ</w:t>
            </w:r>
          </w:p>
        </w:tc>
        <w:tc>
          <w:tcPr>
            <w:tcW w:w="949"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233,87</w:t>
            </w:r>
          </w:p>
        </w:tc>
        <w:tc>
          <w:tcPr>
            <w:tcW w:w="511" w:type="pct"/>
            <w:tcBorders>
              <w:top w:val="nil"/>
              <w:left w:val="nil"/>
              <w:bottom w:val="single" w:sz="4" w:space="0" w:color="auto"/>
              <w:right w:val="single" w:sz="4" w:space="0" w:color="auto"/>
            </w:tcBorders>
            <w:shd w:val="clear" w:color="auto" w:fill="auto"/>
            <w:noWrap/>
            <w:vAlign w:val="center"/>
          </w:tcPr>
          <w:p w:rsidR="004A69E4" w:rsidRPr="00B867C4" w:rsidRDefault="004A69E4" w:rsidP="004A69E4">
            <w:pPr>
              <w:spacing w:after="0" w:line="240" w:lineRule="auto"/>
              <w:jc w:val="both"/>
              <w:rPr>
                <w:rFonts w:ascii="Arial" w:eastAsia="Times New Roman" w:hAnsi="Arial" w:cs="Arial"/>
                <w:color w:val="000000"/>
                <w:sz w:val="18"/>
                <w:szCs w:val="18"/>
                <w:lang w:eastAsia="tr-TR" w:bidi="ar-SA"/>
              </w:rPr>
            </w:pPr>
            <w:r w:rsidRPr="00B867C4">
              <w:rPr>
                <w:rFonts w:ascii="Arial" w:eastAsia="Times New Roman" w:hAnsi="Arial" w:cs="Arial"/>
                <w:color w:val="000000"/>
                <w:sz w:val="18"/>
                <w:szCs w:val="18"/>
                <w:lang w:eastAsia="tr-TR" w:bidi="ar-SA"/>
              </w:rPr>
              <w:t>0,00</w:t>
            </w:r>
          </w:p>
        </w:tc>
      </w:tr>
      <w:tr w:rsidR="004A69E4" w:rsidRPr="004D7662" w:rsidTr="004A69E4">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4A69E4" w:rsidRPr="004D7662" w:rsidRDefault="004A69E4" w:rsidP="004A69E4">
            <w:pPr>
              <w:spacing w:after="0" w:line="240" w:lineRule="auto"/>
              <w:jc w:val="both"/>
              <w:rPr>
                <w:rFonts w:ascii="Arial" w:eastAsia="Times New Roman" w:hAnsi="Arial" w:cs="Arial"/>
                <w:b/>
                <w:bCs/>
                <w:color w:val="FFFFFF"/>
                <w:lang w:eastAsia="tr-TR" w:bidi="ar-SA"/>
              </w:rPr>
            </w:pPr>
            <w:r>
              <w:rPr>
                <w:rFonts w:ascii="Arial" w:eastAsia="Times New Roman" w:hAnsi="Arial" w:cs="Arial"/>
                <w:b/>
                <w:bCs/>
                <w:color w:val="FFFFFF"/>
                <w:lang w:eastAsia="tr-TR" w:bidi="ar-SA"/>
              </w:rPr>
              <w:t>Total</w:t>
            </w:r>
          </w:p>
        </w:tc>
        <w:tc>
          <w:tcPr>
            <w:tcW w:w="949" w:type="pct"/>
            <w:tcBorders>
              <w:top w:val="nil"/>
              <w:left w:val="nil"/>
              <w:bottom w:val="single" w:sz="8" w:space="0" w:color="auto"/>
              <w:right w:val="single" w:sz="8" w:space="0" w:color="auto"/>
            </w:tcBorders>
            <w:shd w:val="clear" w:color="000000" w:fill="FF5050"/>
            <w:noWrap/>
            <w:vAlign w:val="center"/>
            <w:hideMark/>
          </w:tcPr>
          <w:p w:rsidR="004A69E4" w:rsidRPr="004D7662" w:rsidRDefault="004A69E4" w:rsidP="004A69E4">
            <w:pPr>
              <w:spacing w:after="0" w:line="240" w:lineRule="auto"/>
              <w:jc w:val="both"/>
              <w:rPr>
                <w:rFonts w:ascii="Arial" w:eastAsia="Times New Roman" w:hAnsi="Arial" w:cs="Arial"/>
                <w:b/>
                <w:bCs/>
                <w:color w:val="FFFFFF"/>
                <w:lang w:eastAsia="tr-TR" w:bidi="ar-SA"/>
              </w:rPr>
            </w:pPr>
            <w:r w:rsidRPr="00B867C4">
              <w:rPr>
                <w:rFonts w:ascii="Arial" w:eastAsia="Times New Roman" w:hAnsi="Arial" w:cs="Arial"/>
                <w:b/>
                <w:bCs/>
                <w:color w:val="FFFFFF"/>
                <w:lang w:eastAsia="tr-TR" w:bidi="ar-SA"/>
              </w:rPr>
              <w:t>210.898.310,43</w:t>
            </w:r>
          </w:p>
        </w:tc>
        <w:tc>
          <w:tcPr>
            <w:tcW w:w="511" w:type="pct"/>
            <w:tcBorders>
              <w:top w:val="nil"/>
              <w:left w:val="nil"/>
              <w:bottom w:val="single" w:sz="8" w:space="0" w:color="auto"/>
              <w:right w:val="single" w:sz="8" w:space="0" w:color="auto"/>
            </w:tcBorders>
            <w:shd w:val="clear" w:color="000000" w:fill="FF5050"/>
            <w:noWrap/>
            <w:vAlign w:val="center"/>
            <w:hideMark/>
          </w:tcPr>
          <w:p w:rsidR="004A69E4" w:rsidRPr="004D7662" w:rsidRDefault="004A69E4" w:rsidP="004A69E4">
            <w:pPr>
              <w:spacing w:after="0" w:line="240" w:lineRule="auto"/>
              <w:jc w:val="both"/>
              <w:rPr>
                <w:rFonts w:ascii="Arial" w:eastAsia="Times New Roman" w:hAnsi="Arial" w:cs="Arial"/>
                <w:b/>
                <w:bCs/>
                <w:color w:val="FFFFFF"/>
                <w:lang w:eastAsia="tr-TR" w:bidi="ar-SA"/>
              </w:rPr>
            </w:pPr>
            <w:r w:rsidRPr="004D7662">
              <w:rPr>
                <w:rFonts w:ascii="Arial" w:eastAsia="Times New Roman" w:hAnsi="Arial" w:cs="Arial"/>
                <w:b/>
                <w:bCs/>
                <w:color w:val="FFFFFF"/>
                <w:lang w:eastAsia="tr-TR" w:bidi="ar-SA"/>
              </w:rPr>
              <w:t>100</w:t>
            </w:r>
          </w:p>
        </w:tc>
      </w:tr>
      <w:tr w:rsidR="004A69E4" w:rsidRPr="004D7662" w:rsidTr="004A69E4">
        <w:trPr>
          <w:trHeight w:val="315"/>
        </w:trPr>
        <w:tc>
          <w:tcPr>
            <w:tcW w:w="3540" w:type="pct"/>
            <w:tcBorders>
              <w:top w:val="nil"/>
              <w:left w:val="single" w:sz="8" w:space="0" w:color="auto"/>
              <w:bottom w:val="single" w:sz="8" w:space="0" w:color="auto"/>
              <w:right w:val="single" w:sz="8" w:space="0" w:color="auto"/>
            </w:tcBorders>
            <w:shd w:val="clear" w:color="000000" w:fill="FF5050"/>
            <w:noWrap/>
            <w:vAlign w:val="center"/>
            <w:hideMark/>
          </w:tcPr>
          <w:p w:rsidR="004A69E4" w:rsidRPr="004D7662" w:rsidRDefault="004A69E4" w:rsidP="004A69E4">
            <w:pPr>
              <w:spacing w:after="0" w:line="240" w:lineRule="auto"/>
              <w:jc w:val="both"/>
              <w:rPr>
                <w:rFonts w:ascii="Arial" w:eastAsia="Times New Roman" w:hAnsi="Arial" w:cs="Arial"/>
                <w:b/>
                <w:bCs/>
                <w:color w:val="FFFFFF"/>
                <w:lang w:eastAsia="tr-TR" w:bidi="ar-SA"/>
              </w:rPr>
            </w:pPr>
            <w:r>
              <w:rPr>
                <w:rFonts w:ascii="Arial" w:eastAsia="Times New Roman" w:hAnsi="Arial" w:cs="Arial"/>
                <w:b/>
                <w:bCs/>
                <w:color w:val="FFFFFF"/>
                <w:lang w:eastAsia="tr-TR" w:bidi="ar-SA"/>
              </w:rPr>
              <w:t>HHI of Suppliers</w:t>
            </w:r>
          </w:p>
        </w:tc>
        <w:tc>
          <w:tcPr>
            <w:tcW w:w="1460" w:type="pct"/>
            <w:gridSpan w:val="2"/>
            <w:tcBorders>
              <w:top w:val="single" w:sz="8" w:space="0" w:color="auto"/>
              <w:left w:val="nil"/>
              <w:bottom w:val="single" w:sz="8" w:space="0" w:color="auto"/>
              <w:right w:val="single" w:sz="8" w:space="0" w:color="000000"/>
            </w:tcBorders>
            <w:shd w:val="clear" w:color="000000" w:fill="FF5050"/>
            <w:noWrap/>
            <w:vAlign w:val="center"/>
            <w:hideMark/>
          </w:tcPr>
          <w:p w:rsidR="004A69E4" w:rsidRPr="004D7662" w:rsidRDefault="004A69E4" w:rsidP="004A69E4">
            <w:pPr>
              <w:spacing w:after="0" w:line="240" w:lineRule="auto"/>
              <w:jc w:val="both"/>
              <w:rPr>
                <w:rFonts w:ascii="Arial" w:eastAsia="Times New Roman" w:hAnsi="Arial" w:cs="Arial"/>
                <w:b/>
                <w:bCs/>
                <w:color w:val="FFFFFF"/>
                <w:lang w:eastAsia="tr-TR" w:bidi="ar-SA"/>
              </w:rPr>
            </w:pPr>
            <w:r>
              <w:rPr>
                <w:rFonts w:ascii="Arial" w:eastAsia="Times New Roman" w:hAnsi="Arial" w:cs="Arial"/>
                <w:b/>
                <w:bCs/>
                <w:color w:val="FFFFFF"/>
                <w:lang w:eastAsia="tr-TR" w:bidi="ar-SA"/>
              </w:rPr>
              <w:t>494,3</w:t>
            </w:r>
          </w:p>
        </w:tc>
      </w:tr>
    </w:tbl>
    <w:p w:rsidR="004A69E4" w:rsidRPr="001730F7" w:rsidRDefault="004A69E4" w:rsidP="004A69E4">
      <w:pPr>
        <w:jc w:val="both"/>
      </w:pPr>
    </w:p>
    <w:p w:rsidR="004A69E4" w:rsidRPr="00E1327A" w:rsidRDefault="004A69E4" w:rsidP="004A69E4">
      <w:pPr>
        <w:pStyle w:val="11ilebalayanlar"/>
        <w:spacing w:line="360" w:lineRule="auto"/>
        <w:jc w:val="both"/>
      </w:pPr>
      <w:bookmarkStart w:id="669" w:name="_Toc483831859"/>
      <w:bookmarkStart w:id="670" w:name="_Toc520822018"/>
      <w:bookmarkStart w:id="671" w:name="_Toc12528950"/>
      <w:r>
        <w:t xml:space="preserve">3.2 </w:t>
      </w:r>
      <w:bookmarkEnd w:id="669"/>
      <w:r>
        <w:t>Demand Side</w:t>
      </w:r>
      <w:bookmarkEnd w:id="670"/>
      <w:bookmarkEnd w:id="671"/>
    </w:p>
    <w:p w:rsidR="006078D4" w:rsidRDefault="006078D4" w:rsidP="004A69E4">
      <w:pPr>
        <w:spacing w:line="360" w:lineRule="auto"/>
        <w:jc w:val="both"/>
        <w:rPr>
          <w:rFonts w:ascii="Times New Roman" w:hAnsi="Times New Roman" w:cs="Times New Roman"/>
          <w:sz w:val="24"/>
          <w:szCs w:val="24"/>
        </w:rPr>
      </w:pPr>
    </w:p>
    <w:p w:rsidR="004A69E4" w:rsidRDefault="004A69E4" w:rsidP="004A69E4">
      <w:pPr>
        <w:spacing w:line="360" w:lineRule="auto"/>
        <w:jc w:val="both"/>
        <w:rPr>
          <w:rFonts w:ascii="Times New Roman" w:hAnsi="Times New Roman" w:cs="Times New Roman"/>
          <w:sz w:val="24"/>
          <w:szCs w:val="24"/>
          <w:lang w:bidi="ar-SA"/>
        </w:rPr>
      </w:pPr>
      <w:r w:rsidRPr="001D7321">
        <w:rPr>
          <w:rFonts w:ascii="Times New Roman" w:hAnsi="Times New Roman" w:cs="Times New Roman"/>
          <w:sz w:val="24"/>
          <w:szCs w:val="24"/>
        </w:rPr>
        <w:t>Eligible consumer limit have been determined as 2.000 kWh</w:t>
      </w:r>
      <w:r>
        <w:rPr>
          <w:rFonts w:ascii="Times New Roman" w:hAnsi="Times New Roman" w:cs="Times New Roman"/>
          <w:sz w:val="24"/>
          <w:szCs w:val="24"/>
        </w:rPr>
        <w:t xml:space="preserve"> for 2018</w:t>
      </w:r>
      <w:r w:rsidRPr="001D7321">
        <w:rPr>
          <w:rFonts w:ascii="Times New Roman" w:hAnsi="Times New Roman" w:cs="Times New Roman"/>
          <w:sz w:val="24"/>
          <w:szCs w:val="24"/>
        </w:rPr>
        <w:t xml:space="preserve"> in the sixth sub clause of Article 5 of </w:t>
      </w:r>
      <w:r w:rsidRPr="001D7321">
        <w:rPr>
          <w:rFonts w:ascii="Times New Roman" w:eastAsia="Times New Roman" w:hAnsi="Times New Roman" w:cs="Times New Roman"/>
          <w:color w:val="212121"/>
          <w:sz w:val="24"/>
          <w:szCs w:val="24"/>
          <w:lang w:val="en" w:eastAsia="tr-TR"/>
        </w:rPr>
        <w:t xml:space="preserve">Law No. 4628 on the Organization and Duties of the Energy Market Regulatory Authority </w:t>
      </w:r>
      <w:r w:rsidRPr="001D7321">
        <w:rPr>
          <w:rFonts w:ascii="Times New Roman" w:hAnsi="Times New Roman" w:cs="Times New Roman"/>
          <w:sz w:val="24"/>
          <w:szCs w:val="24"/>
        </w:rPr>
        <w:t xml:space="preserve">and </w:t>
      </w:r>
      <w:r w:rsidRPr="001D7321">
        <w:rPr>
          <w:rFonts w:ascii="Times New Roman" w:hAnsi="Times New Roman" w:cs="Times New Roman"/>
          <w:color w:val="212121"/>
          <w:sz w:val="24"/>
          <w:szCs w:val="24"/>
          <w:shd w:val="clear" w:color="auto" w:fill="FFFFFF"/>
        </w:rPr>
        <w:t xml:space="preserve">the provisions of Article 25 of the Electricity Market Consumer Services Regulation by </w:t>
      </w:r>
      <w:r w:rsidRPr="001D7321">
        <w:rPr>
          <w:rFonts w:ascii="Times New Roman" w:hAnsi="Times New Roman" w:cs="Times New Roman"/>
          <w:sz w:val="24"/>
          <w:szCs w:val="24"/>
        </w:rPr>
        <w:t>30/11/2017 dated and 7474 numbered the board resolution. The theoretical market openness corresponding to the eligible consumer limit was calculated as 92,6%.</w:t>
      </w:r>
      <w:r w:rsidRPr="001D7321">
        <w:rPr>
          <w:rFonts w:asciiTheme="minorHAnsi" w:hAnsiTheme="minorHAnsi" w:cstheme="minorHAnsi"/>
          <w:sz w:val="24"/>
          <w:szCs w:val="24"/>
        </w:rPr>
        <w:t xml:space="preserve"> </w:t>
      </w:r>
      <w:r w:rsidRPr="00D70745">
        <w:rPr>
          <w:rFonts w:ascii="Times New Roman" w:hAnsi="Times New Roman" w:cs="Times New Roman"/>
          <w:sz w:val="24"/>
          <w:szCs w:val="24"/>
          <w:lang w:bidi="ar-SA"/>
        </w:rPr>
        <w:t>The eligible consumer limit and the corresponding market openness rate over the years are given in Figure 3.1.</w:t>
      </w:r>
    </w:p>
    <w:p w:rsidR="006078D4" w:rsidRPr="00D70745" w:rsidRDefault="006078D4" w:rsidP="004A69E4">
      <w:pPr>
        <w:spacing w:line="360" w:lineRule="auto"/>
        <w:jc w:val="both"/>
        <w:rPr>
          <w:rFonts w:ascii="Times New Roman" w:hAnsi="Times New Roman" w:cs="Times New Roman"/>
          <w:sz w:val="24"/>
          <w:szCs w:val="24"/>
          <w:lang w:bidi="ar-SA"/>
        </w:rPr>
      </w:pPr>
    </w:p>
    <w:p w:rsidR="004A69E4" w:rsidRDefault="004A69E4" w:rsidP="004A69E4">
      <w:pPr>
        <w:pStyle w:val="Balk2"/>
        <w:rPr>
          <w:lang w:val="de-DE"/>
        </w:rPr>
      </w:pPr>
      <w:bookmarkStart w:id="672" w:name="_Toc494988662"/>
      <w:bookmarkStart w:id="673" w:name="_Toc520822133"/>
      <w:bookmarkStart w:id="674" w:name="_Toc10123907"/>
      <w:bookmarkStart w:id="675" w:name="_Toc12526280"/>
      <w:bookmarkStart w:id="676" w:name="_Toc12535899"/>
      <w:r w:rsidRPr="00FB52B4">
        <w:rPr>
          <w:lang w:val="de-DE"/>
        </w:rPr>
        <w:lastRenderedPageBreak/>
        <w:t>Figure</w:t>
      </w:r>
      <w:r w:rsidRPr="0077239A">
        <w:rPr>
          <w:caps/>
          <w:lang w:val="de-DE"/>
        </w:rPr>
        <w:t xml:space="preserve"> 3.</w:t>
      </w:r>
      <w:r>
        <w:rPr>
          <w:caps/>
          <w:lang w:val="de-DE"/>
        </w:rPr>
        <w:t>1</w:t>
      </w:r>
      <w:r w:rsidRPr="0077239A">
        <w:rPr>
          <w:caps/>
          <w:lang w:val="de-DE"/>
        </w:rPr>
        <w:t xml:space="preserve">: </w:t>
      </w:r>
      <w:r w:rsidRPr="005B46DD">
        <w:rPr>
          <w:lang w:val="de-DE"/>
        </w:rPr>
        <w:t>Eligible Consumer Limit and Market Open</w:t>
      </w:r>
      <w:r>
        <w:rPr>
          <w:lang w:val="de-DE"/>
        </w:rPr>
        <w:t>ness</w:t>
      </w:r>
      <w:r w:rsidRPr="005B46DD">
        <w:rPr>
          <w:lang w:val="de-DE"/>
        </w:rPr>
        <w:t xml:space="preserve"> Ratio by Years (kWh-%)</w:t>
      </w:r>
      <w:bookmarkEnd w:id="672"/>
      <w:bookmarkEnd w:id="673"/>
      <w:bookmarkEnd w:id="674"/>
      <w:bookmarkEnd w:id="675"/>
      <w:bookmarkEnd w:id="676"/>
    </w:p>
    <w:p w:rsidR="004A69E4" w:rsidRDefault="004A69E4" w:rsidP="004A69E4">
      <w:pPr>
        <w:spacing w:line="360" w:lineRule="auto"/>
        <w:jc w:val="center"/>
        <w:rPr>
          <w:rFonts w:asciiTheme="minorHAnsi" w:hAnsiTheme="minorHAnsi" w:cstheme="minorHAnsi"/>
          <w:sz w:val="24"/>
          <w:szCs w:val="24"/>
        </w:rPr>
      </w:pPr>
      <w:r>
        <w:rPr>
          <w:rFonts w:ascii="Times New Roman" w:eastAsia="Times New Roman" w:hAnsi="Times New Roman" w:cs="Times New Roman"/>
          <w:noProof/>
          <w:color w:val="212121"/>
          <w:sz w:val="24"/>
          <w:szCs w:val="24"/>
          <w:lang w:bidi="ar-SA"/>
        </w:rPr>
        <w:drawing>
          <wp:inline distT="0" distB="0" distL="0" distR="0" wp14:anchorId="73FD1A3C" wp14:editId="4FE46CDA">
            <wp:extent cx="5753100" cy="3181350"/>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53100" cy="3181350"/>
                    </a:xfrm>
                    <a:prstGeom prst="rect">
                      <a:avLst/>
                    </a:prstGeom>
                    <a:noFill/>
                    <a:ln>
                      <a:noFill/>
                    </a:ln>
                  </pic:spPr>
                </pic:pic>
              </a:graphicData>
            </a:graphic>
          </wp:inline>
        </w:drawing>
      </w:r>
    </w:p>
    <w:p w:rsidR="004A69E4" w:rsidRPr="00D70745" w:rsidRDefault="004A69E4" w:rsidP="004A69E4">
      <w:pPr>
        <w:spacing w:line="360" w:lineRule="auto"/>
        <w:jc w:val="both"/>
        <w:rPr>
          <w:rFonts w:ascii="Times New Roman" w:hAnsi="Times New Roman" w:cs="Times New Roman"/>
          <w:sz w:val="24"/>
          <w:szCs w:val="24"/>
          <w:lang w:bidi="ar-SA"/>
        </w:rPr>
      </w:pPr>
      <w:r w:rsidRPr="00D70745">
        <w:rPr>
          <w:rFonts w:ascii="Times New Roman" w:hAnsi="Times New Roman" w:cs="Times New Roman"/>
          <w:sz w:val="24"/>
          <w:szCs w:val="24"/>
          <w:lang w:bidi="ar-SA"/>
        </w:rPr>
        <w:t xml:space="preserve">Although the theoretical market openness ratio is high, share of consumers using their rights coming from eligible consumer status in pratice was observed to be lower. Consumption of eligible consumers in 2018 was 69,18 TWh, which corresponds to approximately 29,6 % of total invoiced consumption. </w:t>
      </w:r>
    </w:p>
    <w:p w:rsidR="004A69E4" w:rsidRPr="00D70745" w:rsidRDefault="004A69E4" w:rsidP="004A69E4">
      <w:pPr>
        <w:spacing w:line="360" w:lineRule="auto"/>
        <w:jc w:val="both"/>
        <w:rPr>
          <w:rFonts w:ascii="Times New Roman" w:hAnsi="Times New Roman" w:cs="Times New Roman"/>
          <w:sz w:val="24"/>
          <w:szCs w:val="24"/>
          <w:lang w:bidi="ar-SA"/>
        </w:rPr>
      </w:pPr>
      <w:r w:rsidRPr="00D70745">
        <w:rPr>
          <w:rFonts w:ascii="Times New Roman" w:hAnsi="Times New Roman" w:cs="Times New Roman"/>
          <w:sz w:val="24"/>
          <w:szCs w:val="24"/>
          <w:lang w:bidi="ar-SA"/>
        </w:rPr>
        <w:t xml:space="preserve">The development of the number of eligible consumers in 2018 is shown in Figure 3.2. </w:t>
      </w:r>
    </w:p>
    <w:p w:rsidR="004A69E4" w:rsidRDefault="004A69E4" w:rsidP="004A69E4"/>
    <w:p w:rsidR="004A69E4" w:rsidRDefault="004A69E4" w:rsidP="004A69E4">
      <w:pPr>
        <w:pStyle w:val="Balk2"/>
      </w:pPr>
      <w:bookmarkStart w:id="677" w:name="_Toc494988663"/>
      <w:bookmarkStart w:id="678" w:name="_Toc520822134"/>
      <w:bookmarkStart w:id="679" w:name="_Toc10123908"/>
      <w:bookmarkStart w:id="680" w:name="_Toc12526281"/>
      <w:bookmarkStart w:id="681" w:name="_Toc12535900"/>
      <w:r w:rsidRPr="0077239A">
        <w:t>Figure</w:t>
      </w:r>
      <w:r>
        <w:t xml:space="preserve"> 3.2</w:t>
      </w:r>
      <w:r w:rsidRPr="0077239A">
        <w:t xml:space="preserve">: </w:t>
      </w:r>
      <w:r w:rsidRPr="00AC2D41">
        <w:t>Number of Eli</w:t>
      </w:r>
      <w:r>
        <w:t>gible Consumer by Months in 2018</w:t>
      </w:r>
      <w:r w:rsidRPr="00AC2D41">
        <w:t xml:space="preserve"> (Number)</w:t>
      </w:r>
      <w:bookmarkEnd w:id="677"/>
      <w:bookmarkEnd w:id="678"/>
      <w:bookmarkEnd w:id="679"/>
      <w:bookmarkEnd w:id="680"/>
      <w:bookmarkEnd w:id="681"/>
    </w:p>
    <w:p w:rsidR="004A69E4" w:rsidRDefault="004A69E4" w:rsidP="004A69E4">
      <w:pPr>
        <w:pStyle w:val="HTMLncedenBiimlendirilmi"/>
        <w:shd w:val="clear" w:color="auto" w:fill="FFFFFF"/>
        <w:spacing w:line="360" w:lineRule="auto"/>
        <w:jc w:val="center"/>
        <w:rPr>
          <w:rFonts w:ascii="Times New Roman" w:eastAsia="Times New Roman" w:hAnsi="Times New Roman" w:cs="Times New Roman"/>
          <w:color w:val="212121"/>
          <w:sz w:val="24"/>
          <w:szCs w:val="24"/>
          <w:lang w:val="tr-TR" w:eastAsia="tr-TR"/>
        </w:rPr>
      </w:pPr>
      <w:r>
        <w:rPr>
          <w:rFonts w:ascii="Times New Roman" w:eastAsia="Times New Roman" w:hAnsi="Times New Roman" w:cs="Times New Roman"/>
          <w:noProof/>
          <w:color w:val="212121"/>
          <w:sz w:val="24"/>
          <w:szCs w:val="24"/>
          <w:lang w:bidi="ar-SA"/>
        </w:rPr>
        <w:drawing>
          <wp:inline distT="0" distB="0" distL="0" distR="0" wp14:anchorId="0930C72F" wp14:editId="2F55FD57">
            <wp:extent cx="5753100" cy="3248025"/>
            <wp:effectExtent l="0" t="0" r="0" b="952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53100" cy="3248025"/>
                    </a:xfrm>
                    <a:prstGeom prst="rect">
                      <a:avLst/>
                    </a:prstGeom>
                    <a:noFill/>
                    <a:ln>
                      <a:noFill/>
                    </a:ln>
                  </pic:spPr>
                </pic:pic>
              </a:graphicData>
            </a:graphic>
          </wp:inline>
        </w:drawing>
      </w:r>
    </w:p>
    <w:p w:rsidR="004C7560" w:rsidRDefault="004C7560" w:rsidP="004A69E4">
      <w:pPr>
        <w:spacing w:line="360" w:lineRule="auto"/>
        <w:jc w:val="both"/>
        <w:rPr>
          <w:rFonts w:ascii="Times New Roman" w:eastAsia="Microsoft JhengHei" w:hAnsi="Times New Roman" w:cs="Times New Roman"/>
          <w:sz w:val="24"/>
          <w:szCs w:val="24"/>
        </w:rPr>
      </w:pPr>
    </w:p>
    <w:p w:rsidR="004A69E4" w:rsidRPr="005D082F" w:rsidRDefault="004A69E4" w:rsidP="004A69E4">
      <w:pPr>
        <w:spacing w:line="360" w:lineRule="auto"/>
        <w:jc w:val="both"/>
        <w:rPr>
          <w:rFonts w:ascii="Times New Roman" w:eastAsia="Microsoft JhengHei" w:hAnsi="Times New Roman" w:cs="Times New Roman"/>
          <w:sz w:val="24"/>
          <w:szCs w:val="24"/>
        </w:rPr>
      </w:pPr>
      <w:r>
        <w:rPr>
          <w:rFonts w:ascii="Times New Roman" w:eastAsia="Microsoft JhengHei" w:hAnsi="Times New Roman" w:cs="Times New Roman"/>
          <w:sz w:val="24"/>
          <w:szCs w:val="24"/>
        </w:rPr>
        <w:t>As of January 2017</w:t>
      </w:r>
      <w:r w:rsidRPr="005D082F">
        <w:rPr>
          <w:rFonts w:ascii="Times New Roman" w:eastAsia="Microsoft JhengHei" w:hAnsi="Times New Roman" w:cs="Times New Roman"/>
          <w:sz w:val="24"/>
          <w:szCs w:val="24"/>
        </w:rPr>
        <w:t>, the number o</w:t>
      </w:r>
      <w:r>
        <w:rPr>
          <w:rFonts w:ascii="Times New Roman" w:eastAsia="Microsoft JhengHei" w:hAnsi="Times New Roman" w:cs="Times New Roman"/>
          <w:sz w:val="24"/>
          <w:szCs w:val="24"/>
        </w:rPr>
        <w:t>f eligible consumer meters was 4 millions 579</w:t>
      </w:r>
      <w:r w:rsidRPr="005D082F">
        <w:rPr>
          <w:rFonts w:ascii="Times New Roman" w:eastAsia="Microsoft JhengHei" w:hAnsi="Times New Roman" w:cs="Times New Roman"/>
          <w:sz w:val="24"/>
          <w:szCs w:val="24"/>
        </w:rPr>
        <w:t xml:space="preserve"> thousands, which were </w:t>
      </w:r>
      <w:r>
        <w:rPr>
          <w:rFonts w:ascii="Times New Roman" w:eastAsia="Microsoft JhengHei" w:hAnsi="Times New Roman" w:cs="Times New Roman"/>
          <w:sz w:val="24"/>
          <w:szCs w:val="24"/>
        </w:rPr>
        <w:t>de</w:t>
      </w:r>
      <w:r w:rsidRPr="005D082F">
        <w:rPr>
          <w:rFonts w:ascii="Times New Roman" w:eastAsia="Microsoft JhengHei" w:hAnsi="Times New Roman" w:cs="Times New Roman"/>
          <w:sz w:val="24"/>
          <w:szCs w:val="24"/>
        </w:rPr>
        <w:t xml:space="preserve">creased by </w:t>
      </w:r>
      <w:r>
        <w:rPr>
          <w:rFonts w:ascii="Times New Roman" w:eastAsia="Microsoft JhengHei" w:hAnsi="Times New Roman" w:cs="Times New Roman"/>
          <w:sz w:val="24"/>
          <w:szCs w:val="24"/>
        </w:rPr>
        <w:t>96,8</w:t>
      </w:r>
      <w:r w:rsidRPr="005D082F">
        <w:rPr>
          <w:rFonts w:ascii="Times New Roman" w:eastAsia="Microsoft JhengHei" w:hAnsi="Times New Roman" w:cs="Times New Roman"/>
          <w:sz w:val="24"/>
          <w:szCs w:val="24"/>
        </w:rPr>
        <w:t xml:space="preserve"> % and reached to </w:t>
      </w:r>
      <w:r>
        <w:rPr>
          <w:rFonts w:ascii="Times New Roman" w:eastAsia="Microsoft JhengHei" w:hAnsi="Times New Roman" w:cs="Times New Roman"/>
          <w:sz w:val="24"/>
          <w:szCs w:val="24"/>
        </w:rPr>
        <w:t>146</w:t>
      </w:r>
      <w:r w:rsidRPr="005D082F">
        <w:rPr>
          <w:rFonts w:ascii="Times New Roman" w:eastAsia="Microsoft JhengHei" w:hAnsi="Times New Roman" w:cs="Times New Roman"/>
          <w:sz w:val="24"/>
          <w:szCs w:val="24"/>
        </w:rPr>
        <w:t xml:space="preserve"> thousands by the end of </w:t>
      </w:r>
      <w:r>
        <w:rPr>
          <w:rFonts w:ascii="Times New Roman" w:eastAsia="Microsoft JhengHei" w:hAnsi="Times New Roman" w:cs="Times New Roman"/>
          <w:sz w:val="24"/>
          <w:szCs w:val="24"/>
        </w:rPr>
        <w:t>2018</w:t>
      </w:r>
      <w:r w:rsidRPr="005D082F">
        <w:rPr>
          <w:rFonts w:ascii="Times New Roman" w:eastAsia="Microsoft JhengHei" w:hAnsi="Times New Roman" w:cs="Times New Roman"/>
          <w:sz w:val="24"/>
          <w:szCs w:val="24"/>
        </w:rPr>
        <w:t xml:space="preserve">. This number corresponds to </w:t>
      </w:r>
      <w:r>
        <w:rPr>
          <w:rFonts w:ascii="Times New Roman" w:eastAsia="Microsoft JhengHei" w:hAnsi="Times New Roman" w:cs="Times New Roman"/>
          <w:sz w:val="24"/>
          <w:szCs w:val="24"/>
        </w:rPr>
        <w:t>0,34</w:t>
      </w:r>
      <w:r w:rsidRPr="005D082F">
        <w:rPr>
          <w:rFonts w:ascii="Times New Roman" w:eastAsia="Microsoft JhengHei" w:hAnsi="Times New Roman" w:cs="Times New Roman"/>
          <w:sz w:val="24"/>
          <w:szCs w:val="24"/>
        </w:rPr>
        <w:t xml:space="preserve"> % of the total number of consumer meters. </w:t>
      </w:r>
    </w:p>
    <w:p w:rsidR="004A69E4" w:rsidRDefault="004A69E4" w:rsidP="004A69E4">
      <w:pPr>
        <w:spacing w:line="360" w:lineRule="auto"/>
        <w:jc w:val="both"/>
        <w:rPr>
          <w:rFonts w:ascii="Times New Roman" w:eastAsia="Microsoft JhengHei" w:hAnsi="Times New Roman" w:cs="Times New Roman"/>
          <w:sz w:val="24"/>
          <w:szCs w:val="24"/>
        </w:rPr>
      </w:pPr>
      <w:r w:rsidRPr="005D082F">
        <w:rPr>
          <w:rFonts w:ascii="Times New Roman" w:eastAsia="Microsoft JhengHei" w:hAnsi="Times New Roman" w:cs="Times New Roman"/>
          <w:sz w:val="24"/>
          <w:szCs w:val="24"/>
        </w:rPr>
        <w:t xml:space="preserve">The number of eligible consumers on the basis of distribution regions is shown in Figure 3.3. When the graph is examined, it is seen that the biggest shares were of Boğaziçi, </w:t>
      </w:r>
      <w:r>
        <w:rPr>
          <w:rFonts w:ascii="Times New Roman" w:eastAsia="Microsoft JhengHei" w:hAnsi="Times New Roman" w:cs="Times New Roman"/>
          <w:sz w:val="24"/>
          <w:szCs w:val="24"/>
        </w:rPr>
        <w:t>Osmangazi</w:t>
      </w:r>
      <w:r w:rsidRPr="005D082F">
        <w:rPr>
          <w:rFonts w:ascii="Times New Roman" w:eastAsia="Microsoft JhengHei" w:hAnsi="Times New Roman" w:cs="Times New Roman"/>
          <w:sz w:val="24"/>
          <w:szCs w:val="24"/>
        </w:rPr>
        <w:t xml:space="preserve"> and </w:t>
      </w:r>
      <w:r>
        <w:rPr>
          <w:rFonts w:ascii="Times New Roman" w:eastAsia="Microsoft JhengHei" w:hAnsi="Times New Roman" w:cs="Times New Roman"/>
          <w:sz w:val="24"/>
          <w:szCs w:val="24"/>
        </w:rPr>
        <w:t>Uludağ</w:t>
      </w:r>
      <w:r w:rsidRPr="005D082F">
        <w:rPr>
          <w:rFonts w:ascii="Times New Roman" w:eastAsia="Microsoft JhengHei" w:hAnsi="Times New Roman" w:cs="Times New Roman"/>
          <w:sz w:val="24"/>
          <w:szCs w:val="24"/>
        </w:rPr>
        <w:t xml:space="preserve"> regions respectively.</w:t>
      </w:r>
    </w:p>
    <w:p w:rsidR="004C7560" w:rsidRDefault="004C7560" w:rsidP="004A69E4">
      <w:pPr>
        <w:pStyle w:val="Balk2"/>
      </w:pPr>
      <w:bookmarkStart w:id="682" w:name="_Toc10123909"/>
      <w:bookmarkStart w:id="683" w:name="_Toc494988664"/>
      <w:bookmarkStart w:id="684" w:name="_Toc520822135"/>
    </w:p>
    <w:p w:rsidR="004A69E4" w:rsidRDefault="004A69E4" w:rsidP="004A69E4">
      <w:pPr>
        <w:pStyle w:val="Balk2"/>
      </w:pPr>
      <w:bookmarkStart w:id="685" w:name="_Toc12526282"/>
      <w:bookmarkStart w:id="686" w:name="_Toc12535901"/>
      <w:r w:rsidRPr="0077239A">
        <w:t>Figure</w:t>
      </w:r>
      <w:r>
        <w:t xml:space="preserve"> 3.3</w:t>
      </w:r>
      <w:r w:rsidRPr="0077239A">
        <w:t xml:space="preserve">: </w:t>
      </w:r>
      <w:r w:rsidRPr="00AC2D41">
        <w:t>Distribution of Eligible Consumer</w:t>
      </w:r>
      <w:r>
        <w:t>s</w:t>
      </w:r>
      <w:r w:rsidRPr="00AC2D41">
        <w:t xml:space="preserve"> by </w:t>
      </w:r>
      <w:r>
        <w:t>D</w:t>
      </w:r>
      <w:r w:rsidRPr="00AC2D41">
        <w:t xml:space="preserve">istribution </w:t>
      </w:r>
      <w:r>
        <w:t>Regions by end of 2018</w:t>
      </w:r>
      <w:bookmarkEnd w:id="682"/>
      <w:bookmarkEnd w:id="683"/>
      <w:bookmarkEnd w:id="684"/>
      <w:bookmarkEnd w:id="685"/>
      <w:bookmarkEnd w:id="686"/>
    </w:p>
    <w:p w:rsidR="004A69E4" w:rsidRPr="005D082F" w:rsidRDefault="004A69E4" w:rsidP="004A69E4">
      <w:pPr>
        <w:spacing w:line="360" w:lineRule="auto"/>
        <w:jc w:val="center"/>
        <w:rPr>
          <w:rFonts w:ascii="Times New Roman" w:eastAsia="Microsoft JhengHei" w:hAnsi="Times New Roman" w:cs="Times New Roman"/>
          <w:sz w:val="24"/>
          <w:szCs w:val="24"/>
        </w:rPr>
      </w:pPr>
      <w:r>
        <w:rPr>
          <w:rFonts w:ascii="Times New Roman" w:eastAsia="Microsoft JhengHei" w:hAnsi="Times New Roman" w:cs="Times New Roman"/>
          <w:noProof/>
          <w:sz w:val="24"/>
          <w:szCs w:val="24"/>
          <w:lang w:bidi="ar-SA"/>
        </w:rPr>
        <w:drawing>
          <wp:inline distT="0" distB="0" distL="0" distR="0" wp14:anchorId="10E4ACFA" wp14:editId="2FCCB967">
            <wp:extent cx="5753100" cy="3419475"/>
            <wp:effectExtent l="0" t="0" r="0" b="9525"/>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53100" cy="3419475"/>
                    </a:xfrm>
                    <a:prstGeom prst="rect">
                      <a:avLst/>
                    </a:prstGeom>
                    <a:noFill/>
                    <a:ln>
                      <a:noFill/>
                    </a:ln>
                  </pic:spPr>
                </pic:pic>
              </a:graphicData>
            </a:graphic>
          </wp:inline>
        </w:drawing>
      </w:r>
    </w:p>
    <w:p w:rsidR="004A69E4" w:rsidRPr="00B24DA2" w:rsidRDefault="004A69E4" w:rsidP="004A69E4">
      <w:pPr>
        <w:spacing w:line="360" w:lineRule="auto"/>
        <w:jc w:val="both"/>
        <w:rPr>
          <w:rFonts w:ascii="Times New Roman" w:hAnsi="Times New Roman" w:cs="Times New Roman"/>
        </w:rPr>
      </w:pPr>
      <w:bookmarkStart w:id="687" w:name="_Toc404588256"/>
      <w:bookmarkStart w:id="688" w:name="_Toc432165757"/>
      <w:bookmarkStart w:id="689" w:name="_Toc450307006"/>
      <w:bookmarkStart w:id="690" w:name="_Toc450307117"/>
      <w:bookmarkStart w:id="691" w:name="_Toc450307941"/>
      <w:r w:rsidRPr="00B24DA2">
        <w:rPr>
          <w:rFonts w:ascii="Times New Roman" w:hAnsi="Times New Roman" w:cs="Times New Roman"/>
          <w:sz w:val="24"/>
          <w:szCs w:val="24"/>
        </w:rPr>
        <w:t xml:space="preserve">When the figure examined according to distribution region, the four regions where eligible consumers had the highest consumption were Boğaziçi, Başkent, GDZ and İstanbul Anatolian Side distribution regions. </w:t>
      </w:r>
    </w:p>
    <w:bookmarkEnd w:id="687"/>
    <w:bookmarkEnd w:id="688"/>
    <w:bookmarkEnd w:id="689"/>
    <w:bookmarkEnd w:id="690"/>
    <w:bookmarkEnd w:id="691"/>
    <w:p w:rsidR="004A69E4" w:rsidRPr="00B24DA2" w:rsidRDefault="004A69E4" w:rsidP="004A69E4">
      <w:pPr>
        <w:spacing w:line="360" w:lineRule="auto"/>
        <w:jc w:val="both"/>
        <w:rPr>
          <w:rFonts w:ascii="Times New Roman" w:hAnsi="Times New Roman" w:cs="Times New Roman"/>
          <w:sz w:val="24"/>
          <w:szCs w:val="24"/>
        </w:rPr>
      </w:pPr>
      <w:r w:rsidRPr="00B24DA2">
        <w:rPr>
          <w:rFonts w:ascii="Times New Roman" w:hAnsi="Times New Roman" w:cs="Times New Roman"/>
          <w:sz w:val="24"/>
          <w:szCs w:val="24"/>
        </w:rPr>
        <w:t>Figure 3.4 below shows the distribution of eligible consumers’ consumption by supplier type. In 2018, the share of incumbent suppliers was decreased compared to 2017, and the share of other suppliers was increased.</w:t>
      </w:r>
    </w:p>
    <w:p w:rsidR="004A69E4" w:rsidRDefault="004A69E4" w:rsidP="004A69E4">
      <w:pPr>
        <w:pStyle w:val="Balk2"/>
      </w:pPr>
      <w:bookmarkStart w:id="692" w:name="_Toc487101667"/>
      <w:bookmarkStart w:id="693" w:name="_Toc520822136"/>
      <w:bookmarkStart w:id="694" w:name="_Toc10123910"/>
      <w:bookmarkStart w:id="695" w:name="_Toc12526283"/>
      <w:bookmarkStart w:id="696" w:name="_Toc12535902"/>
      <w:r>
        <w:lastRenderedPageBreak/>
        <w:t>Figure</w:t>
      </w:r>
      <w:r w:rsidRPr="00627962">
        <w:t xml:space="preserve"> </w:t>
      </w:r>
      <w:r>
        <w:fldChar w:fldCharType="begin"/>
      </w:r>
      <w:r>
        <w:instrText xml:space="preserve"> STYLEREF 1 \s </w:instrText>
      </w:r>
      <w:r>
        <w:fldChar w:fldCharType="separate"/>
      </w:r>
      <w:r w:rsidRPr="00627962">
        <w:t>3</w:t>
      </w:r>
      <w:r>
        <w:fldChar w:fldCharType="end"/>
      </w:r>
      <w:r w:rsidRPr="00627962">
        <w:t>.</w:t>
      </w:r>
      <w:r>
        <w:t>4</w:t>
      </w:r>
      <w:r w:rsidRPr="00627962">
        <w:t xml:space="preserve">: </w:t>
      </w:r>
      <w:bookmarkEnd w:id="692"/>
      <w:r w:rsidRPr="00D11213">
        <w:t xml:space="preserve">Distribution of Eligible Consumer Consumption by </w:t>
      </w:r>
      <w:r>
        <w:t>S</w:t>
      </w:r>
      <w:r w:rsidRPr="00D11213">
        <w:t xml:space="preserve">uppliers </w:t>
      </w:r>
      <w:r>
        <w:t>T</w:t>
      </w:r>
      <w:r w:rsidRPr="00D11213">
        <w:t>ype (%)</w:t>
      </w:r>
      <w:bookmarkEnd w:id="693"/>
      <w:bookmarkEnd w:id="694"/>
      <w:bookmarkEnd w:id="695"/>
      <w:bookmarkEnd w:id="696"/>
    </w:p>
    <w:p w:rsidR="004A69E4" w:rsidRPr="005D082F" w:rsidRDefault="004A69E4" w:rsidP="004A69E4">
      <w:pPr>
        <w:jc w:val="center"/>
      </w:pPr>
      <w:r>
        <w:rPr>
          <w:noProof/>
          <w:lang w:bidi="ar-SA"/>
        </w:rPr>
        <w:drawing>
          <wp:inline distT="0" distB="0" distL="0" distR="0" wp14:anchorId="5BF1824D" wp14:editId="5B20B4AA">
            <wp:extent cx="5257800" cy="2609850"/>
            <wp:effectExtent l="0" t="0" r="0"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57800" cy="2609850"/>
                    </a:xfrm>
                    <a:prstGeom prst="rect">
                      <a:avLst/>
                    </a:prstGeom>
                    <a:noFill/>
                    <a:ln>
                      <a:noFill/>
                    </a:ln>
                  </pic:spPr>
                </pic:pic>
              </a:graphicData>
            </a:graphic>
          </wp:inline>
        </w:drawing>
      </w:r>
    </w:p>
    <w:p w:rsidR="004A69E4" w:rsidRDefault="004A69E4" w:rsidP="004A69E4">
      <w:pPr>
        <w:spacing w:line="360" w:lineRule="auto"/>
        <w:jc w:val="both"/>
        <w:rPr>
          <w:rFonts w:ascii="Times New Roman" w:hAnsi="Times New Roman" w:cs="Times New Roman"/>
          <w:sz w:val="24"/>
          <w:szCs w:val="24"/>
        </w:rPr>
      </w:pPr>
      <w:r w:rsidRPr="00B24DA2">
        <w:rPr>
          <w:rFonts w:ascii="Times New Roman" w:hAnsi="Times New Roman" w:cs="Times New Roman"/>
          <w:sz w:val="24"/>
          <w:szCs w:val="24"/>
        </w:rPr>
        <w:t>Figure 3.5 shows the monthly changes in the number of consumers switching supplier and their consumption.</w:t>
      </w:r>
    </w:p>
    <w:p w:rsidR="004A69E4" w:rsidRPr="0054691E" w:rsidRDefault="004A69E4" w:rsidP="004A69E4">
      <w:pPr>
        <w:pStyle w:val="Balk2"/>
      </w:pPr>
      <w:bookmarkStart w:id="697" w:name="_Toc520822137"/>
      <w:bookmarkStart w:id="698" w:name="_Toc10123911"/>
      <w:bookmarkStart w:id="699" w:name="_Toc12526284"/>
      <w:bookmarkStart w:id="700" w:name="_Toc12535903"/>
      <w:r>
        <w:t>Figure</w:t>
      </w:r>
      <w:r w:rsidRPr="0054691E">
        <w:t xml:space="preserve"> </w:t>
      </w:r>
      <w:r>
        <w:rPr>
          <w:noProof/>
        </w:rPr>
        <w:fldChar w:fldCharType="begin"/>
      </w:r>
      <w:r>
        <w:rPr>
          <w:noProof/>
        </w:rPr>
        <w:instrText xml:space="preserve"> STYLEREF 1 \s </w:instrText>
      </w:r>
      <w:r>
        <w:rPr>
          <w:noProof/>
        </w:rPr>
        <w:fldChar w:fldCharType="separate"/>
      </w:r>
      <w:r w:rsidRPr="0054691E">
        <w:rPr>
          <w:noProof/>
        </w:rPr>
        <w:t>3</w:t>
      </w:r>
      <w:r>
        <w:rPr>
          <w:noProof/>
        </w:rPr>
        <w:fldChar w:fldCharType="end"/>
      </w:r>
      <w:r>
        <w:t>.5</w:t>
      </w:r>
      <w:r w:rsidRPr="0054691E">
        <w:t xml:space="preserve">: </w:t>
      </w:r>
      <w:r w:rsidRPr="00D11213">
        <w:t xml:space="preserve">Monthly </w:t>
      </w:r>
      <w:r>
        <w:t>Changes</w:t>
      </w:r>
      <w:r w:rsidRPr="00D11213">
        <w:t xml:space="preserve"> in Number and Consumptions of Eligible Consumers </w:t>
      </w:r>
      <w:r>
        <w:t>Switching Their</w:t>
      </w:r>
      <w:r w:rsidRPr="00D11213">
        <w:t xml:space="preserve"> Supplier </w:t>
      </w:r>
      <w:r>
        <w:t>(Number</w:t>
      </w:r>
      <w:r w:rsidRPr="0077239A">
        <w:t>-MWh)</w:t>
      </w:r>
      <w:bookmarkEnd w:id="697"/>
      <w:bookmarkEnd w:id="698"/>
      <w:bookmarkEnd w:id="699"/>
      <w:bookmarkEnd w:id="700"/>
    </w:p>
    <w:p w:rsidR="004A69E4" w:rsidRDefault="004A69E4" w:rsidP="004A69E4">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ar-SA"/>
        </w:rPr>
        <w:drawing>
          <wp:inline distT="0" distB="0" distL="0" distR="0" wp14:anchorId="10BFBECB" wp14:editId="27072DD7">
            <wp:extent cx="5753100" cy="2924175"/>
            <wp:effectExtent l="0" t="0" r="0" b="9525"/>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53100" cy="2924175"/>
                    </a:xfrm>
                    <a:prstGeom prst="rect">
                      <a:avLst/>
                    </a:prstGeom>
                    <a:noFill/>
                    <a:ln>
                      <a:noFill/>
                    </a:ln>
                  </pic:spPr>
                </pic:pic>
              </a:graphicData>
            </a:graphic>
          </wp:inline>
        </w:drawing>
      </w:r>
    </w:p>
    <w:p w:rsidR="004A69E4" w:rsidRPr="0099731C" w:rsidRDefault="004A69E4" w:rsidP="004A69E4">
      <w:pPr>
        <w:spacing w:line="360" w:lineRule="auto"/>
        <w:jc w:val="both"/>
        <w:rPr>
          <w:rFonts w:ascii="Times New Roman" w:hAnsi="Times New Roman" w:cs="Times New Roman"/>
          <w:sz w:val="24"/>
          <w:szCs w:val="24"/>
        </w:rPr>
      </w:pPr>
      <w:bookmarkStart w:id="701" w:name="_Toc404588258"/>
      <w:bookmarkStart w:id="702" w:name="_Toc432165759"/>
      <w:bookmarkStart w:id="703" w:name="_Toc450307008"/>
      <w:bookmarkStart w:id="704" w:name="_Toc450307119"/>
      <w:bookmarkStart w:id="705" w:name="_Toc450307943"/>
      <w:r w:rsidRPr="0099731C">
        <w:rPr>
          <w:rFonts w:ascii="Times New Roman" w:hAnsi="Times New Roman" w:cs="Times New Roman"/>
          <w:sz w:val="24"/>
          <w:szCs w:val="24"/>
        </w:rPr>
        <w:t xml:space="preserve">In 2018, the number of eligible consumers switched their suppliers was 4.4 million. 4.2 million of </w:t>
      </w:r>
      <w:r>
        <w:rPr>
          <w:rFonts w:ascii="Times New Roman" w:hAnsi="Times New Roman" w:cs="Times New Roman"/>
          <w:sz w:val="24"/>
          <w:szCs w:val="24"/>
        </w:rPr>
        <w:t>which</w:t>
      </w:r>
      <w:r w:rsidRPr="0099731C">
        <w:rPr>
          <w:rFonts w:ascii="Times New Roman" w:hAnsi="Times New Roman" w:cs="Times New Roman"/>
          <w:sz w:val="24"/>
          <w:szCs w:val="24"/>
        </w:rPr>
        <w:t xml:space="preserve"> is consumers </w:t>
      </w:r>
      <w:r>
        <w:rPr>
          <w:rFonts w:ascii="Times New Roman" w:hAnsi="Times New Roman" w:cs="Times New Roman"/>
          <w:sz w:val="24"/>
          <w:szCs w:val="24"/>
        </w:rPr>
        <w:t>switching</w:t>
      </w:r>
      <w:r w:rsidRPr="0099731C">
        <w:rPr>
          <w:rFonts w:ascii="Times New Roman" w:hAnsi="Times New Roman" w:cs="Times New Roman"/>
          <w:sz w:val="24"/>
          <w:szCs w:val="24"/>
        </w:rPr>
        <w:t xml:space="preserve"> to regulated tariffs.</w:t>
      </w:r>
      <w:r>
        <w:rPr>
          <w:rFonts w:ascii="Times New Roman" w:hAnsi="Times New Roman" w:cs="Times New Roman"/>
          <w:sz w:val="24"/>
          <w:szCs w:val="24"/>
        </w:rPr>
        <w:t xml:space="preserve"> </w:t>
      </w:r>
      <w:r w:rsidRPr="0099731C">
        <w:rPr>
          <w:rFonts w:ascii="Times New Roman" w:hAnsi="Times New Roman" w:cs="Times New Roman"/>
          <w:sz w:val="24"/>
          <w:szCs w:val="24"/>
        </w:rPr>
        <w:t>The total consumption of eligible consumers switching suppliers was 7,44 TWh, which corresponds to 3,3 % of total invoiced consumption.</w:t>
      </w:r>
    </w:p>
    <w:p w:rsidR="004A69E4" w:rsidRPr="0099731C" w:rsidRDefault="004A69E4" w:rsidP="004A69E4">
      <w:pPr>
        <w:spacing w:line="360" w:lineRule="auto"/>
        <w:jc w:val="both"/>
        <w:rPr>
          <w:rFonts w:ascii="Times New Roman" w:hAnsi="Times New Roman" w:cs="Times New Roman"/>
          <w:sz w:val="24"/>
          <w:szCs w:val="24"/>
        </w:rPr>
      </w:pPr>
      <w:bookmarkStart w:id="706" w:name="_Toc487101591"/>
      <w:r w:rsidRPr="0099731C">
        <w:rPr>
          <w:rFonts w:ascii="Times New Roman" w:hAnsi="Times New Roman" w:cs="Times New Roman"/>
          <w:sz w:val="24"/>
          <w:szCs w:val="24"/>
        </w:rPr>
        <w:t>In the following Table 3.3 distribution of eligible consumers’ switches by supplier type is shown.</w:t>
      </w:r>
      <w:bookmarkEnd w:id="706"/>
    </w:p>
    <w:p w:rsidR="004A69E4" w:rsidRDefault="004A69E4" w:rsidP="004A69E4">
      <w:pPr>
        <w:pStyle w:val="Balk1"/>
      </w:pPr>
      <w:bookmarkStart w:id="707" w:name="_Toc487101590"/>
      <w:bookmarkStart w:id="708" w:name="_Toc514674261"/>
      <w:bookmarkStart w:id="709" w:name="_Toc520822057"/>
      <w:bookmarkStart w:id="710" w:name="_Toc10123912"/>
      <w:bookmarkStart w:id="711" w:name="_Toc10191438"/>
      <w:bookmarkStart w:id="712" w:name="_Toc12526285"/>
      <w:r>
        <w:lastRenderedPageBreak/>
        <w:t>Table</w:t>
      </w:r>
      <w:r w:rsidRPr="000576D7">
        <w:t xml:space="preserve"> 3.3: </w:t>
      </w:r>
      <w:bookmarkEnd w:id="701"/>
      <w:bookmarkEnd w:id="702"/>
      <w:bookmarkEnd w:id="703"/>
      <w:bookmarkEnd w:id="704"/>
      <w:bookmarkEnd w:id="705"/>
      <w:bookmarkEnd w:id="707"/>
      <w:r>
        <w:t xml:space="preserve">The </w:t>
      </w:r>
      <w:bookmarkEnd w:id="708"/>
      <w:bookmarkEnd w:id="709"/>
      <w:r w:rsidRPr="005036E7">
        <w:t>Distribution of Eligible Consumers’ Switches by Supplier Type</w:t>
      </w:r>
      <w:bookmarkEnd w:id="710"/>
      <w:bookmarkEnd w:id="711"/>
      <w:bookmarkEnd w:id="712"/>
    </w:p>
    <w:tbl>
      <w:tblPr>
        <w:tblW w:w="5117" w:type="pct"/>
        <w:tblCellMar>
          <w:left w:w="70" w:type="dxa"/>
          <w:right w:w="70" w:type="dxa"/>
        </w:tblCellMar>
        <w:tblLook w:val="04A0" w:firstRow="1" w:lastRow="0" w:firstColumn="1" w:lastColumn="0" w:noHBand="0" w:noVBand="1"/>
      </w:tblPr>
      <w:tblGrid>
        <w:gridCol w:w="2102"/>
        <w:gridCol w:w="1339"/>
        <w:gridCol w:w="1719"/>
        <w:gridCol w:w="1778"/>
        <w:gridCol w:w="1174"/>
        <w:gridCol w:w="1314"/>
      </w:tblGrid>
      <w:tr w:rsidR="004A69E4" w:rsidRPr="00F27636" w:rsidTr="004A69E4">
        <w:trPr>
          <w:trHeight w:val="315"/>
        </w:trPr>
        <w:tc>
          <w:tcPr>
            <w:tcW w:w="1115"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Former Supplier Type</w:t>
            </w:r>
          </w:p>
        </w:tc>
        <w:tc>
          <w:tcPr>
            <w:tcW w:w="3137" w:type="pct"/>
            <w:gridSpan w:val="4"/>
            <w:tcBorders>
              <w:top w:val="single" w:sz="8" w:space="0" w:color="auto"/>
              <w:left w:val="nil"/>
              <w:bottom w:val="single" w:sz="8" w:space="0" w:color="auto"/>
              <w:right w:val="single" w:sz="8" w:space="0" w:color="000000"/>
            </w:tcBorders>
            <w:shd w:val="clear" w:color="000000" w:fill="FF0000"/>
            <w:noWrap/>
            <w:vAlign w:val="center"/>
            <w:hideMark/>
          </w:tcPr>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New Supplier Type</w:t>
            </w:r>
          </w:p>
        </w:tc>
        <w:tc>
          <w:tcPr>
            <w:tcW w:w="748" w:type="pct"/>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r>
      <w:tr w:rsidR="004A69E4" w:rsidRPr="00F27636" w:rsidTr="004A69E4">
        <w:trPr>
          <w:trHeight w:val="315"/>
        </w:trPr>
        <w:tc>
          <w:tcPr>
            <w:tcW w:w="1115" w:type="pct"/>
            <w:vMerge/>
            <w:tcBorders>
              <w:top w:val="single" w:sz="8" w:space="0" w:color="auto"/>
              <w:left w:val="single" w:sz="8" w:space="0" w:color="auto"/>
              <w:bottom w:val="single" w:sz="8" w:space="0" w:color="000000"/>
              <w:right w:val="single" w:sz="8" w:space="0" w:color="auto"/>
            </w:tcBorders>
            <w:vAlign w:val="center"/>
            <w:hideMark/>
          </w:tcPr>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p>
        </w:tc>
        <w:tc>
          <w:tcPr>
            <w:tcW w:w="752" w:type="pct"/>
            <w:tcBorders>
              <w:top w:val="nil"/>
              <w:left w:val="nil"/>
              <w:bottom w:val="single" w:sz="8" w:space="0" w:color="auto"/>
              <w:right w:val="single" w:sz="8" w:space="0" w:color="auto"/>
            </w:tcBorders>
            <w:shd w:val="clear" w:color="000000" w:fill="FF0000"/>
            <w:noWrap/>
            <w:vAlign w:val="center"/>
            <w:hideMark/>
          </w:tcPr>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Other Supply</w:t>
            </w:r>
          </w:p>
        </w:tc>
        <w:tc>
          <w:tcPr>
            <w:tcW w:w="972" w:type="pct"/>
            <w:tcBorders>
              <w:top w:val="nil"/>
              <w:left w:val="nil"/>
              <w:bottom w:val="single" w:sz="8" w:space="0" w:color="auto"/>
              <w:right w:val="single" w:sz="8" w:space="0" w:color="auto"/>
            </w:tcBorders>
            <w:shd w:val="clear" w:color="000000" w:fill="FF0000"/>
            <w:noWrap/>
            <w:vAlign w:val="center"/>
            <w:hideMark/>
          </w:tcPr>
          <w:p w:rsidR="004A69E4"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 xml:space="preserve">Incumbent </w:t>
            </w:r>
          </w:p>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Supplier</w:t>
            </w:r>
            <w:r w:rsidRPr="00F27636">
              <w:rPr>
                <w:rFonts w:ascii="Calibri" w:eastAsia="Times New Roman" w:hAnsi="Calibri" w:cs="Times New Roman"/>
                <w:b/>
                <w:bCs/>
                <w:color w:val="FFFFFF"/>
                <w:lang w:eastAsia="tr-TR" w:bidi="ar-SA"/>
              </w:rPr>
              <w:t>-K1</w:t>
            </w:r>
          </w:p>
        </w:tc>
        <w:tc>
          <w:tcPr>
            <w:tcW w:w="994" w:type="pct"/>
            <w:tcBorders>
              <w:top w:val="nil"/>
              <w:left w:val="nil"/>
              <w:bottom w:val="single" w:sz="8" w:space="0" w:color="auto"/>
              <w:right w:val="single" w:sz="8" w:space="0" w:color="auto"/>
            </w:tcBorders>
            <w:shd w:val="clear" w:color="000000" w:fill="FF0000"/>
            <w:noWrap/>
            <w:vAlign w:val="center"/>
            <w:hideMark/>
          </w:tcPr>
          <w:p w:rsidR="004A69E4"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Incumbent</w:t>
            </w:r>
          </w:p>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Supplier</w:t>
            </w:r>
            <w:r w:rsidRPr="00F27636">
              <w:rPr>
                <w:rFonts w:ascii="Calibri" w:eastAsia="Times New Roman" w:hAnsi="Calibri" w:cs="Times New Roman"/>
                <w:b/>
                <w:bCs/>
                <w:color w:val="FFFFFF"/>
                <w:lang w:eastAsia="tr-TR" w:bidi="ar-SA"/>
              </w:rPr>
              <w:t>-K2</w:t>
            </w:r>
          </w:p>
        </w:tc>
        <w:tc>
          <w:tcPr>
            <w:tcW w:w="419" w:type="pct"/>
            <w:tcBorders>
              <w:top w:val="nil"/>
              <w:left w:val="nil"/>
              <w:bottom w:val="single" w:sz="8" w:space="0" w:color="auto"/>
              <w:right w:val="single" w:sz="8" w:space="0" w:color="auto"/>
            </w:tcBorders>
            <w:shd w:val="clear" w:color="000000" w:fill="FF0000"/>
            <w:noWrap/>
            <w:vAlign w:val="center"/>
            <w:hideMark/>
          </w:tcPr>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Generation</w:t>
            </w:r>
          </w:p>
        </w:tc>
        <w:tc>
          <w:tcPr>
            <w:tcW w:w="748" w:type="pct"/>
            <w:vMerge/>
            <w:tcBorders>
              <w:top w:val="single" w:sz="8" w:space="0" w:color="auto"/>
              <w:left w:val="single" w:sz="8" w:space="0" w:color="auto"/>
              <w:bottom w:val="single" w:sz="8" w:space="0" w:color="000000"/>
              <w:right w:val="single" w:sz="8" w:space="0" w:color="auto"/>
            </w:tcBorders>
            <w:vAlign w:val="center"/>
            <w:hideMark/>
          </w:tcPr>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p>
        </w:tc>
      </w:tr>
      <w:tr w:rsidR="004A69E4" w:rsidRPr="00903CC8" w:rsidTr="004A69E4">
        <w:trPr>
          <w:trHeight w:val="580"/>
        </w:trPr>
        <w:tc>
          <w:tcPr>
            <w:tcW w:w="1115" w:type="pct"/>
            <w:tcBorders>
              <w:top w:val="nil"/>
              <w:left w:val="single" w:sz="8" w:space="0" w:color="auto"/>
              <w:bottom w:val="single" w:sz="8" w:space="0" w:color="auto"/>
              <w:right w:val="single" w:sz="8" w:space="0" w:color="auto"/>
            </w:tcBorders>
            <w:shd w:val="clear" w:color="000000" w:fill="FF5050"/>
            <w:noWrap/>
            <w:vAlign w:val="center"/>
          </w:tcPr>
          <w:p w:rsidR="004A69E4" w:rsidRPr="00903CC8" w:rsidRDefault="004A69E4" w:rsidP="004A69E4">
            <w:pPr>
              <w:spacing w:after="0" w:line="240" w:lineRule="auto"/>
              <w:jc w:val="both"/>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Other Supplier</w:t>
            </w:r>
          </w:p>
        </w:tc>
        <w:tc>
          <w:tcPr>
            <w:tcW w:w="752"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23.166</w:t>
            </w:r>
          </w:p>
        </w:tc>
        <w:tc>
          <w:tcPr>
            <w:tcW w:w="972"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191.837</w:t>
            </w:r>
          </w:p>
        </w:tc>
        <w:tc>
          <w:tcPr>
            <w:tcW w:w="994"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2.503</w:t>
            </w:r>
          </w:p>
        </w:tc>
        <w:tc>
          <w:tcPr>
            <w:tcW w:w="419"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772</w:t>
            </w:r>
          </w:p>
        </w:tc>
        <w:tc>
          <w:tcPr>
            <w:tcW w:w="748"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218.278</w:t>
            </w:r>
          </w:p>
        </w:tc>
      </w:tr>
      <w:tr w:rsidR="004A69E4" w:rsidRPr="00903CC8" w:rsidTr="004A69E4">
        <w:trPr>
          <w:trHeight w:val="547"/>
        </w:trPr>
        <w:tc>
          <w:tcPr>
            <w:tcW w:w="1115" w:type="pct"/>
            <w:tcBorders>
              <w:top w:val="nil"/>
              <w:left w:val="single" w:sz="8" w:space="0" w:color="auto"/>
              <w:bottom w:val="single" w:sz="8" w:space="0" w:color="auto"/>
              <w:right w:val="single" w:sz="8" w:space="0" w:color="auto"/>
            </w:tcBorders>
            <w:shd w:val="clear" w:color="000000" w:fill="FF5050"/>
            <w:noWrap/>
            <w:vAlign w:val="center"/>
          </w:tcPr>
          <w:p w:rsidR="004A69E4" w:rsidRDefault="004A69E4" w:rsidP="004A69E4">
            <w:pPr>
              <w:spacing w:after="0" w:line="240" w:lineRule="auto"/>
              <w:jc w:val="both"/>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 xml:space="preserve">Incumbent </w:t>
            </w:r>
          </w:p>
          <w:p w:rsidR="004A69E4" w:rsidRPr="00F27636" w:rsidRDefault="004A69E4" w:rsidP="004A69E4">
            <w:pPr>
              <w:spacing w:after="0" w:line="240" w:lineRule="auto"/>
              <w:jc w:val="both"/>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Supplier</w:t>
            </w:r>
            <w:r w:rsidRPr="00F27636">
              <w:rPr>
                <w:rFonts w:ascii="Calibri" w:eastAsia="Times New Roman" w:hAnsi="Calibri" w:cs="Times New Roman"/>
                <w:color w:val="FFFFFF"/>
                <w:lang w:eastAsia="tr-TR" w:bidi="ar-SA"/>
              </w:rPr>
              <w:t>-K2</w:t>
            </w:r>
          </w:p>
        </w:tc>
        <w:tc>
          <w:tcPr>
            <w:tcW w:w="752"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9.738</w:t>
            </w:r>
          </w:p>
        </w:tc>
        <w:tc>
          <w:tcPr>
            <w:tcW w:w="972"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4.203.509</w:t>
            </w:r>
          </w:p>
        </w:tc>
        <w:tc>
          <w:tcPr>
            <w:tcW w:w="994"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4.209</w:t>
            </w:r>
          </w:p>
        </w:tc>
        <w:tc>
          <w:tcPr>
            <w:tcW w:w="419"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236</w:t>
            </w:r>
          </w:p>
        </w:tc>
        <w:tc>
          <w:tcPr>
            <w:tcW w:w="748"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4.217.692</w:t>
            </w:r>
          </w:p>
        </w:tc>
      </w:tr>
      <w:tr w:rsidR="004A69E4" w:rsidRPr="00903CC8" w:rsidTr="004A69E4">
        <w:trPr>
          <w:trHeight w:val="412"/>
        </w:trPr>
        <w:tc>
          <w:tcPr>
            <w:tcW w:w="1115" w:type="pct"/>
            <w:tcBorders>
              <w:top w:val="nil"/>
              <w:left w:val="single" w:sz="8" w:space="0" w:color="auto"/>
              <w:bottom w:val="single" w:sz="8" w:space="0" w:color="auto"/>
              <w:right w:val="single" w:sz="8" w:space="0" w:color="auto"/>
            </w:tcBorders>
            <w:shd w:val="clear" w:color="000000" w:fill="FF5050"/>
            <w:noWrap/>
            <w:vAlign w:val="center"/>
          </w:tcPr>
          <w:p w:rsidR="004A69E4" w:rsidRPr="00F27636" w:rsidRDefault="004A69E4" w:rsidP="004A69E4">
            <w:pPr>
              <w:spacing w:after="0" w:line="240" w:lineRule="auto"/>
              <w:jc w:val="both"/>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Generation</w:t>
            </w:r>
          </w:p>
        </w:tc>
        <w:tc>
          <w:tcPr>
            <w:tcW w:w="752"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201</w:t>
            </w:r>
          </w:p>
        </w:tc>
        <w:tc>
          <w:tcPr>
            <w:tcW w:w="972"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5.588</w:t>
            </w:r>
          </w:p>
        </w:tc>
        <w:tc>
          <w:tcPr>
            <w:tcW w:w="994"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185</w:t>
            </w:r>
          </w:p>
        </w:tc>
        <w:tc>
          <w:tcPr>
            <w:tcW w:w="419"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2.946</w:t>
            </w:r>
          </w:p>
        </w:tc>
        <w:tc>
          <w:tcPr>
            <w:tcW w:w="748" w:type="pct"/>
            <w:tcBorders>
              <w:top w:val="nil"/>
              <w:left w:val="nil"/>
              <w:bottom w:val="single" w:sz="8" w:space="0" w:color="auto"/>
              <w:right w:val="single" w:sz="8" w:space="0" w:color="auto"/>
            </w:tcBorders>
            <w:shd w:val="clear" w:color="auto" w:fill="auto"/>
            <w:noWrap/>
            <w:vAlign w:val="center"/>
          </w:tcPr>
          <w:p w:rsidR="004A69E4" w:rsidRPr="00903CC8" w:rsidRDefault="004A69E4" w:rsidP="004A69E4">
            <w:pPr>
              <w:spacing w:after="0" w:line="240" w:lineRule="auto"/>
              <w:jc w:val="both"/>
              <w:rPr>
                <w:rFonts w:ascii="Calibri" w:eastAsia="Times New Roman" w:hAnsi="Calibri" w:cs="Times New Roman"/>
                <w:color w:val="000000"/>
                <w:lang w:eastAsia="tr-TR" w:bidi="ar-SA"/>
              </w:rPr>
            </w:pPr>
            <w:r w:rsidRPr="00903CC8">
              <w:rPr>
                <w:rFonts w:ascii="Calibri" w:eastAsia="Times New Roman" w:hAnsi="Calibri" w:cs="Times New Roman"/>
                <w:color w:val="000000"/>
                <w:lang w:eastAsia="tr-TR" w:bidi="ar-SA"/>
              </w:rPr>
              <w:t>8.920</w:t>
            </w:r>
          </w:p>
        </w:tc>
      </w:tr>
      <w:tr w:rsidR="004A69E4" w:rsidRPr="00F27636" w:rsidTr="004A69E4">
        <w:trPr>
          <w:trHeight w:val="482"/>
        </w:trPr>
        <w:tc>
          <w:tcPr>
            <w:tcW w:w="1115" w:type="pct"/>
            <w:tcBorders>
              <w:top w:val="nil"/>
              <w:left w:val="single" w:sz="8" w:space="0" w:color="auto"/>
              <w:bottom w:val="single" w:sz="8" w:space="0" w:color="auto"/>
              <w:right w:val="single" w:sz="8" w:space="0" w:color="auto"/>
            </w:tcBorders>
            <w:shd w:val="clear" w:color="000000" w:fill="FF5050"/>
            <w:noWrap/>
            <w:vAlign w:val="center"/>
            <w:hideMark/>
          </w:tcPr>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c>
          <w:tcPr>
            <w:tcW w:w="752" w:type="pct"/>
            <w:tcBorders>
              <w:top w:val="nil"/>
              <w:left w:val="nil"/>
              <w:bottom w:val="single" w:sz="8" w:space="0" w:color="auto"/>
              <w:right w:val="single" w:sz="8" w:space="0" w:color="auto"/>
            </w:tcBorders>
            <w:shd w:val="clear" w:color="000000" w:fill="FF5050"/>
            <w:noWrap/>
            <w:vAlign w:val="center"/>
            <w:hideMark/>
          </w:tcPr>
          <w:p w:rsidR="004A69E4" w:rsidRPr="00903CC8" w:rsidRDefault="004A69E4" w:rsidP="004A69E4">
            <w:pPr>
              <w:spacing w:after="0" w:line="240" w:lineRule="auto"/>
              <w:jc w:val="both"/>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33.105</w:t>
            </w:r>
          </w:p>
        </w:tc>
        <w:tc>
          <w:tcPr>
            <w:tcW w:w="972" w:type="pct"/>
            <w:tcBorders>
              <w:top w:val="nil"/>
              <w:left w:val="nil"/>
              <w:bottom w:val="single" w:sz="8" w:space="0" w:color="auto"/>
              <w:right w:val="single" w:sz="8" w:space="0" w:color="auto"/>
            </w:tcBorders>
            <w:shd w:val="clear" w:color="000000" w:fill="FF5050"/>
            <w:noWrap/>
            <w:vAlign w:val="center"/>
            <w:hideMark/>
          </w:tcPr>
          <w:p w:rsidR="004A69E4" w:rsidRPr="00903CC8" w:rsidRDefault="004A69E4" w:rsidP="004A69E4">
            <w:pPr>
              <w:spacing w:after="0" w:line="240" w:lineRule="auto"/>
              <w:jc w:val="both"/>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4.400.934</w:t>
            </w:r>
          </w:p>
        </w:tc>
        <w:tc>
          <w:tcPr>
            <w:tcW w:w="994" w:type="pct"/>
            <w:tcBorders>
              <w:top w:val="nil"/>
              <w:left w:val="nil"/>
              <w:bottom w:val="single" w:sz="8" w:space="0" w:color="auto"/>
              <w:right w:val="single" w:sz="8" w:space="0" w:color="auto"/>
            </w:tcBorders>
            <w:shd w:val="clear" w:color="000000" w:fill="FF5050"/>
            <w:noWrap/>
            <w:vAlign w:val="center"/>
            <w:hideMark/>
          </w:tcPr>
          <w:p w:rsidR="004A69E4" w:rsidRPr="00903CC8" w:rsidRDefault="004A69E4" w:rsidP="004A69E4">
            <w:pPr>
              <w:spacing w:after="0" w:line="240" w:lineRule="auto"/>
              <w:jc w:val="both"/>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6.897</w:t>
            </w:r>
          </w:p>
        </w:tc>
        <w:tc>
          <w:tcPr>
            <w:tcW w:w="419" w:type="pct"/>
            <w:tcBorders>
              <w:top w:val="nil"/>
              <w:left w:val="nil"/>
              <w:bottom w:val="single" w:sz="8" w:space="0" w:color="auto"/>
              <w:right w:val="single" w:sz="8" w:space="0" w:color="auto"/>
            </w:tcBorders>
            <w:shd w:val="clear" w:color="000000" w:fill="FF5050"/>
            <w:noWrap/>
            <w:vAlign w:val="center"/>
            <w:hideMark/>
          </w:tcPr>
          <w:p w:rsidR="004A69E4" w:rsidRPr="00903CC8" w:rsidRDefault="004A69E4" w:rsidP="004A69E4">
            <w:pPr>
              <w:spacing w:after="0" w:line="240" w:lineRule="auto"/>
              <w:jc w:val="both"/>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3.954</w:t>
            </w:r>
          </w:p>
        </w:tc>
        <w:tc>
          <w:tcPr>
            <w:tcW w:w="748" w:type="pct"/>
            <w:tcBorders>
              <w:top w:val="nil"/>
              <w:left w:val="nil"/>
              <w:bottom w:val="single" w:sz="8" w:space="0" w:color="auto"/>
              <w:right w:val="single" w:sz="8" w:space="0" w:color="auto"/>
            </w:tcBorders>
            <w:shd w:val="clear" w:color="000000" w:fill="FF5050"/>
            <w:noWrap/>
            <w:vAlign w:val="center"/>
            <w:hideMark/>
          </w:tcPr>
          <w:p w:rsidR="004A69E4" w:rsidRPr="00F27636" w:rsidRDefault="004A69E4" w:rsidP="004A69E4">
            <w:pPr>
              <w:spacing w:after="0" w:line="240" w:lineRule="auto"/>
              <w:jc w:val="both"/>
              <w:rPr>
                <w:rFonts w:ascii="Calibri" w:eastAsia="Times New Roman" w:hAnsi="Calibri" w:cs="Times New Roman"/>
                <w:b/>
                <w:bCs/>
                <w:color w:val="FFFFFF"/>
                <w:lang w:eastAsia="tr-TR" w:bidi="ar-SA"/>
              </w:rPr>
            </w:pPr>
            <w:r w:rsidRPr="00903CC8">
              <w:rPr>
                <w:rFonts w:ascii="Calibri" w:eastAsia="Times New Roman" w:hAnsi="Calibri" w:cs="Times New Roman"/>
                <w:b/>
                <w:bCs/>
                <w:color w:val="FFFFFF"/>
                <w:lang w:eastAsia="tr-TR" w:bidi="ar-SA"/>
              </w:rPr>
              <w:t>4.444.890</w:t>
            </w:r>
          </w:p>
        </w:tc>
      </w:tr>
    </w:tbl>
    <w:p w:rsidR="004A69E4" w:rsidRPr="005873CA" w:rsidRDefault="004A69E4" w:rsidP="004A69E4">
      <w:pPr>
        <w:jc w:val="both"/>
      </w:pPr>
    </w:p>
    <w:p w:rsidR="004C7560" w:rsidRDefault="004C7560" w:rsidP="0099399A">
      <w:pPr>
        <w:pStyle w:val="AnaBalklar"/>
        <w:spacing w:line="360" w:lineRule="auto"/>
        <w:jc w:val="both"/>
      </w:pPr>
    </w:p>
    <w:p w:rsidR="00160C6E" w:rsidRDefault="00160C6E" w:rsidP="0099399A">
      <w:pPr>
        <w:pStyle w:val="AnaBalklar"/>
        <w:spacing w:line="360" w:lineRule="auto"/>
        <w:jc w:val="both"/>
      </w:pPr>
      <w:bookmarkStart w:id="713" w:name="_Toc12528951"/>
      <w:r>
        <w:t>4. TRANSMISSION</w:t>
      </w:r>
      <w:bookmarkEnd w:id="10"/>
      <w:bookmarkEnd w:id="713"/>
    </w:p>
    <w:p w:rsidR="00160C6E" w:rsidRPr="00160C6E" w:rsidRDefault="00160C6E" w:rsidP="0099399A">
      <w:pPr>
        <w:spacing w:line="360" w:lineRule="auto"/>
        <w:jc w:val="both"/>
        <w:rPr>
          <w:rFonts w:ascii="Times New Roman" w:hAnsi="Times New Roman" w:cs="Times New Roman"/>
          <w:sz w:val="24"/>
          <w:szCs w:val="24"/>
        </w:rPr>
      </w:pPr>
      <w:r w:rsidRPr="00160C6E">
        <w:rPr>
          <w:rFonts w:ascii="Times New Roman" w:hAnsi="Times New Roman" w:cs="Times New Roman"/>
          <w:sz w:val="24"/>
          <w:szCs w:val="24"/>
        </w:rPr>
        <w:t>In this section, summary information about the transmission system and changes of transmission system with tables and figures according to the years are given.</w:t>
      </w:r>
    </w:p>
    <w:p w:rsidR="00160C6E" w:rsidRDefault="00160C6E" w:rsidP="0099399A">
      <w:pPr>
        <w:pStyle w:val="11ilebalayanlar"/>
        <w:jc w:val="both"/>
      </w:pPr>
      <w:bookmarkStart w:id="714" w:name="_Toc520822021"/>
      <w:bookmarkStart w:id="715" w:name="_Toc12528952"/>
      <w:r>
        <w:rPr>
          <w:rStyle w:val="11ilebalayanlarChar"/>
          <w:b/>
        </w:rPr>
        <w:t>4.1 Transmission System</w:t>
      </w:r>
      <w:bookmarkEnd w:id="714"/>
      <w:bookmarkEnd w:id="715"/>
    </w:p>
    <w:p w:rsidR="00160C6E" w:rsidRPr="00160C6E" w:rsidRDefault="00160C6E" w:rsidP="003156E5"/>
    <w:p w:rsidR="00160C6E" w:rsidRPr="00160C6E" w:rsidRDefault="00160C6E" w:rsidP="0099399A">
      <w:pPr>
        <w:spacing w:line="360" w:lineRule="auto"/>
        <w:jc w:val="both"/>
        <w:rPr>
          <w:rFonts w:ascii="Times New Roman" w:hAnsi="Times New Roman" w:cs="Times New Roman"/>
          <w:sz w:val="24"/>
          <w:szCs w:val="24"/>
        </w:rPr>
      </w:pPr>
      <w:bookmarkStart w:id="716" w:name="_Toc450300306"/>
      <w:bookmarkStart w:id="717" w:name="_Toc450309966"/>
      <w:r w:rsidRPr="00160C6E">
        <w:rPr>
          <w:rFonts w:ascii="Times New Roman" w:hAnsi="Times New Roman" w:cs="Times New Roman"/>
          <w:sz w:val="24"/>
          <w:szCs w:val="24"/>
        </w:rPr>
        <w:t>Transformer center in the transmission system by the end of 2018 is shown in the Table 4.1. As seen in the table, most of the transformer centers in the system are of 154 kV voltage level. There are 1.</w:t>
      </w:r>
      <w:r w:rsidR="00C05688">
        <w:rPr>
          <w:rFonts w:ascii="Times New Roman" w:hAnsi="Times New Roman" w:cs="Times New Roman"/>
          <w:sz w:val="24"/>
          <w:szCs w:val="24"/>
        </w:rPr>
        <w:t>161</w:t>
      </w:r>
      <w:r w:rsidRPr="00160C6E">
        <w:rPr>
          <w:rFonts w:ascii="Times New Roman" w:hAnsi="Times New Roman" w:cs="Times New Roman"/>
          <w:sz w:val="24"/>
          <w:szCs w:val="24"/>
        </w:rPr>
        <w:t xml:space="preserve"> transformer centers, </w:t>
      </w:r>
      <w:r w:rsidR="00C05688">
        <w:rPr>
          <w:rFonts w:ascii="Times New Roman" w:hAnsi="Times New Roman" w:cs="Times New Roman"/>
          <w:sz w:val="24"/>
          <w:szCs w:val="24"/>
        </w:rPr>
        <w:t>734</w:t>
      </w:r>
      <w:r w:rsidRPr="00160C6E">
        <w:rPr>
          <w:rFonts w:ascii="Times New Roman" w:hAnsi="Times New Roman" w:cs="Times New Roman"/>
          <w:sz w:val="24"/>
          <w:szCs w:val="24"/>
        </w:rPr>
        <w:t xml:space="preserve"> in TEİAŞ ownership and 427 in private ownership. The transformer capacity reached to </w:t>
      </w:r>
      <w:r w:rsidR="00C05688">
        <w:rPr>
          <w:rFonts w:ascii="Times New Roman" w:hAnsi="Times New Roman" w:cs="Times New Roman"/>
          <w:sz w:val="24"/>
          <w:szCs w:val="24"/>
        </w:rPr>
        <w:t>205.593</w:t>
      </w:r>
      <w:r w:rsidRPr="00160C6E">
        <w:rPr>
          <w:rFonts w:ascii="Times New Roman" w:hAnsi="Times New Roman" w:cs="Times New Roman"/>
          <w:sz w:val="24"/>
          <w:szCs w:val="24"/>
        </w:rPr>
        <w:t xml:space="preserve"> MVA. </w:t>
      </w:r>
      <w:r w:rsidR="00C05688">
        <w:rPr>
          <w:rFonts w:ascii="Times New Roman" w:hAnsi="Times New Roman" w:cs="Times New Roman"/>
          <w:sz w:val="24"/>
          <w:szCs w:val="24"/>
        </w:rPr>
        <w:t>173.660</w:t>
      </w:r>
      <w:r w:rsidRPr="00160C6E">
        <w:rPr>
          <w:rFonts w:ascii="Times New Roman" w:hAnsi="Times New Roman" w:cs="Times New Roman"/>
          <w:sz w:val="24"/>
          <w:szCs w:val="24"/>
        </w:rPr>
        <w:t xml:space="preserve"> MVA of this capacity belongs to TEİAŞ ownership, and the remaining which is 32.293 MVA belongs to private ownership.</w:t>
      </w:r>
    </w:p>
    <w:p w:rsidR="00651B7C" w:rsidRPr="00651B7C" w:rsidRDefault="00651B7C" w:rsidP="00651B7C">
      <w:pPr>
        <w:pStyle w:val="Balk1"/>
      </w:pPr>
      <w:bookmarkStart w:id="718" w:name="_Toc10191439"/>
      <w:bookmarkStart w:id="719" w:name="_Toc12526288"/>
      <w:r w:rsidRPr="000C6D21">
        <w:t>Table</w:t>
      </w:r>
      <w:r>
        <w:t xml:space="preserve"> 4.1</w:t>
      </w:r>
      <w:r w:rsidRPr="000C6D21">
        <w:t xml:space="preserve">: </w:t>
      </w:r>
      <w:r>
        <w:t>Transformer</w:t>
      </w:r>
      <w:r w:rsidRPr="00A42817">
        <w:t xml:space="preserve"> Center Information</w:t>
      </w:r>
      <w:bookmarkEnd w:id="718"/>
      <w:bookmarkEnd w:id="719"/>
    </w:p>
    <w:tbl>
      <w:tblPr>
        <w:tblW w:w="9087" w:type="dxa"/>
        <w:jc w:val="center"/>
        <w:tblCellMar>
          <w:left w:w="70" w:type="dxa"/>
          <w:right w:w="70" w:type="dxa"/>
        </w:tblCellMar>
        <w:tblLook w:val="04A0" w:firstRow="1" w:lastRow="0" w:firstColumn="1" w:lastColumn="0" w:noHBand="0" w:noVBand="1"/>
      </w:tblPr>
      <w:tblGrid>
        <w:gridCol w:w="1420"/>
        <w:gridCol w:w="2139"/>
        <w:gridCol w:w="1843"/>
        <w:gridCol w:w="1701"/>
        <w:gridCol w:w="1984"/>
      </w:tblGrid>
      <w:tr w:rsidR="00160C6E" w:rsidRPr="0057271A" w:rsidTr="00160C6E">
        <w:trPr>
          <w:trHeight w:val="330"/>
          <w:jc w:val="center"/>
        </w:trPr>
        <w:tc>
          <w:tcPr>
            <w:tcW w:w="1420" w:type="dxa"/>
            <w:tcBorders>
              <w:top w:val="nil"/>
              <w:left w:val="nil"/>
              <w:bottom w:val="nil"/>
              <w:right w:val="nil"/>
            </w:tcBorders>
            <w:shd w:val="clear" w:color="auto" w:fill="auto"/>
            <w:noWrap/>
            <w:vAlign w:val="bottom"/>
            <w:hideMark/>
          </w:tcPr>
          <w:p w:rsidR="00160C6E" w:rsidRPr="0057271A" w:rsidRDefault="00160C6E" w:rsidP="0099399A">
            <w:pPr>
              <w:spacing w:after="0" w:line="240" w:lineRule="auto"/>
              <w:jc w:val="both"/>
              <w:rPr>
                <w:rFonts w:ascii="Arial" w:eastAsia="Times New Roman" w:hAnsi="Arial" w:cs="Arial"/>
                <w:color w:val="000000"/>
                <w:lang w:eastAsia="tr-TR" w:bidi="ar-SA"/>
              </w:rPr>
            </w:pPr>
          </w:p>
        </w:tc>
        <w:tc>
          <w:tcPr>
            <w:tcW w:w="213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60C6E" w:rsidRPr="0057271A" w:rsidRDefault="00160C6E" w:rsidP="00315B1C">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Voltage</w:t>
            </w:r>
            <w:r w:rsidRPr="0057271A">
              <w:rPr>
                <w:rFonts w:ascii="Times New Roman" w:eastAsia="Times New Roman" w:hAnsi="Times New Roman" w:cs="Times New Roman"/>
                <w:b/>
                <w:bCs/>
                <w:color w:val="FFFFFF"/>
                <w:sz w:val="24"/>
                <w:szCs w:val="24"/>
                <w:lang w:eastAsia="tr-TR" w:bidi="ar-SA"/>
              </w:rPr>
              <w:t xml:space="preserve"> (kV)</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160C6E" w:rsidRPr="0057271A" w:rsidRDefault="00160C6E" w:rsidP="00315B1C">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Number of Centers</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160C6E" w:rsidRPr="0057271A" w:rsidRDefault="00160C6E" w:rsidP="00315B1C">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Number of Transformers</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160C6E" w:rsidRPr="0057271A" w:rsidRDefault="00160C6E" w:rsidP="00315B1C">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Capacity</w:t>
            </w:r>
            <w:r w:rsidRPr="0057271A">
              <w:rPr>
                <w:rFonts w:ascii="Times New Roman" w:eastAsia="Times New Roman" w:hAnsi="Times New Roman" w:cs="Times New Roman"/>
                <w:b/>
                <w:bCs/>
                <w:color w:val="FFFFFF"/>
                <w:sz w:val="24"/>
                <w:szCs w:val="24"/>
                <w:lang w:eastAsia="tr-TR" w:bidi="ar-SA"/>
              </w:rPr>
              <w:t xml:space="preserve"> (MVA)</w:t>
            </w:r>
          </w:p>
        </w:tc>
      </w:tr>
      <w:tr w:rsidR="00160C6E" w:rsidRPr="0057271A" w:rsidTr="00160C6E">
        <w:trPr>
          <w:trHeight w:val="330"/>
          <w:jc w:val="center"/>
        </w:trPr>
        <w:tc>
          <w:tcPr>
            <w:tcW w:w="1420" w:type="dxa"/>
            <w:vMerge w:val="restart"/>
            <w:tcBorders>
              <w:top w:val="single" w:sz="8" w:space="0" w:color="auto"/>
              <w:left w:val="single" w:sz="8" w:space="0" w:color="auto"/>
              <w:right w:val="nil"/>
            </w:tcBorders>
            <w:shd w:val="clear" w:color="000000" w:fill="FF5050"/>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lang w:eastAsia="tr-TR" w:bidi="ar-SA"/>
              </w:rPr>
            </w:pPr>
            <w:r w:rsidRPr="0057271A">
              <w:rPr>
                <w:rFonts w:asciiTheme="minorHAnsi" w:eastAsia="Times New Roman" w:hAnsiTheme="minorHAnsi" w:cstheme="minorHAnsi"/>
                <w:b/>
                <w:bCs/>
                <w:color w:val="FFFFFF"/>
                <w:lang w:eastAsia="tr-TR" w:bidi="ar-SA"/>
              </w:rPr>
              <w:t>TEİAŞ</w:t>
            </w:r>
          </w:p>
          <w:p w:rsidR="00160C6E" w:rsidRPr="0057271A" w:rsidRDefault="00160C6E" w:rsidP="0099399A">
            <w:pPr>
              <w:spacing w:after="0" w:line="240" w:lineRule="auto"/>
              <w:jc w:val="both"/>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Ownership</w:t>
            </w: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160C6E" w:rsidRPr="0057271A" w:rsidRDefault="00160C6E" w:rsidP="0099399A">
            <w:pPr>
              <w:spacing w:after="0" w:line="240" w:lineRule="auto"/>
              <w:jc w:val="both"/>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107</w:t>
            </w:r>
          </w:p>
        </w:tc>
        <w:tc>
          <w:tcPr>
            <w:tcW w:w="1701"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345</w:t>
            </w:r>
          </w:p>
        </w:tc>
        <w:tc>
          <w:tcPr>
            <w:tcW w:w="1984"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71.240</w:t>
            </w:r>
          </w:p>
        </w:tc>
      </w:tr>
      <w:tr w:rsidR="00160C6E" w:rsidRPr="0057271A" w:rsidTr="00160C6E">
        <w:trPr>
          <w:trHeight w:val="414"/>
          <w:jc w:val="center"/>
        </w:trPr>
        <w:tc>
          <w:tcPr>
            <w:tcW w:w="1420" w:type="dxa"/>
            <w:vMerge/>
            <w:tcBorders>
              <w:left w:val="single" w:sz="8" w:space="0" w:color="auto"/>
              <w:right w:val="nil"/>
            </w:tcBorders>
            <w:shd w:val="clear" w:color="000000" w:fill="FF5050"/>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160C6E" w:rsidRPr="0057271A" w:rsidRDefault="00160C6E" w:rsidP="0099399A">
            <w:pPr>
              <w:spacing w:after="0" w:line="240" w:lineRule="auto"/>
              <w:jc w:val="both"/>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2</w:t>
            </w:r>
          </w:p>
        </w:tc>
        <w:tc>
          <w:tcPr>
            <w:tcW w:w="1984"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400</w:t>
            </w:r>
          </w:p>
        </w:tc>
      </w:tr>
      <w:tr w:rsidR="00160C6E" w:rsidRPr="0057271A" w:rsidTr="00160C6E">
        <w:trPr>
          <w:trHeight w:val="330"/>
          <w:jc w:val="center"/>
        </w:trPr>
        <w:tc>
          <w:tcPr>
            <w:tcW w:w="1420" w:type="dxa"/>
            <w:vMerge/>
            <w:tcBorders>
              <w:left w:val="single" w:sz="8" w:space="0" w:color="auto"/>
              <w:right w:val="nil"/>
            </w:tcBorders>
            <w:shd w:val="clear" w:color="000000" w:fill="FF5050"/>
            <w:vAlign w:val="center"/>
            <w:hideMark/>
          </w:tcPr>
          <w:p w:rsidR="00160C6E" w:rsidRPr="0057271A" w:rsidRDefault="00160C6E" w:rsidP="0099399A">
            <w:pPr>
              <w:spacing w:after="0" w:line="240" w:lineRule="auto"/>
              <w:jc w:val="both"/>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160C6E" w:rsidRPr="0057271A" w:rsidRDefault="00160C6E" w:rsidP="0099399A">
            <w:pPr>
              <w:spacing w:after="0" w:line="240" w:lineRule="auto"/>
              <w:jc w:val="both"/>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618</w:t>
            </w:r>
          </w:p>
        </w:tc>
        <w:tc>
          <w:tcPr>
            <w:tcW w:w="1701"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1.444</w:t>
            </w:r>
          </w:p>
        </w:tc>
        <w:tc>
          <w:tcPr>
            <w:tcW w:w="1984"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101.654</w:t>
            </w:r>
          </w:p>
        </w:tc>
      </w:tr>
      <w:tr w:rsidR="00160C6E" w:rsidRPr="0057271A" w:rsidTr="00160C6E">
        <w:trPr>
          <w:trHeight w:val="330"/>
          <w:jc w:val="center"/>
        </w:trPr>
        <w:tc>
          <w:tcPr>
            <w:tcW w:w="1420" w:type="dxa"/>
            <w:vMerge/>
            <w:tcBorders>
              <w:left w:val="single" w:sz="8" w:space="0" w:color="auto"/>
              <w:right w:val="nil"/>
            </w:tcBorders>
            <w:shd w:val="clear" w:color="000000" w:fill="FF5050"/>
            <w:vAlign w:val="center"/>
            <w:hideMark/>
          </w:tcPr>
          <w:p w:rsidR="00160C6E" w:rsidRPr="0057271A" w:rsidRDefault="00160C6E" w:rsidP="0099399A">
            <w:pPr>
              <w:spacing w:after="0" w:line="240" w:lineRule="auto"/>
              <w:jc w:val="both"/>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auto" w:fill="auto"/>
            <w:noWrap/>
            <w:vAlign w:val="center"/>
            <w:hideMark/>
          </w:tcPr>
          <w:p w:rsidR="00160C6E" w:rsidRPr="0057271A" w:rsidRDefault="00160C6E" w:rsidP="0099399A">
            <w:pPr>
              <w:spacing w:after="0" w:line="240" w:lineRule="auto"/>
              <w:jc w:val="both"/>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8</w:t>
            </w:r>
          </w:p>
        </w:tc>
        <w:tc>
          <w:tcPr>
            <w:tcW w:w="1701"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24</w:t>
            </w:r>
          </w:p>
        </w:tc>
        <w:tc>
          <w:tcPr>
            <w:tcW w:w="1984"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366</w:t>
            </w:r>
          </w:p>
        </w:tc>
      </w:tr>
      <w:tr w:rsidR="00160C6E" w:rsidRPr="0057271A" w:rsidTr="00160C6E">
        <w:trPr>
          <w:trHeight w:val="330"/>
          <w:jc w:val="center"/>
        </w:trPr>
        <w:tc>
          <w:tcPr>
            <w:tcW w:w="1420" w:type="dxa"/>
            <w:vMerge/>
            <w:tcBorders>
              <w:left w:val="single" w:sz="8" w:space="0" w:color="auto"/>
              <w:bottom w:val="single" w:sz="8" w:space="0" w:color="auto"/>
              <w:right w:val="nil"/>
            </w:tcBorders>
            <w:shd w:val="clear" w:color="000000" w:fill="FF5050"/>
            <w:vAlign w:val="center"/>
            <w:hideMark/>
          </w:tcPr>
          <w:p w:rsidR="00160C6E" w:rsidRPr="0057271A" w:rsidRDefault="00160C6E" w:rsidP="0099399A">
            <w:pPr>
              <w:spacing w:after="0" w:line="240" w:lineRule="auto"/>
              <w:jc w:val="both"/>
              <w:rPr>
                <w:rFonts w:asciiTheme="minorHAnsi" w:eastAsia="Times New Roman" w:hAnsiTheme="minorHAnsi" w:cstheme="minorHAnsi"/>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imes New Roman" w:eastAsia="Times New Roman" w:hAnsi="Times New Roman" w:cs="Times New Roman"/>
                <w:b/>
                <w:bCs/>
                <w:color w:val="FFFFFF"/>
                <w:sz w:val="24"/>
                <w:szCs w:val="24"/>
                <w:lang w:eastAsia="tr-TR" w:bidi="ar-SA"/>
              </w:rPr>
            </w:pPr>
            <w:r w:rsidRPr="0057271A">
              <w:rPr>
                <w:rFonts w:ascii="Times New Roman" w:eastAsia="Times New Roman" w:hAnsi="Times New Roman" w:cs="Times New Roman"/>
                <w:b/>
                <w:bCs/>
                <w:color w:val="FFFFFF"/>
                <w:sz w:val="24"/>
                <w:szCs w:val="24"/>
                <w:lang w:eastAsia="tr-TR" w:bidi="ar-SA"/>
              </w:rPr>
              <w:t>TEİAŞ To</w:t>
            </w:r>
            <w:r>
              <w:rPr>
                <w:rFonts w:ascii="Times New Roman" w:eastAsia="Times New Roman" w:hAnsi="Times New Roman" w:cs="Times New Roman"/>
                <w:b/>
                <w:bCs/>
                <w:color w:val="FFFFFF"/>
                <w:sz w:val="24"/>
                <w:szCs w:val="24"/>
                <w:lang w:eastAsia="tr-TR" w:bidi="ar-SA"/>
              </w:rPr>
              <w:t>tal</w:t>
            </w:r>
          </w:p>
        </w:tc>
        <w:tc>
          <w:tcPr>
            <w:tcW w:w="1843"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734</w:t>
            </w:r>
          </w:p>
        </w:tc>
        <w:tc>
          <w:tcPr>
            <w:tcW w:w="1701"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1.815</w:t>
            </w:r>
          </w:p>
        </w:tc>
        <w:tc>
          <w:tcPr>
            <w:tcW w:w="1984"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173.660</w:t>
            </w:r>
          </w:p>
        </w:tc>
      </w:tr>
      <w:tr w:rsidR="00160C6E" w:rsidRPr="0057271A" w:rsidTr="00160C6E">
        <w:trPr>
          <w:trHeight w:val="330"/>
          <w:jc w:val="center"/>
        </w:trPr>
        <w:tc>
          <w:tcPr>
            <w:tcW w:w="142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rsidR="00160C6E" w:rsidRDefault="00160C6E" w:rsidP="0099399A">
            <w:pPr>
              <w:spacing w:after="0" w:line="240" w:lineRule="auto"/>
              <w:jc w:val="both"/>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Private</w:t>
            </w:r>
          </w:p>
          <w:p w:rsidR="00160C6E" w:rsidRPr="0057271A" w:rsidRDefault="00160C6E" w:rsidP="0099399A">
            <w:pPr>
              <w:spacing w:after="0" w:line="240" w:lineRule="auto"/>
              <w:jc w:val="both"/>
              <w:rPr>
                <w:rFonts w:asciiTheme="minorHAnsi" w:eastAsia="Times New Roman" w:hAnsiTheme="minorHAnsi" w:cstheme="minorHAnsi"/>
                <w:b/>
                <w:bCs/>
                <w:color w:val="FFFFFF"/>
                <w:lang w:eastAsia="tr-TR" w:bidi="ar-SA"/>
              </w:rPr>
            </w:pPr>
            <w:r>
              <w:rPr>
                <w:rFonts w:asciiTheme="minorHAnsi" w:eastAsia="Times New Roman" w:hAnsiTheme="minorHAnsi" w:cstheme="minorHAnsi"/>
                <w:b/>
                <w:bCs/>
                <w:color w:val="FFFFFF"/>
                <w:lang w:eastAsia="tr-TR" w:bidi="ar-SA"/>
              </w:rPr>
              <w:t>Ownership</w:t>
            </w:r>
          </w:p>
        </w:tc>
        <w:tc>
          <w:tcPr>
            <w:tcW w:w="2139" w:type="dxa"/>
            <w:tcBorders>
              <w:top w:val="nil"/>
              <w:left w:val="nil"/>
              <w:bottom w:val="single" w:sz="8" w:space="0" w:color="auto"/>
              <w:right w:val="single" w:sz="8" w:space="0" w:color="auto"/>
            </w:tcBorders>
            <w:shd w:val="clear" w:color="auto" w:fill="auto"/>
            <w:noWrap/>
            <w:vAlign w:val="center"/>
            <w:hideMark/>
          </w:tcPr>
          <w:p w:rsidR="00160C6E" w:rsidRPr="0057271A" w:rsidRDefault="00160C6E" w:rsidP="0099399A">
            <w:pPr>
              <w:spacing w:after="0" w:line="240" w:lineRule="auto"/>
              <w:jc w:val="both"/>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380</w:t>
            </w:r>
          </w:p>
        </w:tc>
        <w:tc>
          <w:tcPr>
            <w:tcW w:w="1843"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54</w:t>
            </w:r>
          </w:p>
        </w:tc>
        <w:tc>
          <w:tcPr>
            <w:tcW w:w="1701"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47</w:t>
            </w:r>
          </w:p>
        </w:tc>
        <w:tc>
          <w:tcPr>
            <w:tcW w:w="1984"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7.195</w:t>
            </w:r>
          </w:p>
        </w:tc>
      </w:tr>
      <w:tr w:rsidR="00160C6E" w:rsidRPr="0057271A" w:rsidTr="00160C6E">
        <w:trPr>
          <w:trHeight w:val="330"/>
          <w:jc w:val="center"/>
        </w:trPr>
        <w:tc>
          <w:tcPr>
            <w:tcW w:w="1420" w:type="dxa"/>
            <w:vMerge/>
            <w:tcBorders>
              <w:top w:val="nil"/>
              <w:left w:val="single" w:sz="8" w:space="0" w:color="auto"/>
              <w:bottom w:val="single" w:sz="8" w:space="0" w:color="000000"/>
              <w:right w:val="single" w:sz="8" w:space="0" w:color="auto"/>
            </w:tcBorders>
            <w:vAlign w:val="center"/>
            <w:hideMark/>
          </w:tcPr>
          <w:p w:rsidR="00160C6E" w:rsidRPr="0057271A" w:rsidRDefault="00160C6E" w:rsidP="0099399A">
            <w:pPr>
              <w:spacing w:after="0" w:line="240" w:lineRule="auto"/>
              <w:jc w:val="both"/>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160C6E" w:rsidRPr="0057271A" w:rsidRDefault="00160C6E" w:rsidP="0099399A">
            <w:pPr>
              <w:spacing w:after="0" w:line="240" w:lineRule="auto"/>
              <w:jc w:val="both"/>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220</w:t>
            </w:r>
          </w:p>
        </w:tc>
        <w:tc>
          <w:tcPr>
            <w:tcW w:w="1843"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0</w:t>
            </w:r>
          </w:p>
        </w:tc>
        <w:tc>
          <w:tcPr>
            <w:tcW w:w="1701"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0</w:t>
            </w:r>
          </w:p>
        </w:tc>
        <w:tc>
          <w:tcPr>
            <w:tcW w:w="1984"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0</w:t>
            </w:r>
          </w:p>
        </w:tc>
      </w:tr>
      <w:tr w:rsidR="00160C6E" w:rsidRPr="0057271A" w:rsidTr="00160C6E">
        <w:trPr>
          <w:trHeight w:val="330"/>
          <w:jc w:val="center"/>
        </w:trPr>
        <w:tc>
          <w:tcPr>
            <w:tcW w:w="1420" w:type="dxa"/>
            <w:vMerge/>
            <w:tcBorders>
              <w:top w:val="nil"/>
              <w:left w:val="single" w:sz="8" w:space="0" w:color="auto"/>
              <w:bottom w:val="single" w:sz="8" w:space="0" w:color="000000"/>
              <w:right w:val="single" w:sz="8" w:space="0" w:color="auto"/>
            </w:tcBorders>
            <w:vAlign w:val="center"/>
            <w:hideMark/>
          </w:tcPr>
          <w:p w:rsidR="00160C6E" w:rsidRPr="0057271A" w:rsidRDefault="00160C6E" w:rsidP="0099399A">
            <w:pPr>
              <w:spacing w:after="0" w:line="240" w:lineRule="auto"/>
              <w:jc w:val="both"/>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160C6E" w:rsidRPr="0057271A" w:rsidRDefault="00160C6E" w:rsidP="0099399A">
            <w:pPr>
              <w:spacing w:after="0" w:line="240" w:lineRule="auto"/>
              <w:jc w:val="both"/>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154</w:t>
            </w:r>
          </w:p>
        </w:tc>
        <w:tc>
          <w:tcPr>
            <w:tcW w:w="1843"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372</w:t>
            </w:r>
          </w:p>
        </w:tc>
        <w:tc>
          <w:tcPr>
            <w:tcW w:w="1701"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402</w:t>
            </w:r>
          </w:p>
        </w:tc>
        <w:tc>
          <w:tcPr>
            <w:tcW w:w="1984"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25.085</w:t>
            </w:r>
          </w:p>
        </w:tc>
      </w:tr>
      <w:tr w:rsidR="00160C6E" w:rsidRPr="0057271A" w:rsidTr="00160C6E">
        <w:trPr>
          <w:trHeight w:val="330"/>
          <w:jc w:val="center"/>
        </w:trPr>
        <w:tc>
          <w:tcPr>
            <w:tcW w:w="1420" w:type="dxa"/>
            <w:vMerge/>
            <w:tcBorders>
              <w:top w:val="nil"/>
              <w:left w:val="single" w:sz="8" w:space="0" w:color="auto"/>
              <w:bottom w:val="single" w:sz="8" w:space="0" w:color="000000"/>
              <w:right w:val="single" w:sz="8" w:space="0" w:color="auto"/>
            </w:tcBorders>
            <w:vAlign w:val="center"/>
            <w:hideMark/>
          </w:tcPr>
          <w:p w:rsidR="00160C6E" w:rsidRPr="0057271A" w:rsidRDefault="00160C6E" w:rsidP="0099399A">
            <w:pPr>
              <w:spacing w:after="0" w:line="240" w:lineRule="auto"/>
              <w:jc w:val="both"/>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auto" w:fill="auto"/>
            <w:noWrap/>
            <w:vAlign w:val="center"/>
            <w:hideMark/>
          </w:tcPr>
          <w:p w:rsidR="00160C6E" w:rsidRPr="0057271A" w:rsidRDefault="00160C6E" w:rsidP="0099399A">
            <w:pPr>
              <w:spacing w:after="0" w:line="240" w:lineRule="auto"/>
              <w:jc w:val="both"/>
              <w:rPr>
                <w:rFonts w:ascii="Times New Roman" w:eastAsia="Times New Roman" w:hAnsi="Times New Roman" w:cs="Times New Roman"/>
                <w:color w:val="000000"/>
                <w:sz w:val="24"/>
                <w:szCs w:val="24"/>
                <w:lang w:eastAsia="tr-TR" w:bidi="ar-SA"/>
              </w:rPr>
            </w:pPr>
            <w:r w:rsidRPr="0057271A">
              <w:rPr>
                <w:rFonts w:ascii="Times New Roman" w:eastAsia="Times New Roman" w:hAnsi="Times New Roman" w:cs="Times New Roman"/>
                <w:color w:val="000000"/>
                <w:sz w:val="24"/>
                <w:szCs w:val="24"/>
                <w:lang w:eastAsia="tr-TR" w:bidi="ar-SA"/>
              </w:rPr>
              <w:t>66</w:t>
            </w:r>
          </w:p>
        </w:tc>
        <w:tc>
          <w:tcPr>
            <w:tcW w:w="1843"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w:t>
            </w:r>
          </w:p>
        </w:tc>
        <w:tc>
          <w:tcPr>
            <w:tcW w:w="1701"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w:t>
            </w:r>
          </w:p>
        </w:tc>
        <w:tc>
          <w:tcPr>
            <w:tcW w:w="1984" w:type="dxa"/>
            <w:tcBorders>
              <w:top w:val="nil"/>
              <w:left w:val="nil"/>
              <w:bottom w:val="single" w:sz="8" w:space="0" w:color="auto"/>
              <w:right w:val="single" w:sz="8" w:space="0" w:color="auto"/>
            </w:tcBorders>
            <w:shd w:val="clear" w:color="auto" w:fill="auto"/>
            <w:noWrap/>
            <w:vAlign w:val="center"/>
            <w:hideMark/>
          </w:tcPr>
          <w:p w:rsidR="00160C6E" w:rsidRPr="00AB2BB9" w:rsidRDefault="00160C6E" w:rsidP="0099399A">
            <w:pPr>
              <w:spacing w:after="0" w:line="240" w:lineRule="auto"/>
              <w:jc w:val="both"/>
              <w:rPr>
                <w:rFonts w:asciiTheme="minorHAnsi" w:eastAsia="Times New Roman" w:hAnsiTheme="minorHAnsi" w:cstheme="minorHAnsi"/>
                <w:color w:val="000000"/>
                <w:sz w:val="24"/>
                <w:szCs w:val="24"/>
                <w:lang w:eastAsia="tr-TR" w:bidi="ar-SA"/>
              </w:rPr>
            </w:pPr>
            <w:r w:rsidRPr="00AB2BB9">
              <w:rPr>
                <w:rFonts w:asciiTheme="minorHAnsi" w:eastAsia="Times New Roman" w:hAnsiTheme="minorHAnsi" w:cstheme="minorHAnsi"/>
                <w:color w:val="000000"/>
                <w:sz w:val="24"/>
                <w:szCs w:val="24"/>
                <w:lang w:eastAsia="tr-TR" w:bidi="ar-SA"/>
              </w:rPr>
              <w:t>13</w:t>
            </w:r>
          </w:p>
        </w:tc>
      </w:tr>
      <w:tr w:rsidR="00160C6E" w:rsidRPr="0057271A" w:rsidTr="00160C6E">
        <w:trPr>
          <w:trHeight w:val="330"/>
          <w:jc w:val="center"/>
        </w:trPr>
        <w:tc>
          <w:tcPr>
            <w:tcW w:w="1420" w:type="dxa"/>
            <w:vMerge/>
            <w:tcBorders>
              <w:top w:val="nil"/>
              <w:left w:val="single" w:sz="8" w:space="0" w:color="auto"/>
              <w:bottom w:val="single" w:sz="8" w:space="0" w:color="000000"/>
              <w:right w:val="single" w:sz="8" w:space="0" w:color="auto"/>
            </w:tcBorders>
            <w:vAlign w:val="center"/>
            <w:hideMark/>
          </w:tcPr>
          <w:p w:rsidR="00160C6E" w:rsidRPr="0057271A" w:rsidRDefault="00160C6E" w:rsidP="0099399A">
            <w:pPr>
              <w:spacing w:after="0" w:line="240" w:lineRule="auto"/>
              <w:jc w:val="both"/>
              <w:rPr>
                <w:rFonts w:ascii="Calibri" w:eastAsia="Times New Roman" w:hAnsi="Calibri" w:cs="Times New Roman"/>
                <w:b/>
                <w:bCs/>
                <w:color w:val="FFFFFF"/>
                <w:lang w:eastAsia="tr-TR" w:bidi="ar-SA"/>
              </w:rPr>
            </w:pPr>
          </w:p>
        </w:tc>
        <w:tc>
          <w:tcPr>
            <w:tcW w:w="2139"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Private Total</w:t>
            </w:r>
          </w:p>
        </w:tc>
        <w:tc>
          <w:tcPr>
            <w:tcW w:w="1843"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427</w:t>
            </w:r>
          </w:p>
        </w:tc>
        <w:tc>
          <w:tcPr>
            <w:tcW w:w="1701"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450</w:t>
            </w:r>
          </w:p>
        </w:tc>
        <w:tc>
          <w:tcPr>
            <w:tcW w:w="1984"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32.293</w:t>
            </w:r>
          </w:p>
        </w:tc>
      </w:tr>
      <w:tr w:rsidR="00160C6E" w:rsidRPr="0057271A" w:rsidTr="00160C6E">
        <w:trPr>
          <w:trHeight w:val="315"/>
          <w:jc w:val="center"/>
        </w:trPr>
        <w:tc>
          <w:tcPr>
            <w:tcW w:w="1420" w:type="dxa"/>
            <w:tcBorders>
              <w:top w:val="nil"/>
              <w:left w:val="nil"/>
              <w:bottom w:val="nil"/>
              <w:right w:val="nil"/>
            </w:tcBorders>
            <w:shd w:val="clear" w:color="auto" w:fill="auto"/>
            <w:noWrap/>
            <w:vAlign w:val="bottom"/>
            <w:hideMark/>
          </w:tcPr>
          <w:p w:rsidR="00160C6E" w:rsidRPr="0057271A" w:rsidRDefault="00160C6E" w:rsidP="0099399A">
            <w:pPr>
              <w:spacing w:after="0" w:line="240" w:lineRule="auto"/>
              <w:jc w:val="both"/>
              <w:rPr>
                <w:rFonts w:ascii="Arial" w:eastAsia="Times New Roman" w:hAnsi="Arial" w:cs="Arial"/>
                <w:color w:val="000000"/>
                <w:lang w:eastAsia="tr-TR" w:bidi="ar-SA"/>
              </w:rPr>
            </w:pPr>
          </w:p>
        </w:tc>
        <w:tc>
          <w:tcPr>
            <w:tcW w:w="2139" w:type="dxa"/>
            <w:tcBorders>
              <w:top w:val="nil"/>
              <w:left w:val="single" w:sz="8" w:space="0" w:color="auto"/>
              <w:bottom w:val="single" w:sz="8" w:space="0" w:color="auto"/>
              <w:right w:val="single" w:sz="8" w:space="0" w:color="auto"/>
            </w:tcBorders>
            <w:shd w:val="clear" w:color="000000" w:fill="FF5050"/>
            <w:noWrap/>
            <w:vAlign w:val="center"/>
            <w:hideMark/>
          </w:tcPr>
          <w:p w:rsidR="00160C6E" w:rsidRPr="00AB2BB9" w:rsidRDefault="00160C6E" w:rsidP="0099399A">
            <w:pPr>
              <w:spacing w:after="0" w:line="240" w:lineRule="auto"/>
              <w:jc w:val="both"/>
              <w:rPr>
                <w:rFonts w:ascii="Times New Roman" w:eastAsia="Times New Roman" w:hAnsi="Times New Roman" w:cs="Times New Roman"/>
                <w:b/>
                <w:bCs/>
                <w:color w:val="FFFFFF"/>
                <w:sz w:val="24"/>
                <w:szCs w:val="24"/>
                <w:lang w:eastAsia="tr-TR" w:bidi="ar-SA"/>
              </w:rPr>
            </w:pPr>
            <w:r w:rsidRPr="00AB2BB9">
              <w:rPr>
                <w:rFonts w:ascii="Times New Roman" w:eastAsia="Times New Roman" w:hAnsi="Times New Roman" w:cs="Times New Roman"/>
                <w:b/>
                <w:bCs/>
                <w:color w:val="FFFFFF"/>
                <w:sz w:val="24"/>
                <w:szCs w:val="24"/>
                <w:lang w:eastAsia="tr-TR" w:bidi="ar-SA"/>
              </w:rPr>
              <w:t>TO</w:t>
            </w:r>
            <w:r>
              <w:rPr>
                <w:rFonts w:ascii="Times New Roman" w:eastAsia="Times New Roman" w:hAnsi="Times New Roman" w:cs="Times New Roman"/>
                <w:b/>
                <w:bCs/>
                <w:color w:val="FFFFFF"/>
                <w:sz w:val="24"/>
                <w:szCs w:val="24"/>
                <w:lang w:eastAsia="tr-TR" w:bidi="ar-SA"/>
              </w:rPr>
              <w:t>TAL</w:t>
            </w:r>
          </w:p>
        </w:tc>
        <w:tc>
          <w:tcPr>
            <w:tcW w:w="1843"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1.161</w:t>
            </w:r>
          </w:p>
        </w:tc>
        <w:tc>
          <w:tcPr>
            <w:tcW w:w="1701"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2.265</w:t>
            </w:r>
          </w:p>
        </w:tc>
        <w:tc>
          <w:tcPr>
            <w:tcW w:w="1984" w:type="dxa"/>
            <w:tcBorders>
              <w:top w:val="nil"/>
              <w:left w:val="nil"/>
              <w:bottom w:val="single" w:sz="8" w:space="0" w:color="auto"/>
              <w:right w:val="single" w:sz="8" w:space="0" w:color="auto"/>
            </w:tcBorders>
            <w:shd w:val="clear" w:color="000000" w:fill="FF5050"/>
            <w:noWrap/>
            <w:vAlign w:val="center"/>
            <w:hideMark/>
          </w:tcPr>
          <w:p w:rsidR="00160C6E" w:rsidRPr="0057271A" w:rsidRDefault="00160C6E" w:rsidP="0099399A">
            <w:pPr>
              <w:spacing w:after="0" w:line="240" w:lineRule="auto"/>
              <w:jc w:val="both"/>
              <w:rPr>
                <w:rFonts w:asciiTheme="minorHAnsi" w:eastAsia="Times New Roman" w:hAnsiTheme="minorHAnsi" w:cstheme="minorHAnsi"/>
                <w:b/>
                <w:bCs/>
                <w:color w:val="FFFFFF"/>
                <w:sz w:val="24"/>
                <w:szCs w:val="24"/>
                <w:lang w:eastAsia="tr-TR" w:bidi="ar-SA"/>
              </w:rPr>
            </w:pPr>
            <w:r>
              <w:rPr>
                <w:rFonts w:asciiTheme="minorHAnsi" w:eastAsia="Times New Roman" w:hAnsiTheme="minorHAnsi" w:cstheme="minorHAnsi"/>
                <w:b/>
                <w:bCs/>
                <w:color w:val="FFFFFF"/>
                <w:sz w:val="24"/>
                <w:szCs w:val="24"/>
                <w:lang w:eastAsia="tr-TR" w:bidi="ar-SA"/>
              </w:rPr>
              <w:t>205.953</w:t>
            </w:r>
          </w:p>
        </w:tc>
      </w:tr>
    </w:tbl>
    <w:p w:rsidR="00160C6E" w:rsidRPr="00160C6E" w:rsidRDefault="00160C6E" w:rsidP="0099399A">
      <w:pPr>
        <w:jc w:val="both"/>
      </w:pPr>
    </w:p>
    <w:p w:rsidR="009311A8" w:rsidRPr="0099731C" w:rsidRDefault="00160C6E" w:rsidP="0099731C">
      <w:pPr>
        <w:spacing w:line="360" w:lineRule="auto"/>
        <w:jc w:val="both"/>
        <w:rPr>
          <w:rFonts w:ascii="Times New Roman" w:hAnsi="Times New Roman" w:cs="Times New Roman"/>
          <w:sz w:val="24"/>
          <w:szCs w:val="24"/>
        </w:rPr>
      </w:pPr>
      <w:r w:rsidRPr="0099731C">
        <w:rPr>
          <w:rFonts w:ascii="Times New Roman" w:hAnsi="Times New Roman" w:cs="Times New Roman"/>
          <w:sz w:val="24"/>
          <w:szCs w:val="24"/>
        </w:rPr>
        <w:t xml:space="preserve">65,62 % of the </w:t>
      </w:r>
      <w:r w:rsidR="009311A8" w:rsidRPr="0099731C">
        <w:rPr>
          <w:rFonts w:ascii="Times New Roman" w:hAnsi="Times New Roman" w:cs="Times New Roman"/>
          <w:sz w:val="24"/>
          <w:szCs w:val="24"/>
        </w:rPr>
        <w:t>68.204</w:t>
      </w:r>
      <w:r w:rsidRPr="0099731C">
        <w:rPr>
          <w:rFonts w:ascii="Times New Roman" w:hAnsi="Times New Roman" w:cs="Times New Roman"/>
          <w:sz w:val="24"/>
          <w:szCs w:val="24"/>
        </w:rPr>
        <w:t xml:space="preserve"> km total transmission lines are working at 154 kV voltage level. Almost all of the remaining lines are working at 380 kV and the lines at the voltage level of 220 kV and 66 kV are only 195 km.</w:t>
      </w:r>
    </w:p>
    <w:p w:rsidR="009311A8" w:rsidRPr="009311A8" w:rsidRDefault="009311A8" w:rsidP="00315B1C">
      <w:pPr>
        <w:pStyle w:val="Balk1"/>
        <w:rPr>
          <w:lang w:val="de-DE"/>
        </w:rPr>
      </w:pPr>
      <w:bookmarkStart w:id="720" w:name="_Toc10123916"/>
      <w:bookmarkStart w:id="721" w:name="_Toc10191440"/>
      <w:bookmarkStart w:id="722" w:name="_Toc12526289"/>
      <w:r w:rsidRPr="00FB52B4">
        <w:rPr>
          <w:lang w:val="de-DE"/>
        </w:rPr>
        <w:t>Table</w:t>
      </w:r>
      <w:r>
        <w:t xml:space="preserve"> 4.2</w:t>
      </w:r>
      <w:r w:rsidRPr="000C6D21">
        <w:t xml:space="preserve">: </w:t>
      </w:r>
      <w:r>
        <w:t>TEİAŞ</w:t>
      </w:r>
      <w:r w:rsidRPr="00A42817">
        <w:t xml:space="preserve"> Transmission Lines</w:t>
      </w:r>
      <w:bookmarkEnd w:id="720"/>
      <w:bookmarkEnd w:id="721"/>
      <w:bookmarkEnd w:id="722"/>
    </w:p>
    <w:tbl>
      <w:tblPr>
        <w:tblW w:w="8804" w:type="dxa"/>
        <w:tblInd w:w="55" w:type="dxa"/>
        <w:tblCellMar>
          <w:left w:w="70" w:type="dxa"/>
          <w:right w:w="70" w:type="dxa"/>
        </w:tblCellMar>
        <w:tblLook w:val="04A0" w:firstRow="1" w:lastRow="0" w:firstColumn="1" w:lastColumn="0" w:noHBand="0" w:noVBand="1"/>
      </w:tblPr>
      <w:tblGrid>
        <w:gridCol w:w="1575"/>
        <w:gridCol w:w="1417"/>
        <w:gridCol w:w="1134"/>
        <w:gridCol w:w="1134"/>
        <w:gridCol w:w="1276"/>
        <w:gridCol w:w="1134"/>
        <w:gridCol w:w="1134"/>
      </w:tblGrid>
      <w:tr w:rsidR="009311A8" w:rsidRPr="006604FE" w:rsidTr="00C14C79">
        <w:trPr>
          <w:trHeight w:val="615"/>
        </w:trPr>
        <w:tc>
          <w:tcPr>
            <w:tcW w:w="1575" w:type="dxa"/>
            <w:tcBorders>
              <w:top w:val="nil"/>
              <w:left w:val="nil"/>
              <w:bottom w:val="nil"/>
              <w:right w:val="nil"/>
            </w:tcBorders>
            <w:shd w:val="clear" w:color="auto" w:fill="auto"/>
            <w:noWrap/>
            <w:vAlign w:val="bottom"/>
            <w:hideMark/>
          </w:tcPr>
          <w:p w:rsidR="009311A8" w:rsidRPr="006604FE" w:rsidRDefault="009311A8" w:rsidP="0099399A">
            <w:pPr>
              <w:spacing w:after="0" w:line="240" w:lineRule="auto"/>
              <w:jc w:val="both"/>
              <w:rPr>
                <w:rFonts w:ascii="Arial" w:eastAsia="Times New Roman" w:hAnsi="Arial" w:cs="Arial"/>
                <w:color w:val="000000"/>
                <w:lang w:eastAsia="tr-TR" w:bidi="ar-SA"/>
              </w:rPr>
            </w:pPr>
          </w:p>
        </w:tc>
        <w:tc>
          <w:tcPr>
            <w:tcW w:w="141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2017</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2018</w:t>
            </w:r>
          </w:p>
        </w:tc>
        <w:tc>
          <w:tcPr>
            <w:tcW w:w="1134" w:type="dxa"/>
            <w:vMerge w:val="restart"/>
            <w:tcBorders>
              <w:top w:val="single" w:sz="8" w:space="0" w:color="auto"/>
              <w:left w:val="nil"/>
              <w:bottom w:val="single" w:sz="8" w:space="0" w:color="000000"/>
              <w:right w:val="single" w:sz="8" w:space="0" w:color="auto"/>
            </w:tcBorders>
            <w:shd w:val="clear" w:color="000000" w:fill="FF0000"/>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Change</w:t>
            </w:r>
            <w:r w:rsidRPr="006604FE">
              <w:rPr>
                <w:rFonts w:ascii="Times New Roman" w:eastAsia="Times New Roman" w:hAnsi="Times New Roman" w:cs="Times New Roman"/>
                <w:b/>
                <w:bCs/>
                <w:color w:val="FFFFFF"/>
                <w:sz w:val="24"/>
                <w:szCs w:val="24"/>
                <w:lang w:eastAsia="tr-TR" w:bidi="ar-SA"/>
              </w:rPr>
              <w:t xml:space="preserve"> (%)</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2017</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2018</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9311A8" w:rsidRPr="006604FE" w:rsidRDefault="009311A8" w:rsidP="0099399A">
            <w:pPr>
              <w:spacing w:after="0" w:line="240" w:lineRule="auto"/>
              <w:jc w:val="both"/>
              <w:rPr>
                <w:rFonts w:ascii="Calibri" w:eastAsia="Times New Roman" w:hAnsi="Calibri" w:cs="Times New Roman"/>
                <w:b/>
                <w:bCs/>
                <w:color w:val="FFFFFF"/>
                <w:lang w:eastAsia="tr-TR" w:bidi="ar-SA"/>
              </w:rPr>
            </w:pPr>
            <w:r>
              <w:rPr>
                <w:rFonts w:ascii="Times New Roman" w:eastAsia="Times New Roman" w:hAnsi="Times New Roman" w:cs="Times New Roman"/>
                <w:b/>
                <w:bCs/>
                <w:color w:val="FFFFFF"/>
                <w:sz w:val="24"/>
                <w:szCs w:val="24"/>
                <w:lang w:eastAsia="tr-TR" w:bidi="ar-SA"/>
              </w:rPr>
              <w:t>Change</w:t>
            </w:r>
            <w:r w:rsidRPr="006604FE">
              <w:rPr>
                <w:rFonts w:ascii="Times New Roman" w:eastAsia="Times New Roman" w:hAnsi="Times New Roman" w:cs="Times New Roman"/>
                <w:b/>
                <w:bCs/>
                <w:color w:val="FFFFFF"/>
                <w:sz w:val="24"/>
                <w:szCs w:val="24"/>
                <w:lang w:eastAsia="tr-TR" w:bidi="ar-SA"/>
              </w:rPr>
              <w:t xml:space="preserve"> (%)</w:t>
            </w:r>
          </w:p>
        </w:tc>
      </w:tr>
      <w:tr w:rsidR="009311A8" w:rsidRPr="006604FE" w:rsidTr="00C14C79">
        <w:trPr>
          <w:trHeight w:val="330"/>
        </w:trPr>
        <w:tc>
          <w:tcPr>
            <w:tcW w:w="15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Voltage</w:t>
            </w:r>
            <w:r w:rsidRPr="006604FE">
              <w:rPr>
                <w:rFonts w:ascii="Times New Roman" w:eastAsia="Times New Roman" w:hAnsi="Times New Roman" w:cs="Times New Roman"/>
                <w:b/>
                <w:bCs/>
                <w:color w:val="FFFFFF"/>
                <w:sz w:val="24"/>
                <w:szCs w:val="24"/>
                <w:lang w:eastAsia="tr-TR" w:bidi="ar-SA"/>
              </w:rPr>
              <w:t xml:space="preserve"> (kV)</w:t>
            </w:r>
          </w:p>
        </w:tc>
        <w:tc>
          <w:tcPr>
            <w:tcW w:w="2551" w:type="dxa"/>
            <w:gridSpan w:val="2"/>
            <w:tcBorders>
              <w:top w:val="single" w:sz="8" w:space="0" w:color="auto"/>
              <w:left w:val="nil"/>
              <w:bottom w:val="nil"/>
              <w:right w:val="single" w:sz="8" w:space="0" w:color="000000"/>
            </w:tcBorders>
            <w:shd w:val="clear" w:color="000000" w:fill="FF000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Number of Lines</w:t>
            </w:r>
          </w:p>
        </w:tc>
        <w:tc>
          <w:tcPr>
            <w:tcW w:w="1134" w:type="dxa"/>
            <w:vMerge/>
            <w:tcBorders>
              <w:top w:val="single" w:sz="8" w:space="0" w:color="auto"/>
              <w:left w:val="nil"/>
              <w:bottom w:val="single" w:sz="8" w:space="0" w:color="000000"/>
              <w:right w:val="single" w:sz="8" w:space="0" w:color="auto"/>
            </w:tcBorders>
            <w:vAlign w:val="center"/>
            <w:hideMark/>
          </w:tcPr>
          <w:p w:rsidR="009311A8" w:rsidRPr="006604FE" w:rsidRDefault="009311A8" w:rsidP="0099399A">
            <w:pPr>
              <w:spacing w:after="0" w:line="240" w:lineRule="auto"/>
              <w:jc w:val="both"/>
              <w:rPr>
                <w:rFonts w:ascii="Calibri" w:eastAsia="Times New Roman" w:hAnsi="Calibri" w:cs="Times New Roman"/>
                <w:b/>
                <w:bCs/>
                <w:color w:val="FFFFFF"/>
                <w:lang w:eastAsia="tr-TR" w:bidi="ar-SA"/>
              </w:rPr>
            </w:pPr>
          </w:p>
        </w:tc>
        <w:tc>
          <w:tcPr>
            <w:tcW w:w="241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 xml:space="preserve">Length </w:t>
            </w:r>
            <w:r w:rsidRPr="006604FE">
              <w:rPr>
                <w:rFonts w:ascii="Times New Roman" w:eastAsia="Times New Roman" w:hAnsi="Times New Roman" w:cs="Times New Roman"/>
                <w:b/>
                <w:bCs/>
                <w:color w:val="FFFFFF"/>
                <w:sz w:val="24"/>
                <w:szCs w:val="24"/>
                <w:lang w:eastAsia="tr-TR" w:bidi="ar-SA"/>
              </w:rPr>
              <w:t>(km)</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9311A8" w:rsidRPr="006604FE" w:rsidRDefault="009311A8" w:rsidP="0099399A">
            <w:pPr>
              <w:spacing w:after="0" w:line="240" w:lineRule="auto"/>
              <w:jc w:val="both"/>
              <w:rPr>
                <w:rFonts w:ascii="Calibri" w:eastAsia="Times New Roman" w:hAnsi="Calibri" w:cs="Times New Roman"/>
                <w:b/>
                <w:bCs/>
                <w:color w:val="FFFFFF"/>
                <w:lang w:eastAsia="tr-TR" w:bidi="ar-SA"/>
              </w:rPr>
            </w:pPr>
          </w:p>
        </w:tc>
      </w:tr>
      <w:tr w:rsidR="009311A8" w:rsidRPr="006604FE" w:rsidTr="00C14C79">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380</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270</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283</w:t>
            </w:r>
          </w:p>
        </w:tc>
        <w:tc>
          <w:tcPr>
            <w:tcW w:w="1134"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4,81</w:t>
            </w:r>
          </w:p>
        </w:tc>
        <w:tc>
          <w:tcPr>
            <w:tcW w:w="1276"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22.596</w:t>
            </w:r>
          </w:p>
        </w:tc>
        <w:tc>
          <w:tcPr>
            <w:tcW w:w="1134" w:type="dxa"/>
            <w:tcBorders>
              <w:top w:val="nil"/>
              <w:left w:val="nil"/>
              <w:bottom w:val="single" w:sz="8" w:space="0" w:color="auto"/>
              <w:right w:val="nil"/>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23.249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2,89</w:t>
            </w:r>
          </w:p>
        </w:tc>
      </w:tr>
      <w:tr w:rsidR="009311A8" w:rsidRPr="006604FE" w:rsidTr="00C14C79">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220</w:t>
            </w:r>
          </w:p>
        </w:tc>
        <w:tc>
          <w:tcPr>
            <w:tcW w:w="1417"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w:t>
            </w:r>
          </w:p>
        </w:tc>
        <w:tc>
          <w:tcPr>
            <w:tcW w:w="1134"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w:t>
            </w:r>
          </w:p>
        </w:tc>
        <w:tc>
          <w:tcPr>
            <w:tcW w:w="1134"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100,00</w:t>
            </w:r>
          </w:p>
        </w:tc>
        <w:tc>
          <w:tcPr>
            <w:tcW w:w="1276"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85</w:t>
            </w:r>
          </w:p>
        </w:tc>
        <w:tc>
          <w:tcPr>
            <w:tcW w:w="1134" w:type="dxa"/>
            <w:tcBorders>
              <w:top w:val="nil"/>
              <w:left w:val="nil"/>
              <w:bottom w:val="single" w:sz="8" w:space="0" w:color="auto"/>
              <w:right w:val="nil"/>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85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0,00</w:t>
            </w:r>
          </w:p>
        </w:tc>
      </w:tr>
      <w:tr w:rsidR="009311A8" w:rsidRPr="006604FE" w:rsidTr="00C14C79">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154</w:t>
            </w:r>
          </w:p>
        </w:tc>
        <w:tc>
          <w:tcPr>
            <w:tcW w:w="1417"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1.587</w:t>
            </w:r>
          </w:p>
        </w:tc>
        <w:tc>
          <w:tcPr>
            <w:tcW w:w="1134"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1.709</w:t>
            </w:r>
          </w:p>
        </w:tc>
        <w:tc>
          <w:tcPr>
            <w:tcW w:w="1134"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7,69</w:t>
            </w:r>
          </w:p>
        </w:tc>
        <w:tc>
          <w:tcPr>
            <w:tcW w:w="1276"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43.495</w:t>
            </w:r>
          </w:p>
        </w:tc>
        <w:tc>
          <w:tcPr>
            <w:tcW w:w="1134" w:type="dxa"/>
            <w:tcBorders>
              <w:top w:val="nil"/>
              <w:left w:val="nil"/>
              <w:bottom w:val="single" w:sz="8" w:space="0" w:color="auto"/>
              <w:right w:val="nil"/>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44.760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2,91</w:t>
            </w:r>
          </w:p>
        </w:tc>
      </w:tr>
      <w:tr w:rsidR="009311A8" w:rsidRPr="006604FE" w:rsidTr="00C14C79">
        <w:trPr>
          <w:trHeight w:val="330"/>
        </w:trPr>
        <w:tc>
          <w:tcPr>
            <w:tcW w:w="1575" w:type="dxa"/>
            <w:tcBorders>
              <w:top w:val="nil"/>
              <w:left w:val="single" w:sz="8" w:space="0" w:color="auto"/>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66</w:t>
            </w:r>
          </w:p>
        </w:tc>
        <w:tc>
          <w:tcPr>
            <w:tcW w:w="1417"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10</w:t>
            </w:r>
          </w:p>
        </w:tc>
        <w:tc>
          <w:tcPr>
            <w:tcW w:w="1134"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-41,18</w:t>
            </w:r>
          </w:p>
        </w:tc>
        <w:tc>
          <w:tcPr>
            <w:tcW w:w="1276" w:type="dxa"/>
            <w:tcBorders>
              <w:top w:val="nil"/>
              <w:left w:val="nil"/>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110</w:t>
            </w:r>
          </w:p>
        </w:tc>
        <w:tc>
          <w:tcPr>
            <w:tcW w:w="1134" w:type="dxa"/>
            <w:tcBorders>
              <w:top w:val="nil"/>
              <w:left w:val="nil"/>
              <w:bottom w:val="single" w:sz="8" w:space="0" w:color="auto"/>
              <w:right w:val="nil"/>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110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rsidR="009311A8" w:rsidRPr="006604FE" w:rsidRDefault="009311A8" w:rsidP="0099399A">
            <w:pPr>
              <w:spacing w:after="0" w:line="240" w:lineRule="auto"/>
              <w:jc w:val="both"/>
              <w:rPr>
                <w:rFonts w:ascii="Times New Roman" w:eastAsia="Times New Roman" w:hAnsi="Times New Roman" w:cs="Times New Roman"/>
                <w:color w:val="000000"/>
                <w:sz w:val="24"/>
                <w:szCs w:val="24"/>
                <w:lang w:eastAsia="tr-TR" w:bidi="ar-SA"/>
              </w:rPr>
            </w:pPr>
            <w:r w:rsidRPr="006604FE">
              <w:rPr>
                <w:rFonts w:ascii="Times New Roman" w:eastAsia="Times New Roman" w:hAnsi="Times New Roman" w:cs="Times New Roman"/>
                <w:color w:val="000000"/>
                <w:sz w:val="24"/>
                <w:szCs w:val="24"/>
                <w:lang w:eastAsia="tr-TR" w:bidi="ar-SA"/>
              </w:rPr>
              <w:t>0,00</w:t>
            </w:r>
          </w:p>
        </w:tc>
      </w:tr>
      <w:tr w:rsidR="009311A8" w:rsidRPr="006604FE" w:rsidTr="00C14C79">
        <w:trPr>
          <w:trHeight w:val="330"/>
        </w:trPr>
        <w:tc>
          <w:tcPr>
            <w:tcW w:w="1575" w:type="dxa"/>
            <w:tcBorders>
              <w:top w:val="nil"/>
              <w:left w:val="single" w:sz="8" w:space="0" w:color="auto"/>
              <w:bottom w:val="single" w:sz="8" w:space="0" w:color="auto"/>
              <w:right w:val="single" w:sz="8" w:space="0" w:color="auto"/>
            </w:tcBorders>
            <w:shd w:val="clear" w:color="000000" w:fill="FF505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To</w:t>
            </w:r>
            <w:r>
              <w:rPr>
                <w:rFonts w:ascii="Times New Roman" w:eastAsia="Times New Roman" w:hAnsi="Times New Roman" w:cs="Times New Roman"/>
                <w:b/>
                <w:bCs/>
                <w:color w:val="FFFFFF"/>
                <w:sz w:val="24"/>
                <w:szCs w:val="24"/>
                <w:lang w:eastAsia="tr-TR" w:bidi="ar-SA"/>
              </w:rPr>
              <w:t>tal</w:t>
            </w:r>
          </w:p>
        </w:tc>
        <w:tc>
          <w:tcPr>
            <w:tcW w:w="1417" w:type="dxa"/>
            <w:tcBorders>
              <w:top w:val="nil"/>
              <w:left w:val="nil"/>
              <w:bottom w:val="single" w:sz="8" w:space="0" w:color="auto"/>
              <w:right w:val="single" w:sz="8" w:space="0" w:color="auto"/>
            </w:tcBorders>
            <w:shd w:val="clear" w:color="000000" w:fill="FF505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1.875</w:t>
            </w:r>
          </w:p>
        </w:tc>
        <w:tc>
          <w:tcPr>
            <w:tcW w:w="1134" w:type="dxa"/>
            <w:tcBorders>
              <w:top w:val="nil"/>
              <w:left w:val="nil"/>
              <w:bottom w:val="single" w:sz="8" w:space="0" w:color="auto"/>
              <w:right w:val="single" w:sz="8" w:space="0" w:color="auto"/>
            </w:tcBorders>
            <w:shd w:val="clear" w:color="000000" w:fill="FF505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2.004</w:t>
            </w:r>
          </w:p>
        </w:tc>
        <w:tc>
          <w:tcPr>
            <w:tcW w:w="1134" w:type="dxa"/>
            <w:tcBorders>
              <w:top w:val="nil"/>
              <w:left w:val="nil"/>
              <w:bottom w:val="single" w:sz="8" w:space="0" w:color="auto"/>
              <w:right w:val="single" w:sz="8" w:space="0" w:color="auto"/>
            </w:tcBorders>
            <w:shd w:val="clear" w:color="000000" w:fill="FF505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6,88</w:t>
            </w:r>
          </w:p>
        </w:tc>
        <w:tc>
          <w:tcPr>
            <w:tcW w:w="1276" w:type="dxa"/>
            <w:tcBorders>
              <w:top w:val="nil"/>
              <w:left w:val="nil"/>
              <w:bottom w:val="single" w:sz="8" w:space="0" w:color="auto"/>
              <w:right w:val="single" w:sz="8" w:space="0" w:color="auto"/>
            </w:tcBorders>
            <w:shd w:val="clear" w:color="000000" w:fill="FF505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66.286</w:t>
            </w:r>
          </w:p>
        </w:tc>
        <w:tc>
          <w:tcPr>
            <w:tcW w:w="1134" w:type="dxa"/>
            <w:tcBorders>
              <w:top w:val="nil"/>
              <w:left w:val="nil"/>
              <w:bottom w:val="single" w:sz="8" w:space="0" w:color="auto"/>
              <w:right w:val="single" w:sz="8" w:space="0" w:color="auto"/>
            </w:tcBorders>
            <w:shd w:val="clear" w:color="000000" w:fill="FF505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68.204</w:t>
            </w:r>
          </w:p>
        </w:tc>
        <w:tc>
          <w:tcPr>
            <w:tcW w:w="1134" w:type="dxa"/>
            <w:tcBorders>
              <w:top w:val="nil"/>
              <w:left w:val="nil"/>
              <w:bottom w:val="single" w:sz="8" w:space="0" w:color="auto"/>
              <w:right w:val="single" w:sz="8" w:space="0" w:color="auto"/>
            </w:tcBorders>
            <w:shd w:val="clear" w:color="000000" w:fill="FF5050"/>
            <w:noWrap/>
            <w:vAlign w:val="center"/>
            <w:hideMark/>
          </w:tcPr>
          <w:p w:rsidR="009311A8" w:rsidRPr="006604FE" w:rsidRDefault="009311A8" w:rsidP="0099399A">
            <w:pPr>
              <w:spacing w:after="0" w:line="240" w:lineRule="auto"/>
              <w:jc w:val="both"/>
              <w:rPr>
                <w:rFonts w:ascii="Times New Roman" w:eastAsia="Times New Roman" w:hAnsi="Times New Roman" w:cs="Times New Roman"/>
                <w:b/>
                <w:bCs/>
                <w:color w:val="FFFFFF"/>
                <w:sz w:val="24"/>
                <w:szCs w:val="24"/>
                <w:lang w:eastAsia="tr-TR" w:bidi="ar-SA"/>
              </w:rPr>
            </w:pPr>
            <w:r w:rsidRPr="006604FE">
              <w:rPr>
                <w:rFonts w:ascii="Times New Roman" w:eastAsia="Times New Roman" w:hAnsi="Times New Roman" w:cs="Times New Roman"/>
                <w:b/>
                <w:bCs/>
                <w:color w:val="FFFFFF"/>
                <w:sz w:val="24"/>
                <w:szCs w:val="24"/>
                <w:lang w:eastAsia="tr-TR" w:bidi="ar-SA"/>
              </w:rPr>
              <w:t>2,89</w:t>
            </w:r>
          </w:p>
        </w:tc>
      </w:tr>
    </w:tbl>
    <w:p w:rsidR="009311A8" w:rsidRPr="009311A8" w:rsidRDefault="009311A8" w:rsidP="003156E5"/>
    <w:p w:rsidR="004C7560" w:rsidRDefault="004C7560" w:rsidP="00315B1C">
      <w:pPr>
        <w:pStyle w:val="Balk2"/>
      </w:pPr>
      <w:bookmarkStart w:id="723" w:name="_Toc494988668"/>
      <w:bookmarkStart w:id="724" w:name="_Toc520822138"/>
      <w:bookmarkStart w:id="725" w:name="_Toc10123917"/>
    </w:p>
    <w:p w:rsidR="009311A8" w:rsidRPr="002F59AC" w:rsidRDefault="009311A8" w:rsidP="00315B1C">
      <w:pPr>
        <w:pStyle w:val="Balk2"/>
      </w:pPr>
      <w:bookmarkStart w:id="726" w:name="_Toc12526290"/>
      <w:bookmarkStart w:id="727" w:name="_Toc12535904"/>
      <w:r w:rsidRPr="002F59AC">
        <w:t>Figure</w:t>
      </w:r>
      <w:r>
        <w:rPr>
          <w:caps/>
        </w:rPr>
        <w:t xml:space="preserve"> 4.1</w:t>
      </w:r>
      <w:r w:rsidRPr="002F59AC">
        <w:t xml:space="preserve">: </w:t>
      </w:r>
      <w:r w:rsidRPr="003C7376">
        <w:t>Change</w:t>
      </w:r>
      <w:r>
        <w:t>s</w:t>
      </w:r>
      <w:r w:rsidRPr="003C7376">
        <w:t xml:space="preserve"> in TE</w:t>
      </w:r>
      <w:r>
        <w:t>İAŞ</w:t>
      </w:r>
      <w:r w:rsidRPr="003C7376">
        <w:t xml:space="preserve"> Transmission Line Lengths by Years (km)</w:t>
      </w:r>
      <w:bookmarkEnd w:id="723"/>
      <w:bookmarkEnd w:id="724"/>
      <w:bookmarkEnd w:id="725"/>
      <w:bookmarkEnd w:id="726"/>
      <w:bookmarkEnd w:id="727"/>
    </w:p>
    <w:p w:rsidR="00160C6E" w:rsidRDefault="009311A8" w:rsidP="0099399A">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bidi="ar-SA"/>
        </w:rPr>
        <w:drawing>
          <wp:inline distT="0" distB="0" distL="0" distR="0" wp14:anchorId="54F42DFB" wp14:editId="3694DB30">
            <wp:extent cx="5629275" cy="3467100"/>
            <wp:effectExtent l="0" t="0" r="952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629275" cy="3467100"/>
                    </a:xfrm>
                    <a:prstGeom prst="rect">
                      <a:avLst/>
                    </a:prstGeom>
                    <a:noFill/>
                    <a:ln>
                      <a:noFill/>
                    </a:ln>
                  </pic:spPr>
                </pic:pic>
              </a:graphicData>
            </a:graphic>
          </wp:inline>
        </w:drawing>
      </w:r>
    </w:p>
    <w:p w:rsidR="004C7560" w:rsidRDefault="004C7560" w:rsidP="0099399A">
      <w:pPr>
        <w:jc w:val="both"/>
        <w:rPr>
          <w:rFonts w:ascii="Times New Roman" w:hAnsi="Times New Roman" w:cs="Times New Roman"/>
          <w:sz w:val="24"/>
          <w:szCs w:val="24"/>
        </w:rPr>
      </w:pPr>
    </w:p>
    <w:p w:rsidR="009311A8" w:rsidRPr="0099731C" w:rsidRDefault="009311A8" w:rsidP="0099399A">
      <w:pPr>
        <w:jc w:val="both"/>
        <w:rPr>
          <w:rFonts w:ascii="Times New Roman" w:hAnsi="Times New Roman" w:cs="Times New Roman"/>
          <w:sz w:val="24"/>
          <w:szCs w:val="24"/>
        </w:rPr>
        <w:sectPr w:rsidR="009311A8" w:rsidRPr="0099731C" w:rsidSect="00DE583A">
          <w:pgSz w:w="11906" w:h="16838"/>
          <w:pgMar w:top="1135" w:right="1418" w:bottom="1418" w:left="1418" w:header="709" w:footer="709" w:gutter="0"/>
          <w:cols w:space="708"/>
          <w:docGrid w:linePitch="360"/>
        </w:sectPr>
      </w:pPr>
      <w:r w:rsidRPr="0099731C">
        <w:rPr>
          <w:rFonts w:ascii="Times New Roman" w:hAnsi="Times New Roman" w:cs="Times New Roman"/>
          <w:sz w:val="24"/>
          <w:szCs w:val="24"/>
        </w:rPr>
        <w:t>In the last 15 years, there was a 48,98% increase in transmission line lengths.</w:t>
      </w:r>
    </w:p>
    <w:p w:rsidR="009311A8" w:rsidRPr="001C77FE" w:rsidRDefault="009311A8" w:rsidP="0099399A">
      <w:pPr>
        <w:pStyle w:val="11ilebalayanlar"/>
        <w:jc w:val="both"/>
      </w:pPr>
      <w:bookmarkStart w:id="728" w:name="_Toc494982804"/>
      <w:bookmarkStart w:id="729" w:name="_Toc520822022"/>
      <w:bookmarkStart w:id="730" w:name="_Toc12528953"/>
      <w:r>
        <w:lastRenderedPageBreak/>
        <w:t xml:space="preserve">4.2 </w:t>
      </w:r>
      <w:r w:rsidRPr="00A42817">
        <w:t>Transmission System Connection Applications</w:t>
      </w:r>
      <w:bookmarkEnd w:id="728"/>
      <w:bookmarkEnd w:id="729"/>
      <w:bookmarkEnd w:id="730"/>
    </w:p>
    <w:p w:rsidR="009311A8" w:rsidRDefault="009311A8" w:rsidP="003156E5"/>
    <w:p w:rsidR="009311A8" w:rsidRPr="0099731C" w:rsidRDefault="009311A8" w:rsidP="0099399A">
      <w:pPr>
        <w:spacing w:line="360" w:lineRule="auto"/>
        <w:jc w:val="both"/>
        <w:rPr>
          <w:rFonts w:ascii="Times New Roman" w:hAnsi="Times New Roman" w:cs="Times New Roman"/>
          <w:sz w:val="24"/>
          <w:szCs w:val="24"/>
        </w:rPr>
      </w:pPr>
      <w:r w:rsidRPr="0099731C">
        <w:rPr>
          <w:rFonts w:ascii="Times New Roman" w:hAnsi="Times New Roman" w:cs="Times New Roman"/>
          <w:sz w:val="24"/>
          <w:szCs w:val="24"/>
        </w:rPr>
        <w:t>The table below shows the number of applications and capacity for connection to the transmission system in 2018 with information on acceptance, rejection and evaluation stages are shown.</w:t>
      </w:r>
    </w:p>
    <w:p w:rsidR="009311A8" w:rsidRPr="00613CF6" w:rsidRDefault="009311A8" w:rsidP="00315B1C">
      <w:pPr>
        <w:pStyle w:val="Balk1"/>
      </w:pPr>
      <w:bookmarkStart w:id="731" w:name="_Toc520822061"/>
      <w:bookmarkStart w:id="732" w:name="_Toc10123919"/>
      <w:bookmarkStart w:id="733" w:name="_Toc10191441"/>
      <w:bookmarkStart w:id="734" w:name="_Toc12526292"/>
      <w:r w:rsidRPr="000C6D21">
        <w:t>Table</w:t>
      </w:r>
      <w:r>
        <w:t xml:space="preserve"> 4</w:t>
      </w:r>
      <w:r w:rsidRPr="000C6D21">
        <w:t xml:space="preserve">.3: </w:t>
      </w:r>
      <w:r w:rsidRPr="00A42817">
        <w:t>Connection Applications to</w:t>
      </w:r>
      <w:r>
        <w:t xml:space="preserve"> the Transmission System (Number</w:t>
      </w:r>
      <w:r w:rsidRPr="00A42817">
        <w:t>-MW)</w:t>
      </w:r>
      <w:bookmarkEnd w:id="731"/>
      <w:bookmarkEnd w:id="732"/>
      <w:bookmarkEnd w:id="733"/>
      <w:bookmarkEnd w:id="734"/>
    </w:p>
    <w:tbl>
      <w:tblPr>
        <w:tblW w:w="9229" w:type="dxa"/>
        <w:tblInd w:w="55" w:type="dxa"/>
        <w:tblLayout w:type="fixed"/>
        <w:tblCellMar>
          <w:left w:w="70" w:type="dxa"/>
          <w:right w:w="70" w:type="dxa"/>
        </w:tblCellMar>
        <w:tblLook w:val="04A0" w:firstRow="1" w:lastRow="0" w:firstColumn="1" w:lastColumn="0" w:noHBand="0" w:noVBand="1"/>
      </w:tblPr>
      <w:tblGrid>
        <w:gridCol w:w="1660"/>
        <w:gridCol w:w="907"/>
        <w:gridCol w:w="992"/>
        <w:gridCol w:w="851"/>
        <w:gridCol w:w="992"/>
        <w:gridCol w:w="879"/>
        <w:gridCol w:w="964"/>
        <w:gridCol w:w="992"/>
        <w:gridCol w:w="992"/>
      </w:tblGrid>
      <w:tr w:rsidR="009311A8" w:rsidRPr="00BD499D" w:rsidTr="00C05688">
        <w:trPr>
          <w:trHeight w:val="600"/>
        </w:trPr>
        <w:tc>
          <w:tcPr>
            <w:tcW w:w="16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9311A8" w:rsidRPr="00BD499D" w:rsidRDefault="009311A8" w:rsidP="0099399A">
            <w:pPr>
              <w:spacing w:after="0" w:line="240" w:lineRule="auto"/>
              <w:jc w:val="both"/>
              <w:rPr>
                <w:rFonts w:ascii="Calibri" w:eastAsia="Times New Roman" w:hAnsi="Calibri" w:cs="Times New Roman"/>
                <w:color w:val="FFFFFF"/>
                <w:lang w:eastAsia="tr-TR" w:bidi="ar-SA"/>
              </w:rPr>
            </w:pPr>
            <w:r w:rsidRPr="00BD499D">
              <w:rPr>
                <w:rFonts w:ascii="Calibri" w:eastAsia="Times New Roman" w:hAnsi="Calibri" w:cs="Times New Roman"/>
                <w:color w:val="FFFFFF"/>
                <w:lang w:eastAsia="tr-TR" w:bidi="ar-SA"/>
              </w:rPr>
              <w:t> </w:t>
            </w:r>
          </w:p>
        </w:tc>
        <w:tc>
          <w:tcPr>
            <w:tcW w:w="1899" w:type="dxa"/>
            <w:gridSpan w:val="2"/>
            <w:tcBorders>
              <w:top w:val="single" w:sz="8" w:space="0" w:color="auto"/>
              <w:left w:val="nil"/>
              <w:bottom w:val="single" w:sz="8" w:space="0" w:color="auto"/>
              <w:right w:val="single" w:sz="8" w:space="0" w:color="000000"/>
            </w:tcBorders>
            <w:shd w:val="clear" w:color="000000" w:fill="FF0000"/>
            <w:vAlign w:val="center"/>
            <w:hideMark/>
          </w:tcPr>
          <w:p w:rsidR="009311A8" w:rsidRPr="00BD499D" w:rsidRDefault="009311A8"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Connection Application</w:t>
            </w:r>
          </w:p>
        </w:tc>
        <w:tc>
          <w:tcPr>
            <w:tcW w:w="1843" w:type="dxa"/>
            <w:gridSpan w:val="2"/>
            <w:tcBorders>
              <w:top w:val="single" w:sz="8" w:space="0" w:color="auto"/>
              <w:left w:val="nil"/>
              <w:bottom w:val="single" w:sz="8" w:space="0" w:color="auto"/>
              <w:right w:val="single" w:sz="8" w:space="0" w:color="000000"/>
            </w:tcBorders>
            <w:shd w:val="clear" w:color="000000" w:fill="FF0000"/>
            <w:vAlign w:val="center"/>
            <w:hideMark/>
          </w:tcPr>
          <w:p w:rsidR="009311A8" w:rsidRPr="00BD499D" w:rsidRDefault="009311A8"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Acccepted</w:t>
            </w:r>
          </w:p>
        </w:tc>
        <w:tc>
          <w:tcPr>
            <w:tcW w:w="1843" w:type="dxa"/>
            <w:gridSpan w:val="2"/>
            <w:tcBorders>
              <w:top w:val="single" w:sz="8" w:space="0" w:color="auto"/>
              <w:left w:val="nil"/>
              <w:bottom w:val="single" w:sz="8" w:space="0" w:color="auto"/>
              <w:right w:val="single" w:sz="8" w:space="0" w:color="000000"/>
            </w:tcBorders>
            <w:shd w:val="clear" w:color="000000" w:fill="FF0000"/>
            <w:vAlign w:val="center"/>
            <w:hideMark/>
          </w:tcPr>
          <w:p w:rsidR="009311A8" w:rsidRPr="00BD499D" w:rsidRDefault="009311A8" w:rsidP="00315B1C">
            <w:pPr>
              <w:spacing w:after="0" w:line="240" w:lineRule="auto"/>
              <w:jc w:val="center"/>
              <w:rPr>
                <w:rFonts w:ascii="Calibri" w:eastAsia="Times New Roman" w:hAnsi="Calibri" w:cs="Times New Roman"/>
                <w:b/>
                <w:bCs/>
                <w:color w:val="FFFFFF"/>
                <w:lang w:eastAsia="tr-TR" w:bidi="ar-SA"/>
              </w:rPr>
            </w:pPr>
            <w:r w:rsidRPr="00BD499D">
              <w:rPr>
                <w:rFonts w:ascii="Calibri" w:eastAsia="Times New Roman" w:hAnsi="Calibri" w:cs="Times New Roman"/>
                <w:b/>
                <w:bCs/>
                <w:color w:val="FFFFFF"/>
                <w:lang w:eastAsia="tr-TR" w:bidi="ar-SA"/>
              </w:rPr>
              <w:t>R</w:t>
            </w:r>
            <w:r>
              <w:rPr>
                <w:rFonts w:ascii="Calibri" w:eastAsia="Times New Roman" w:hAnsi="Calibri" w:cs="Times New Roman"/>
                <w:b/>
                <w:bCs/>
                <w:color w:val="FFFFFF"/>
                <w:lang w:eastAsia="tr-TR" w:bidi="ar-SA"/>
              </w:rPr>
              <w:t>ejected</w:t>
            </w:r>
          </w:p>
        </w:tc>
        <w:tc>
          <w:tcPr>
            <w:tcW w:w="1984" w:type="dxa"/>
            <w:gridSpan w:val="2"/>
            <w:tcBorders>
              <w:top w:val="single" w:sz="8" w:space="0" w:color="auto"/>
              <w:left w:val="nil"/>
              <w:bottom w:val="single" w:sz="8" w:space="0" w:color="auto"/>
              <w:right w:val="single" w:sz="8" w:space="0" w:color="000000"/>
            </w:tcBorders>
            <w:shd w:val="clear" w:color="000000" w:fill="FF0000"/>
            <w:vAlign w:val="center"/>
            <w:hideMark/>
          </w:tcPr>
          <w:p w:rsidR="009311A8" w:rsidRPr="00BD499D" w:rsidRDefault="009311A8"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In the Evaluation Stage</w:t>
            </w:r>
          </w:p>
        </w:tc>
      </w:tr>
      <w:tr w:rsidR="009311A8" w:rsidRPr="00BD499D" w:rsidTr="00C05688">
        <w:trPr>
          <w:trHeight w:val="615"/>
        </w:trPr>
        <w:tc>
          <w:tcPr>
            <w:tcW w:w="1660" w:type="dxa"/>
            <w:vMerge/>
            <w:tcBorders>
              <w:top w:val="single" w:sz="8" w:space="0" w:color="auto"/>
              <w:left w:val="single" w:sz="8" w:space="0" w:color="auto"/>
              <w:bottom w:val="single" w:sz="8" w:space="0" w:color="000000"/>
              <w:right w:val="single" w:sz="8" w:space="0" w:color="auto"/>
            </w:tcBorders>
            <w:vAlign w:val="center"/>
            <w:hideMark/>
          </w:tcPr>
          <w:p w:rsidR="009311A8" w:rsidRPr="00BD499D" w:rsidRDefault="009311A8" w:rsidP="0099399A">
            <w:pPr>
              <w:spacing w:after="0" w:line="240" w:lineRule="auto"/>
              <w:jc w:val="both"/>
              <w:rPr>
                <w:rFonts w:ascii="Calibri" w:eastAsia="Times New Roman" w:hAnsi="Calibri" w:cs="Times New Roman"/>
                <w:color w:val="FFFFFF"/>
                <w:lang w:eastAsia="tr-TR" w:bidi="ar-SA"/>
              </w:rPr>
            </w:pPr>
          </w:p>
        </w:tc>
        <w:tc>
          <w:tcPr>
            <w:tcW w:w="907" w:type="dxa"/>
            <w:tcBorders>
              <w:top w:val="nil"/>
              <w:left w:val="nil"/>
              <w:bottom w:val="single" w:sz="8" w:space="0" w:color="auto"/>
              <w:right w:val="single" w:sz="8" w:space="0" w:color="auto"/>
            </w:tcBorders>
            <w:shd w:val="clear" w:color="000000" w:fill="FF0000"/>
            <w:vAlign w:val="center"/>
            <w:hideMark/>
          </w:tcPr>
          <w:p w:rsidR="009311A8" w:rsidRPr="00F755F7" w:rsidRDefault="009311A8" w:rsidP="00315B1C">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Number</w:t>
            </w:r>
          </w:p>
        </w:tc>
        <w:tc>
          <w:tcPr>
            <w:tcW w:w="992" w:type="dxa"/>
            <w:tcBorders>
              <w:top w:val="nil"/>
              <w:left w:val="nil"/>
              <w:bottom w:val="single" w:sz="8" w:space="0" w:color="auto"/>
              <w:right w:val="single" w:sz="8" w:space="0" w:color="auto"/>
            </w:tcBorders>
            <w:shd w:val="clear" w:color="000000" w:fill="FF0000"/>
            <w:vAlign w:val="center"/>
            <w:hideMark/>
          </w:tcPr>
          <w:p w:rsidR="009311A8" w:rsidRPr="00F755F7" w:rsidRDefault="009311A8" w:rsidP="00315B1C">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Capacity (MW)</w:t>
            </w:r>
          </w:p>
        </w:tc>
        <w:tc>
          <w:tcPr>
            <w:tcW w:w="851" w:type="dxa"/>
            <w:tcBorders>
              <w:top w:val="nil"/>
              <w:left w:val="nil"/>
              <w:bottom w:val="single" w:sz="8" w:space="0" w:color="auto"/>
              <w:right w:val="single" w:sz="8" w:space="0" w:color="auto"/>
            </w:tcBorders>
            <w:shd w:val="clear" w:color="000000" w:fill="FF0000"/>
            <w:vAlign w:val="center"/>
            <w:hideMark/>
          </w:tcPr>
          <w:p w:rsidR="009311A8" w:rsidRPr="00F755F7" w:rsidRDefault="009311A8" w:rsidP="00315B1C">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Number</w:t>
            </w:r>
          </w:p>
        </w:tc>
        <w:tc>
          <w:tcPr>
            <w:tcW w:w="992" w:type="dxa"/>
            <w:tcBorders>
              <w:top w:val="nil"/>
              <w:left w:val="nil"/>
              <w:bottom w:val="single" w:sz="8" w:space="0" w:color="auto"/>
              <w:right w:val="single" w:sz="8" w:space="0" w:color="auto"/>
            </w:tcBorders>
            <w:shd w:val="clear" w:color="000000" w:fill="FF0000"/>
            <w:vAlign w:val="center"/>
            <w:hideMark/>
          </w:tcPr>
          <w:p w:rsidR="009311A8" w:rsidRDefault="009311A8" w:rsidP="00315B1C">
            <w:pPr>
              <w:spacing w:after="0" w:line="240" w:lineRule="auto"/>
              <w:jc w:val="center"/>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Capacity</w:t>
            </w:r>
          </w:p>
          <w:p w:rsidR="009311A8" w:rsidRPr="00F755F7" w:rsidRDefault="009311A8" w:rsidP="00315B1C">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(MW)</w:t>
            </w:r>
          </w:p>
        </w:tc>
        <w:tc>
          <w:tcPr>
            <w:tcW w:w="879" w:type="dxa"/>
            <w:tcBorders>
              <w:top w:val="nil"/>
              <w:left w:val="nil"/>
              <w:bottom w:val="single" w:sz="8" w:space="0" w:color="auto"/>
              <w:right w:val="single" w:sz="8" w:space="0" w:color="auto"/>
            </w:tcBorders>
            <w:shd w:val="clear" w:color="000000" w:fill="FF0000"/>
            <w:vAlign w:val="center"/>
            <w:hideMark/>
          </w:tcPr>
          <w:p w:rsidR="009311A8" w:rsidRPr="00F755F7" w:rsidRDefault="009311A8" w:rsidP="00315B1C">
            <w:pPr>
              <w:spacing w:after="0" w:line="240" w:lineRule="auto"/>
              <w:jc w:val="center"/>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Number</w:t>
            </w:r>
          </w:p>
        </w:tc>
        <w:tc>
          <w:tcPr>
            <w:tcW w:w="964" w:type="dxa"/>
            <w:tcBorders>
              <w:top w:val="nil"/>
              <w:left w:val="nil"/>
              <w:bottom w:val="single" w:sz="8" w:space="0" w:color="auto"/>
              <w:right w:val="single" w:sz="8" w:space="0" w:color="auto"/>
            </w:tcBorders>
            <w:shd w:val="clear" w:color="000000" w:fill="FF0000"/>
            <w:vAlign w:val="center"/>
            <w:hideMark/>
          </w:tcPr>
          <w:p w:rsidR="009311A8" w:rsidRDefault="009311A8" w:rsidP="00315B1C">
            <w:pPr>
              <w:spacing w:after="0" w:line="240" w:lineRule="auto"/>
              <w:jc w:val="center"/>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Capacity</w:t>
            </w:r>
          </w:p>
          <w:p w:rsidR="009311A8" w:rsidRPr="00F755F7" w:rsidRDefault="009311A8" w:rsidP="00315B1C">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(MW)</w:t>
            </w:r>
          </w:p>
        </w:tc>
        <w:tc>
          <w:tcPr>
            <w:tcW w:w="992" w:type="dxa"/>
            <w:tcBorders>
              <w:top w:val="nil"/>
              <w:left w:val="nil"/>
              <w:bottom w:val="single" w:sz="8" w:space="0" w:color="auto"/>
              <w:right w:val="single" w:sz="8" w:space="0" w:color="auto"/>
            </w:tcBorders>
            <w:shd w:val="clear" w:color="000000" w:fill="FF0000"/>
            <w:vAlign w:val="center"/>
            <w:hideMark/>
          </w:tcPr>
          <w:p w:rsidR="009311A8" w:rsidRPr="00F755F7" w:rsidRDefault="009311A8" w:rsidP="00315B1C">
            <w:pPr>
              <w:spacing w:after="0" w:line="240" w:lineRule="auto"/>
              <w:jc w:val="center"/>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Number</w:t>
            </w:r>
          </w:p>
        </w:tc>
        <w:tc>
          <w:tcPr>
            <w:tcW w:w="992" w:type="dxa"/>
            <w:tcBorders>
              <w:top w:val="nil"/>
              <w:left w:val="nil"/>
              <w:bottom w:val="single" w:sz="8" w:space="0" w:color="auto"/>
              <w:right w:val="single" w:sz="8" w:space="0" w:color="auto"/>
            </w:tcBorders>
            <w:shd w:val="clear" w:color="000000" w:fill="FF0000"/>
            <w:vAlign w:val="center"/>
            <w:hideMark/>
          </w:tcPr>
          <w:p w:rsidR="009311A8" w:rsidRDefault="009311A8" w:rsidP="00315B1C">
            <w:pPr>
              <w:spacing w:after="0" w:line="240" w:lineRule="auto"/>
              <w:jc w:val="center"/>
              <w:rPr>
                <w:rFonts w:ascii="Calibri" w:eastAsia="Times New Roman" w:hAnsi="Calibri" w:cs="Times New Roman"/>
                <w:b/>
                <w:bCs/>
                <w:color w:val="FFFFFF"/>
                <w:sz w:val="20"/>
                <w:szCs w:val="20"/>
                <w:lang w:eastAsia="tr-TR" w:bidi="ar-SA"/>
              </w:rPr>
            </w:pPr>
            <w:r>
              <w:rPr>
                <w:rFonts w:ascii="Calibri" w:eastAsia="Times New Roman" w:hAnsi="Calibri" w:cs="Times New Roman"/>
                <w:b/>
                <w:bCs/>
                <w:color w:val="FFFFFF"/>
                <w:sz w:val="20"/>
                <w:szCs w:val="20"/>
                <w:lang w:eastAsia="tr-TR" w:bidi="ar-SA"/>
              </w:rPr>
              <w:t>Capacity</w:t>
            </w:r>
          </w:p>
          <w:p w:rsidR="009311A8" w:rsidRPr="00F755F7" w:rsidRDefault="009311A8" w:rsidP="00315B1C">
            <w:pPr>
              <w:spacing w:after="0" w:line="240" w:lineRule="auto"/>
              <w:jc w:val="center"/>
              <w:rPr>
                <w:rFonts w:ascii="Calibri" w:eastAsia="Times New Roman" w:hAnsi="Calibri" w:cs="Times New Roman"/>
                <w:b/>
                <w:bCs/>
                <w:color w:val="FFFFFF"/>
                <w:sz w:val="20"/>
                <w:szCs w:val="20"/>
                <w:lang w:eastAsia="tr-TR" w:bidi="ar-SA"/>
              </w:rPr>
            </w:pPr>
            <w:r w:rsidRPr="00F755F7">
              <w:rPr>
                <w:rFonts w:ascii="Calibri" w:eastAsia="Times New Roman" w:hAnsi="Calibri" w:cs="Times New Roman"/>
                <w:b/>
                <w:bCs/>
                <w:color w:val="FFFFFF"/>
                <w:sz w:val="20"/>
                <w:szCs w:val="20"/>
                <w:lang w:eastAsia="tr-TR" w:bidi="ar-SA"/>
              </w:rPr>
              <w:t>(MW)</w:t>
            </w:r>
          </w:p>
        </w:tc>
      </w:tr>
      <w:tr w:rsidR="009311A8" w:rsidRPr="00BD499D" w:rsidTr="00C05688">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9311A8" w:rsidRPr="00BD499D" w:rsidRDefault="009311A8" w:rsidP="0099399A">
            <w:pPr>
              <w:spacing w:after="0" w:line="240" w:lineRule="auto"/>
              <w:jc w:val="both"/>
              <w:rPr>
                <w:rFonts w:ascii="Arial" w:eastAsia="Times New Roman" w:hAnsi="Arial" w:cs="Arial"/>
                <w:b/>
                <w:bCs/>
                <w:color w:val="FFFFFF"/>
                <w:sz w:val="20"/>
                <w:szCs w:val="20"/>
                <w:lang w:eastAsia="tr-TR" w:bidi="ar-SA"/>
              </w:rPr>
            </w:pPr>
            <w:r>
              <w:rPr>
                <w:rFonts w:ascii="Arial" w:eastAsia="Times New Roman" w:hAnsi="Arial" w:cs="Arial"/>
                <w:b/>
                <w:bCs/>
                <w:color w:val="FFFFFF" w:themeColor="background1"/>
                <w:sz w:val="20"/>
                <w:szCs w:val="20"/>
                <w:lang w:eastAsia="tr-TR" w:bidi="ar-SA"/>
              </w:rPr>
              <w:t>Licensed Producer</w:t>
            </w:r>
          </w:p>
        </w:tc>
        <w:tc>
          <w:tcPr>
            <w:tcW w:w="907"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190</w:t>
            </w:r>
          </w:p>
        </w:tc>
        <w:tc>
          <w:tcPr>
            <w:tcW w:w="992"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3.141,40</w:t>
            </w:r>
          </w:p>
        </w:tc>
        <w:tc>
          <w:tcPr>
            <w:tcW w:w="851"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184</w:t>
            </w:r>
          </w:p>
        </w:tc>
        <w:tc>
          <w:tcPr>
            <w:tcW w:w="992"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3.043,20</w:t>
            </w:r>
          </w:p>
        </w:tc>
        <w:tc>
          <w:tcPr>
            <w:tcW w:w="879"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 </w:t>
            </w:r>
          </w:p>
        </w:tc>
        <w:tc>
          <w:tcPr>
            <w:tcW w:w="964"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 </w:t>
            </w:r>
          </w:p>
        </w:tc>
        <w:tc>
          <w:tcPr>
            <w:tcW w:w="992"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6</w:t>
            </w:r>
          </w:p>
        </w:tc>
        <w:tc>
          <w:tcPr>
            <w:tcW w:w="992"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98,20</w:t>
            </w:r>
          </w:p>
        </w:tc>
      </w:tr>
      <w:tr w:rsidR="009311A8" w:rsidRPr="00BD499D" w:rsidTr="00C05688">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9311A8" w:rsidRPr="00BD499D" w:rsidRDefault="009311A8" w:rsidP="0099399A">
            <w:pPr>
              <w:spacing w:after="0" w:line="240" w:lineRule="auto"/>
              <w:jc w:val="both"/>
              <w:rPr>
                <w:rFonts w:ascii="Arial" w:eastAsia="Times New Roman" w:hAnsi="Arial" w:cs="Arial"/>
                <w:b/>
                <w:bCs/>
                <w:color w:val="FFFFFF"/>
                <w:sz w:val="20"/>
                <w:szCs w:val="20"/>
                <w:lang w:eastAsia="tr-TR" w:bidi="ar-SA"/>
              </w:rPr>
            </w:pPr>
            <w:r>
              <w:rPr>
                <w:rFonts w:ascii="Arial" w:eastAsia="Times New Roman" w:hAnsi="Arial" w:cs="Arial"/>
                <w:b/>
                <w:bCs/>
                <w:color w:val="FFFFFF"/>
                <w:sz w:val="20"/>
                <w:szCs w:val="20"/>
                <w:lang w:eastAsia="tr-TR" w:bidi="ar-SA"/>
              </w:rPr>
              <w:t>Consumer</w:t>
            </w:r>
          </w:p>
        </w:tc>
        <w:tc>
          <w:tcPr>
            <w:tcW w:w="907"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45</w:t>
            </w:r>
          </w:p>
        </w:tc>
        <w:tc>
          <w:tcPr>
            <w:tcW w:w="992"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2.703,82</w:t>
            </w:r>
          </w:p>
        </w:tc>
        <w:tc>
          <w:tcPr>
            <w:tcW w:w="851"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40</w:t>
            </w:r>
          </w:p>
        </w:tc>
        <w:tc>
          <w:tcPr>
            <w:tcW w:w="992"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2.150,82</w:t>
            </w:r>
          </w:p>
        </w:tc>
        <w:tc>
          <w:tcPr>
            <w:tcW w:w="879"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3</w:t>
            </w:r>
          </w:p>
        </w:tc>
        <w:tc>
          <w:tcPr>
            <w:tcW w:w="964"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38,00</w:t>
            </w:r>
          </w:p>
        </w:tc>
        <w:tc>
          <w:tcPr>
            <w:tcW w:w="992"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2</w:t>
            </w:r>
          </w:p>
        </w:tc>
        <w:tc>
          <w:tcPr>
            <w:tcW w:w="992" w:type="dxa"/>
            <w:tcBorders>
              <w:top w:val="nil"/>
              <w:left w:val="nil"/>
              <w:bottom w:val="single" w:sz="8" w:space="0" w:color="auto"/>
              <w:right w:val="single" w:sz="8" w:space="0" w:color="auto"/>
            </w:tcBorders>
            <w:shd w:val="clear" w:color="auto" w:fill="auto"/>
            <w:noWrap/>
            <w:vAlign w:val="bottom"/>
          </w:tcPr>
          <w:p w:rsidR="009311A8" w:rsidRDefault="009311A8" w:rsidP="0099399A">
            <w:pPr>
              <w:jc w:val="both"/>
              <w:rPr>
                <w:rFonts w:ascii="Calibri" w:hAnsi="Calibri"/>
                <w:color w:val="000000"/>
              </w:rPr>
            </w:pPr>
            <w:r>
              <w:rPr>
                <w:rFonts w:ascii="Calibri" w:hAnsi="Calibri"/>
                <w:color w:val="000000"/>
              </w:rPr>
              <w:t>515,00</w:t>
            </w:r>
          </w:p>
        </w:tc>
      </w:tr>
    </w:tbl>
    <w:p w:rsidR="009311A8" w:rsidRPr="0094114B" w:rsidRDefault="009311A8" w:rsidP="0099399A">
      <w:pPr>
        <w:spacing w:line="360" w:lineRule="auto"/>
        <w:jc w:val="both"/>
        <w:rPr>
          <w:rFonts w:ascii="Times New Roman" w:hAnsi="Times New Roman" w:cs="Times New Roman"/>
          <w:sz w:val="24"/>
          <w:szCs w:val="24"/>
        </w:rPr>
      </w:pPr>
    </w:p>
    <w:p w:rsidR="009311A8" w:rsidRPr="0094114B" w:rsidRDefault="009311A8" w:rsidP="0099399A">
      <w:pPr>
        <w:spacing w:line="360" w:lineRule="auto"/>
        <w:jc w:val="both"/>
        <w:rPr>
          <w:rFonts w:ascii="Times New Roman" w:hAnsi="Times New Roman" w:cs="Times New Roman"/>
          <w:sz w:val="24"/>
          <w:szCs w:val="24"/>
        </w:rPr>
      </w:pPr>
      <w:r w:rsidRPr="0094114B">
        <w:rPr>
          <w:rFonts w:ascii="Times New Roman" w:hAnsi="Times New Roman" w:cs="Times New Roman"/>
          <w:sz w:val="24"/>
          <w:szCs w:val="24"/>
        </w:rPr>
        <w:t xml:space="preserve">In 2018, a total of 3.141,40 MW connection applications were made by producers and </w:t>
      </w:r>
      <w:r w:rsidR="0094114B" w:rsidRPr="0094114B">
        <w:rPr>
          <w:rFonts w:ascii="Times New Roman" w:hAnsi="Times New Roman" w:cs="Times New Roman"/>
          <w:sz w:val="24"/>
          <w:szCs w:val="24"/>
        </w:rPr>
        <w:t xml:space="preserve">3.043,20 of these applications </w:t>
      </w:r>
      <w:r w:rsidRPr="0094114B">
        <w:rPr>
          <w:rFonts w:ascii="Times New Roman" w:hAnsi="Times New Roman" w:cs="Times New Roman"/>
          <w:sz w:val="24"/>
          <w:szCs w:val="24"/>
        </w:rPr>
        <w:t>accept</w:t>
      </w:r>
      <w:r w:rsidR="0094114B" w:rsidRPr="0094114B">
        <w:rPr>
          <w:rFonts w:ascii="Times New Roman" w:hAnsi="Times New Roman" w:cs="Times New Roman"/>
          <w:sz w:val="24"/>
          <w:szCs w:val="24"/>
        </w:rPr>
        <w:t xml:space="preserve">ed. In </w:t>
      </w:r>
      <w:r w:rsidRPr="0094114B">
        <w:rPr>
          <w:rFonts w:ascii="Times New Roman" w:hAnsi="Times New Roman" w:cs="Times New Roman"/>
          <w:sz w:val="24"/>
          <w:szCs w:val="24"/>
        </w:rPr>
        <w:t xml:space="preserve">addition, </w:t>
      </w:r>
      <w:r w:rsidR="0094114B" w:rsidRPr="0094114B">
        <w:rPr>
          <w:rFonts w:ascii="Times New Roman" w:hAnsi="Times New Roman" w:cs="Times New Roman"/>
          <w:color w:val="212121"/>
          <w:sz w:val="24"/>
          <w:szCs w:val="24"/>
          <w:shd w:val="clear" w:color="auto" w:fill="FFFFFF"/>
        </w:rPr>
        <w:t>98,20 MW application is still in evaluation stage.</w:t>
      </w:r>
    </w:p>
    <w:p w:rsidR="009311A8" w:rsidRPr="0094114B" w:rsidRDefault="009311A8" w:rsidP="0099399A">
      <w:pPr>
        <w:spacing w:line="360" w:lineRule="auto"/>
        <w:jc w:val="both"/>
        <w:rPr>
          <w:rFonts w:ascii="Times New Roman" w:hAnsi="Times New Roman" w:cs="Times New Roman"/>
          <w:sz w:val="24"/>
          <w:szCs w:val="24"/>
        </w:rPr>
      </w:pPr>
      <w:r w:rsidRPr="0094114B">
        <w:rPr>
          <w:rFonts w:ascii="Times New Roman" w:hAnsi="Times New Roman" w:cs="Times New Roman"/>
          <w:sz w:val="24"/>
          <w:szCs w:val="24"/>
        </w:rPr>
        <w:t>Consumers’ application was for 2.</w:t>
      </w:r>
      <w:r w:rsidR="0094114B" w:rsidRPr="0094114B">
        <w:rPr>
          <w:rFonts w:ascii="Times New Roman" w:hAnsi="Times New Roman" w:cs="Times New Roman"/>
          <w:sz w:val="24"/>
          <w:szCs w:val="24"/>
        </w:rPr>
        <w:t>703,82</w:t>
      </w:r>
      <w:r w:rsidRPr="0094114B">
        <w:rPr>
          <w:rFonts w:ascii="Times New Roman" w:hAnsi="Times New Roman" w:cs="Times New Roman"/>
          <w:sz w:val="24"/>
          <w:szCs w:val="24"/>
        </w:rPr>
        <w:t xml:space="preserve"> MW</w:t>
      </w:r>
      <w:r w:rsidR="0094114B" w:rsidRPr="0094114B">
        <w:rPr>
          <w:rFonts w:ascii="Times New Roman" w:hAnsi="Times New Roman" w:cs="Times New Roman"/>
          <w:sz w:val="24"/>
          <w:szCs w:val="24"/>
        </w:rPr>
        <w:t xml:space="preserve"> </w:t>
      </w:r>
      <w:r w:rsidR="0091796F" w:rsidRPr="0094114B">
        <w:rPr>
          <w:rFonts w:ascii="Times New Roman" w:hAnsi="Times New Roman" w:cs="Times New Roman"/>
          <w:sz w:val="24"/>
          <w:szCs w:val="24"/>
        </w:rPr>
        <w:t>capacities</w:t>
      </w:r>
      <w:r w:rsidR="0094114B" w:rsidRPr="0094114B">
        <w:rPr>
          <w:rFonts w:ascii="Times New Roman" w:hAnsi="Times New Roman" w:cs="Times New Roman"/>
          <w:sz w:val="24"/>
          <w:szCs w:val="24"/>
        </w:rPr>
        <w:t>.</w:t>
      </w:r>
      <w:r w:rsidRPr="0094114B">
        <w:rPr>
          <w:rFonts w:ascii="Times New Roman" w:hAnsi="Times New Roman" w:cs="Times New Roman"/>
          <w:sz w:val="24"/>
          <w:szCs w:val="24"/>
        </w:rPr>
        <w:t xml:space="preserve"> 2.</w:t>
      </w:r>
      <w:r w:rsidR="00C05688">
        <w:rPr>
          <w:rFonts w:ascii="Times New Roman" w:hAnsi="Times New Roman" w:cs="Times New Roman"/>
          <w:sz w:val="24"/>
          <w:szCs w:val="24"/>
        </w:rPr>
        <w:t>150,82</w:t>
      </w:r>
      <w:r w:rsidRPr="0094114B">
        <w:rPr>
          <w:rFonts w:ascii="Times New Roman" w:hAnsi="Times New Roman" w:cs="Times New Roman"/>
          <w:sz w:val="24"/>
          <w:szCs w:val="24"/>
        </w:rPr>
        <w:t xml:space="preserve"> MW of these applications were </w:t>
      </w:r>
      <w:r w:rsidR="0094114B" w:rsidRPr="0094114B">
        <w:rPr>
          <w:rFonts w:ascii="Times New Roman" w:hAnsi="Times New Roman" w:cs="Times New Roman"/>
          <w:sz w:val="24"/>
          <w:szCs w:val="24"/>
        </w:rPr>
        <w:t>accepted, 38,00 MW rejected and the remaining of 515</w:t>
      </w:r>
      <w:r w:rsidR="00C05688">
        <w:rPr>
          <w:rFonts w:ascii="Times New Roman" w:hAnsi="Times New Roman" w:cs="Times New Roman"/>
          <w:sz w:val="24"/>
          <w:szCs w:val="24"/>
        </w:rPr>
        <w:t>,00</w:t>
      </w:r>
      <w:r w:rsidR="0094114B" w:rsidRPr="0094114B">
        <w:rPr>
          <w:rFonts w:ascii="Times New Roman" w:hAnsi="Times New Roman" w:cs="Times New Roman"/>
          <w:sz w:val="24"/>
          <w:szCs w:val="24"/>
        </w:rPr>
        <w:t xml:space="preserve"> MW is still in evaluation stage.</w:t>
      </w:r>
    </w:p>
    <w:p w:rsidR="00923038" w:rsidRPr="001C77FE" w:rsidRDefault="00923038" w:rsidP="0099399A">
      <w:pPr>
        <w:pStyle w:val="BALIKLAR"/>
        <w:spacing w:line="360" w:lineRule="auto"/>
        <w:jc w:val="both"/>
      </w:pPr>
      <w:bookmarkStart w:id="735" w:name="_Toc12528954"/>
      <w:r>
        <w:t>4.3 Tariffs</w:t>
      </w:r>
      <w:bookmarkEnd w:id="735"/>
    </w:p>
    <w:bookmarkEnd w:id="716"/>
    <w:bookmarkEnd w:id="717"/>
    <w:p w:rsidR="00180511" w:rsidRPr="00180511" w:rsidRDefault="00923038" w:rsidP="0099399A">
      <w:pPr>
        <w:pStyle w:val="HTMLncedenBiimlendirilmi"/>
        <w:shd w:val="clear" w:color="auto" w:fill="FFFFFF"/>
        <w:spacing w:line="360" w:lineRule="auto"/>
        <w:jc w:val="both"/>
        <w:rPr>
          <w:rFonts w:ascii="Times New Roman" w:eastAsia="Times New Roman" w:hAnsi="Times New Roman" w:cs="Times New Roman"/>
          <w:color w:val="212121"/>
          <w:sz w:val="24"/>
          <w:szCs w:val="24"/>
          <w:lang w:val="tr-TR" w:eastAsia="tr-TR"/>
        </w:rPr>
      </w:pPr>
      <w:r w:rsidRPr="00180511">
        <w:rPr>
          <w:rFonts w:ascii="Times New Roman" w:eastAsia="Times New Roman" w:hAnsi="Times New Roman" w:cs="Times New Roman"/>
          <w:color w:val="212121"/>
          <w:sz w:val="24"/>
          <w:szCs w:val="24"/>
          <w:lang w:val="en" w:eastAsia="tr-TR" w:bidi="ar-SA"/>
        </w:rPr>
        <w:t>From</w:t>
      </w:r>
      <w:r w:rsidR="00C14C79" w:rsidRPr="00180511">
        <w:rPr>
          <w:rFonts w:ascii="Times New Roman" w:eastAsia="Times New Roman" w:hAnsi="Times New Roman" w:cs="Times New Roman"/>
          <w:color w:val="212121"/>
          <w:sz w:val="24"/>
          <w:szCs w:val="24"/>
          <w:lang w:val="en" w:eastAsia="tr-TR" w:bidi="ar-SA"/>
        </w:rPr>
        <w:t xml:space="preserve"> 01/01/2018, </w:t>
      </w:r>
      <w:r w:rsidRPr="00180511">
        <w:rPr>
          <w:rFonts w:ascii="Times New Roman" w:eastAsia="Times New Roman" w:hAnsi="Times New Roman" w:cs="Times New Roman"/>
          <w:color w:val="212121"/>
          <w:sz w:val="24"/>
          <w:szCs w:val="24"/>
          <w:lang w:val="en" w:eastAsia="tr-TR" w:bidi="ar-SA"/>
        </w:rPr>
        <w:t>transmission system system</w:t>
      </w:r>
      <w:r w:rsidRPr="00180511">
        <w:rPr>
          <w:rFonts w:ascii="Times New Roman" w:eastAsia="Times New Roman" w:hAnsi="Times New Roman" w:cs="Times New Roman"/>
          <w:color w:val="212121"/>
          <w:sz w:val="24"/>
          <w:szCs w:val="24"/>
          <w:lang w:val="en" w:eastAsia="tr-TR"/>
        </w:rPr>
        <w:t xml:space="preserve"> operation and system operating tariffs </w:t>
      </w:r>
      <w:r w:rsidR="00C14C79" w:rsidRPr="00180511">
        <w:rPr>
          <w:rFonts w:ascii="Times New Roman" w:eastAsia="Times New Roman" w:hAnsi="Times New Roman" w:cs="Times New Roman"/>
          <w:color w:val="212121"/>
          <w:sz w:val="24"/>
          <w:szCs w:val="24"/>
          <w:lang w:val="en" w:eastAsia="tr-TR" w:bidi="ar-SA"/>
        </w:rPr>
        <w:t>implemented</w:t>
      </w:r>
      <w:r w:rsidR="00962E72" w:rsidRPr="00962E72">
        <w:rPr>
          <w:rFonts w:ascii="Times New Roman" w:eastAsia="Times New Roman" w:hAnsi="Times New Roman" w:cs="Times New Roman"/>
          <w:color w:val="212121"/>
          <w:sz w:val="24"/>
          <w:szCs w:val="24"/>
          <w:lang w:val="en" w:eastAsia="tr-TR" w:bidi="ar-SA"/>
        </w:rPr>
        <w:t xml:space="preserve"> </w:t>
      </w:r>
      <w:r w:rsidR="00962E72" w:rsidRPr="00180511">
        <w:rPr>
          <w:rFonts w:ascii="Times New Roman" w:eastAsia="Times New Roman" w:hAnsi="Times New Roman" w:cs="Times New Roman"/>
          <w:color w:val="212121"/>
          <w:sz w:val="24"/>
          <w:szCs w:val="24"/>
          <w:lang w:val="en" w:eastAsia="tr-TR" w:bidi="ar-SA"/>
        </w:rPr>
        <w:t>for manufacturers and consumers</w:t>
      </w:r>
      <w:r w:rsidR="0091796F">
        <w:rPr>
          <w:rFonts w:ascii="Times New Roman" w:eastAsia="Times New Roman" w:hAnsi="Times New Roman" w:cs="Times New Roman"/>
          <w:color w:val="212121"/>
          <w:sz w:val="24"/>
          <w:szCs w:val="24"/>
          <w:lang w:val="en" w:eastAsia="tr-TR" w:bidi="ar-SA"/>
        </w:rPr>
        <w:t xml:space="preserve"> in 14 regions</w:t>
      </w:r>
      <w:r w:rsidR="00C14C79" w:rsidRPr="00180511">
        <w:rPr>
          <w:rFonts w:ascii="Times New Roman" w:eastAsia="Times New Roman" w:hAnsi="Times New Roman" w:cs="Times New Roman"/>
          <w:color w:val="212121"/>
          <w:sz w:val="24"/>
          <w:szCs w:val="24"/>
          <w:lang w:val="en" w:eastAsia="tr-TR" w:bidi="ar-SA"/>
        </w:rPr>
        <w:t xml:space="preserve"> by TEİAŞ</w:t>
      </w:r>
      <w:r w:rsidR="00962E72">
        <w:rPr>
          <w:rFonts w:ascii="Times New Roman" w:eastAsia="Times New Roman" w:hAnsi="Times New Roman" w:cs="Times New Roman"/>
          <w:color w:val="212121"/>
          <w:sz w:val="24"/>
          <w:szCs w:val="24"/>
          <w:lang w:val="en" w:eastAsia="tr-TR" w:bidi="ar-SA"/>
        </w:rPr>
        <w:t>,</w:t>
      </w:r>
      <w:r w:rsidRPr="00180511">
        <w:rPr>
          <w:rFonts w:ascii="Times New Roman" w:eastAsia="Times New Roman" w:hAnsi="Times New Roman" w:cs="Times New Roman"/>
          <w:color w:val="212121"/>
          <w:sz w:val="24"/>
          <w:szCs w:val="24"/>
          <w:lang w:val="en" w:eastAsia="tr-TR" w:bidi="ar-SA"/>
        </w:rPr>
        <w:t xml:space="preserve"> </w:t>
      </w:r>
      <w:r w:rsidR="00C14C79" w:rsidRPr="00180511">
        <w:rPr>
          <w:rFonts w:ascii="Times New Roman" w:eastAsia="Times New Roman" w:hAnsi="Times New Roman" w:cs="Times New Roman"/>
          <w:color w:val="212121"/>
          <w:sz w:val="24"/>
          <w:szCs w:val="24"/>
          <w:lang w:val="en" w:eastAsia="tr-TR" w:bidi="ar-SA"/>
        </w:rPr>
        <w:t>have been determined by</w:t>
      </w:r>
      <w:r w:rsidRPr="00180511">
        <w:rPr>
          <w:rFonts w:ascii="Times New Roman" w:eastAsia="Times New Roman" w:hAnsi="Times New Roman" w:cs="Times New Roman"/>
          <w:color w:val="212121"/>
          <w:sz w:val="24"/>
          <w:szCs w:val="24"/>
          <w:lang w:val="en" w:eastAsia="tr-TR" w:bidi="ar-SA"/>
        </w:rPr>
        <w:t xml:space="preserve"> 7612-2</w:t>
      </w:r>
      <w:r w:rsidR="00962E72">
        <w:rPr>
          <w:rFonts w:ascii="Times New Roman" w:eastAsia="Times New Roman" w:hAnsi="Times New Roman" w:cs="Times New Roman"/>
          <w:color w:val="212121"/>
          <w:sz w:val="24"/>
          <w:szCs w:val="24"/>
          <w:lang w:val="en" w:eastAsia="tr-TR" w:bidi="ar-SA"/>
        </w:rPr>
        <w:t xml:space="preserve"> numbered</w:t>
      </w:r>
      <w:r w:rsidRPr="00180511">
        <w:rPr>
          <w:rFonts w:ascii="Times New Roman" w:eastAsia="Times New Roman" w:hAnsi="Times New Roman" w:cs="Times New Roman"/>
          <w:color w:val="212121"/>
          <w:sz w:val="24"/>
          <w:szCs w:val="24"/>
          <w:lang w:val="en" w:eastAsia="tr-TR" w:bidi="ar-SA"/>
        </w:rPr>
        <w:t xml:space="preserve"> and 28/12/2017</w:t>
      </w:r>
      <w:r w:rsidR="00962E72">
        <w:rPr>
          <w:rFonts w:ascii="Times New Roman" w:eastAsia="Times New Roman" w:hAnsi="Times New Roman" w:cs="Times New Roman"/>
          <w:color w:val="212121"/>
          <w:sz w:val="24"/>
          <w:szCs w:val="24"/>
          <w:lang w:val="en" w:eastAsia="tr-TR" w:bidi="ar-SA"/>
        </w:rPr>
        <w:t xml:space="preserve"> dated</w:t>
      </w:r>
      <w:r w:rsidR="00C14C79" w:rsidRPr="00180511">
        <w:rPr>
          <w:rFonts w:ascii="Times New Roman" w:eastAsia="Times New Roman" w:hAnsi="Times New Roman" w:cs="Times New Roman"/>
          <w:color w:val="212121"/>
          <w:sz w:val="24"/>
          <w:szCs w:val="24"/>
          <w:lang w:val="en" w:eastAsia="tr-TR" w:bidi="ar-SA"/>
        </w:rPr>
        <w:t xml:space="preserve"> the Board </w:t>
      </w:r>
      <w:r w:rsidR="0091796F">
        <w:rPr>
          <w:rFonts w:ascii="Times New Roman" w:eastAsia="Times New Roman" w:hAnsi="Times New Roman" w:cs="Times New Roman"/>
          <w:color w:val="212121"/>
          <w:sz w:val="24"/>
          <w:szCs w:val="24"/>
          <w:lang w:val="en" w:eastAsia="tr-TR" w:bidi="ar-SA"/>
        </w:rPr>
        <w:t>Resolution</w:t>
      </w:r>
      <w:r w:rsidRPr="00180511">
        <w:rPr>
          <w:rFonts w:ascii="Times New Roman" w:eastAsia="Times New Roman" w:hAnsi="Times New Roman" w:cs="Times New Roman"/>
          <w:color w:val="212121"/>
          <w:sz w:val="24"/>
          <w:szCs w:val="24"/>
          <w:lang w:val="en" w:eastAsia="tr-TR" w:bidi="ar-SA"/>
        </w:rPr>
        <w:t>.</w:t>
      </w:r>
      <w:r w:rsidR="00C14C79" w:rsidRPr="00180511">
        <w:rPr>
          <w:rFonts w:ascii="Times New Roman" w:eastAsia="Times New Roman" w:hAnsi="Times New Roman" w:cs="Times New Roman"/>
          <w:color w:val="212121"/>
          <w:sz w:val="24"/>
          <w:szCs w:val="24"/>
          <w:lang w:val="en" w:eastAsia="tr-TR" w:bidi="ar-SA"/>
        </w:rPr>
        <w:t xml:space="preserve"> </w:t>
      </w:r>
      <w:r w:rsidRPr="00180511">
        <w:rPr>
          <w:rFonts w:ascii="Times New Roman" w:eastAsia="Times New Roman" w:hAnsi="Times New Roman" w:cs="Times New Roman"/>
          <w:color w:val="212121"/>
          <w:sz w:val="24"/>
          <w:szCs w:val="24"/>
          <w:lang w:val="en" w:eastAsia="tr-TR" w:bidi="ar-SA"/>
        </w:rPr>
        <w:t>Also,</w:t>
      </w:r>
      <w:r w:rsidR="00180511">
        <w:rPr>
          <w:rFonts w:ascii="Times New Roman" w:eastAsia="Times New Roman" w:hAnsi="Times New Roman" w:cs="Times New Roman"/>
          <w:color w:val="212121"/>
          <w:sz w:val="24"/>
          <w:szCs w:val="24"/>
          <w:lang w:val="en" w:eastAsia="tr-TR" w:bidi="ar-SA"/>
        </w:rPr>
        <w:t xml:space="preserve"> </w:t>
      </w:r>
      <w:r w:rsidRPr="00180511">
        <w:rPr>
          <w:rFonts w:ascii="Times New Roman" w:eastAsia="Times New Roman" w:hAnsi="Times New Roman" w:cs="Times New Roman"/>
          <w:color w:val="212121"/>
          <w:sz w:val="24"/>
          <w:szCs w:val="24"/>
          <w:lang w:val="en" w:eastAsia="tr-TR" w:bidi="ar-SA"/>
        </w:rPr>
        <w:t>transmission surcharge</w:t>
      </w:r>
      <w:r w:rsidR="00180511" w:rsidRPr="00180511">
        <w:rPr>
          <w:rFonts w:ascii="Times New Roman" w:eastAsia="Times New Roman" w:hAnsi="Times New Roman" w:cs="Times New Roman"/>
          <w:color w:val="212121"/>
          <w:sz w:val="24"/>
          <w:szCs w:val="24"/>
          <w:lang w:val="en" w:eastAsia="tr-TR" w:bidi="ar-SA"/>
        </w:rPr>
        <w:t xml:space="preserve"> is </w:t>
      </w:r>
      <w:r w:rsidR="00180511" w:rsidRPr="00962E72">
        <w:rPr>
          <w:rFonts w:ascii="Times New Roman" w:eastAsia="Times New Roman" w:hAnsi="Times New Roman" w:cs="Times New Roman"/>
          <w:color w:val="212121"/>
          <w:sz w:val="24"/>
          <w:szCs w:val="24"/>
          <w:lang w:val="en" w:eastAsia="tr-TR" w:bidi="ar-SA"/>
        </w:rPr>
        <w:t xml:space="preserve">determined </w:t>
      </w:r>
      <w:r w:rsidR="00180511" w:rsidRPr="00962E72">
        <w:rPr>
          <w:rFonts w:ascii="Times New Roman" w:eastAsia="Times New Roman" w:hAnsi="Times New Roman" w:cs="Times New Roman"/>
          <w:color w:val="212121"/>
          <w:sz w:val="24"/>
          <w:szCs w:val="24"/>
          <w:lang w:val="en" w:eastAsia="tr-TR"/>
        </w:rPr>
        <w:t xml:space="preserve">as 0.5% of the transmission tariff of TEİAŞ </w:t>
      </w:r>
      <w:r w:rsidR="0041276D">
        <w:rPr>
          <w:rFonts w:ascii="Times New Roman" w:hAnsi="Times New Roman" w:cs="Times New Roman"/>
          <w:sz w:val="24"/>
          <w:szCs w:val="24"/>
        </w:rPr>
        <w:t xml:space="preserve">in </w:t>
      </w:r>
      <w:r w:rsidR="006B721C">
        <w:rPr>
          <w:rFonts w:ascii="Times New Roman" w:hAnsi="Times New Roman" w:cs="Times New Roman"/>
          <w:sz w:val="24"/>
          <w:szCs w:val="24"/>
        </w:rPr>
        <w:t>the seventh</w:t>
      </w:r>
      <w:r w:rsidR="0041276D">
        <w:rPr>
          <w:rFonts w:ascii="Times New Roman" w:hAnsi="Times New Roman" w:cs="Times New Roman"/>
          <w:sz w:val="24"/>
          <w:szCs w:val="24"/>
        </w:rPr>
        <w:t xml:space="preserve"> sub clause of article 5 and (A) sub clause of article 10 of </w:t>
      </w:r>
      <w:r w:rsidR="006B721C">
        <w:rPr>
          <w:rFonts w:ascii="Times New Roman" w:hAnsi="Times New Roman" w:cs="Times New Roman"/>
          <w:sz w:val="24"/>
          <w:szCs w:val="24"/>
        </w:rPr>
        <w:t>the Organization and D</w:t>
      </w:r>
      <w:r w:rsidR="0041276D">
        <w:rPr>
          <w:rFonts w:ascii="Times New Roman" w:hAnsi="Times New Roman" w:cs="Times New Roman"/>
          <w:sz w:val="24"/>
          <w:szCs w:val="24"/>
        </w:rPr>
        <w:t xml:space="preserve">uties Law no: 4628 </w:t>
      </w:r>
      <w:r w:rsidR="00180511" w:rsidRPr="00962E72">
        <w:rPr>
          <w:rFonts w:ascii="Times New Roman" w:eastAsia="Times New Roman" w:hAnsi="Times New Roman" w:cs="Times New Roman"/>
          <w:color w:val="212121"/>
          <w:sz w:val="24"/>
          <w:szCs w:val="24"/>
          <w:lang w:val="en" w:eastAsia="tr-TR"/>
        </w:rPr>
        <w:t>by 7328</w:t>
      </w:r>
      <w:r w:rsidR="00962E72">
        <w:rPr>
          <w:rFonts w:ascii="Times New Roman" w:eastAsia="Times New Roman" w:hAnsi="Times New Roman" w:cs="Times New Roman"/>
          <w:color w:val="212121"/>
          <w:sz w:val="24"/>
          <w:szCs w:val="24"/>
          <w:lang w:val="en" w:eastAsia="tr-TR"/>
        </w:rPr>
        <w:t xml:space="preserve"> numbered</w:t>
      </w:r>
      <w:r w:rsidR="00180511" w:rsidRPr="00962E72">
        <w:rPr>
          <w:rFonts w:ascii="Times New Roman" w:eastAsia="Times New Roman" w:hAnsi="Times New Roman" w:cs="Times New Roman"/>
          <w:color w:val="212121"/>
          <w:sz w:val="24"/>
          <w:szCs w:val="24"/>
          <w:lang w:val="en" w:eastAsia="tr-TR"/>
        </w:rPr>
        <w:t xml:space="preserve"> and </w:t>
      </w:r>
      <w:r w:rsidR="00180511" w:rsidRPr="00962E72">
        <w:rPr>
          <w:rFonts w:ascii="Times New Roman" w:hAnsi="Times New Roman" w:cs="Times New Roman"/>
          <w:sz w:val="24"/>
          <w:szCs w:val="24"/>
        </w:rPr>
        <w:t xml:space="preserve">05/10/2017 </w:t>
      </w:r>
      <w:r w:rsidR="00962E72" w:rsidRPr="00962E72">
        <w:rPr>
          <w:rFonts w:ascii="Times New Roman" w:eastAsia="Times New Roman" w:hAnsi="Times New Roman" w:cs="Times New Roman"/>
          <w:color w:val="212121"/>
          <w:sz w:val="24"/>
          <w:szCs w:val="24"/>
          <w:lang w:val="en" w:eastAsia="tr-TR"/>
        </w:rPr>
        <w:t>dated</w:t>
      </w:r>
      <w:r w:rsidR="00A52C82">
        <w:rPr>
          <w:rFonts w:ascii="Times New Roman" w:eastAsia="Times New Roman" w:hAnsi="Times New Roman" w:cs="Times New Roman"/>
          <w:color w:val="212121"/>
          <w:sz w:val="24"/>
          <w:szCs w:val="24"/>
          <w:lang w:val="en" w:eastAsia="tr-TR"/>
        </w:rPr>
        <w:t xml:space="preserve"> the Board</w:t>
      </w:r>
      <w:r w:rsidR="00962E72" w:rsidRPr="00962E72">
        <w:rPr>
          <w:rFonts w:ascii="Times New Roman" w:eastAsia="Times New Roman" w:hAnsi="Times New Roman" w:cs="Times New Roman"/>
          <w:color w:val="212121"/>
          <w:sz w:val="24"/>
          <w:szCs w:val="24"/>
          <w:lang w:val="en" w:eastAsia="tr-TR"/>
        </w:rPr>
        <w:t xml:space="preserve"> </w:t>
      </w:r>
      <w:r w:rsidR="00A52C82">
        <w:rPr>
          <w:rFonts w:ascii="Times New Roman" w:eastAsia="Times New Roman" w:hAnsi="Times New Roman" w:cs="Times New Roman"/>
          <w:color w:val="212121"/>
          <w:sz w:val="24"/>
          <w:szCs w:val="24"/>
          <w:lang w:val="en" w:eastAsia="tr-TR"/>
        </w:rPr>
        <w:t>R</w:t>
      </w:r>
      <w:r w:rsidR="0091796F">
        <w:rPr>
          <w:rFonts w:ascii="Times New Roman" w:eastAsia="Times New Roman" w:hAnsi="Times New Roman" w:cs="Times New Roman"/>
          <w:color w:val="212121"/>
          <w:sz w:val="24"/>
          <w:szCs w:val="24"/>
          <w:lang w:val="en" w:eastAsia="tr-TR"/>
        </w:rPr>
        <w:t>esolution</w:t>
      </w:r>
      <w:r w:rsidR="00A52C82">
        <w:rPr>
          <w:rFonts w:ascii="Times New Roman" w:eastAsia="Times New Roman" w:hAnsi="Times New Roman" w:cs="Times New Roman"/>
          <w:color w:val="212121"/>
          <w:sz w:val="24"/>
          <w:szCs w:val="24"/>
          <w:lang w:val="en" w:eastAsia="tr-TR"/>
        </w:rPr>
        <w:t>.</w:t>
      </w:r>
      <w:r w:rsidR="0041276D">
        <w:rPr>
          <w:rFonts w:ascii="Times New Roman" w:eastAsia="Times New Roman" w:hAnsi="Times New Roman" w:cs="Times New Roman"/>
          <w:color w:val="212121"/>
          <w:sz w:val="24"/>
          <w:szCs w:val="24"/>
          <w:lang w:val="en" w:eastAsia="tr-TR"/>
        </w:rPr>
        <w:t xml:space="preserve"> </w:t>
      </w:r>
    </w:p>
    <w:p w:rsidR="00C14C79" w:rsidRPr="00923038" w:rsidRDefault="00C14C79" w:rsidP="0099399A">
      <w:pPr>
        <w:pStyle w:val="HTMLncedenBiimlendirilmi"/>
        <w:shd w:val="clear" w:color="auto" w:fill="FFFFFF"/>
        <w:spacing w:line="360" w:lineRule="auto"/>
        <w:jc w:val="both"/>
        <w:rPr>
          <w:rFonts w:ascii="Times New Roman" w:eastAsia="Times New Roman" w:hAnsi="Times New Roman" w:cs="Times New Roman"/>
          <w:color w:val="212121"/>
          <w:sz w:val="24"/>
          <w:szCs w:val="24"/>
          <w:lang w:val="tr-TR" w:eastAsia="tr-TR"/>
        </w:rPr>
      </w:pPr>
    </w:p>
    <w:p w:rsidR="007B2C41" w:rsidRDefault="007B2C41" w:rsidP="00993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tr-TR" w:bidi="ar-SA"/>
        </w:rPr>
      </w:pPr>
    </w:p>
    <w:p w:rsidR="007B2C41" w:rsidRDefault="007B2C41" w:rsidP="00993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tr-TR" w:bidi="ar-SA"/>
        </w:rPr>
      </w:pPr>
    </w:p>
    <w:p w:rsidR="007B2C41" w:rsidRDefault="007B2C41" w:rsidP="00993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tr-TR" w:bidi="ar-SA"/>
        </w:rPr>
      </w:pPr>
    </w:p>
    <w:p w:rsidR="007B2C41" w:rsidRDefault="007B2C41" w:rsidP="00993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tr-TR" w:bidi="ar-SA"/>
        </w:rPr>
      </w:pPr>
    </w:p>
    <w:p w:rsidR="007B2C41" w:rsidRDefault="007B2C41" w:rsidP="00993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tr-TR" w:bidi="ar-SA"/>
        </w:rPr>
      </w:pPr>
      <w:r w:rsidRPr="007B2C41">
        <w:rPr>
          <w:rFonts w:ascii="Times New Roman" w:eastAsia="Times New Roman" w:hAnsi="Times New Roman" w:cs="Times New Roman"/>
          <w:color w:val="212121"/>
          <w:sz w:val="24"/>
          <w:szCs w:val="24"/>
          <w:lang w:val="en" w:eastAsia="tr-TR" w:bidi="ar-SA"/>
        </w:rPr>
        <w:lastRenderedPageBreak/>
        <w:t>System use and system operation tariffs implemented in 2018 are shown in Table 4.4 for production and consumption in 14 regions.</w:t>
      </w:r>
    </w:p>
    <w:p w:rsidR="007B2C41" w:rsidRPr="007B2C41" w:rsidRDefault="007B2C41" w:rsidP="00315B1C">
      <w:pPr>
        <w:pStyle w:val="Balk1"/>
      </w:pPr>
      <w:bookmarkStart w:id="736" w:name="_Toc520822062"/>
      <w:bookmarkStart w:id="737" w:name="_Toc10123921"/>
      <w:bookmarkStart w:id="738" w:name="_Toc10191442"/>
      <w:bookmarkStart w:id="739" w:name="_Toc12526294"/>
      <w:r w:rsidRPr="000C6D21">
        <w:t>Table</w:t>
      </w:r>
      <w:r>
        <w:t xml:space="preserve"> 4.4</w:t>
      </w:r>
      <w:r w:rsidRPr="000C6D21">
        <w:t xml:space="preserve">: </w:t>
      </w:r>
      <w:r w:rsidRPr="00A42817">
        <w:t>System Usage and System Operation Tariffs (TL/MW-Year)</w:t>
      </w:r>
      <w:bookmarkEnd w:id="736"/>
      <w:bookmarkEnd w:id="737"/>
      <w:bookmarkEnd w:id="738"/>
      <w:bookmarkEnd w:id="739"/>
    </w:p>
    <w:tbl>
      <w:tblPr>
        <w:tblW w:w="7328" w:type="dxa"/>
        <w:jc w:val="center"/>
        <w:tblCellMar>
          <w:left w:w="70" w:type="dxa"/>
          <w:right w:w="70" w:type="dxa"/>
        </w:tblCellMar>
        <w:tblLook w:val="04A0" w:firstRow="1" w:lastRow="0" w:firstColumn="1" w:lastColumn="0" w:noHBand="0" w:noVBand="1"/>
      </w:tblPr>
      <w:tblGrid>
        <w:gridCol w:w="867"/>
        <w:gridCol w:w="1205"/>
        <w:gridCol w:w="991"/>
        <w:gridCol w:w="1020"/>
        <w:gridCol w:w="1241"/>
        <w:gridCol w:w="984"/>
        <w:gridCol w:w="1020"/>
      </w:tblGrid>
      <w:tr w:rsidR="007B2C41" w:rsidRPr="00B70A7C" w:rsidTr="007B2C41">
        <w:trPr>
          <w:trHeight w:val="315"/>
          <w:jc w:val="center"/>
        </w:trPr>
        <w:tc>
          <w:tcPr>
            <w:tcW w:w="867" w:type="dxa"/>
            <w:vMerge w:val="restart"/>
            <w:tcBorders>
              <w:top w:val="single" w:sz="8" w:space="0" w:color="auto"/>
              <w:left w:val="single" w:sz="8" w:space="0" w:color="auto"/>
              <w:bottom w:val="single" w:sz="8" w:space="0" w:color="000000"/>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Region</w:t>
            </w:r>
          </w:p>
        </w:tc>
        <w:tc>
          <w:tcPr>
            <w:tcW w:w="3216" w:type="dxa"/>
            <w:gridSpan w:val="3"/>
            <w:tcBorders>
              <w:top w:val="single" w:sz="8" w:space="0" w:color="auto"/>
              <w:left w:val="nil"/>
              <w:bottom w:val="single" w:sz="8" w:space="0" w:color="auto"/>
              <w:right w:val="single" w:sz="8" w:space="0" w:color="000000"/>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Generation</w:t>
            </w:r>
            <w:r w:rsidRPr="00BB3782">
              <w:rPr>
                <w:rFonts w:ascii="Times New Roman" w:eastAsia="Times New Roman" w:hAnsi="Times New Roman" w:cs="Times New Roman"/>
                <w:color w:val="FFFFFF" w:themeColor="background1"/>
                <w:lang w:eastAsia="tr-TR" w:bidi="ar-SA"/>
              </w:rPr>
              <w:t xml:space="preserve"> (*) (**)</w:t>
            </w:r>
          </w:p>
        </w:tc>
        <w:tc>
          <w:tcPr>
            <w:tcW w:w="3245" w:type="dxa"/>
            <w:gridSpan w:val="3"/>
            <w:tcBorders>
              <w:top w:val="single" w:sz="8" w:space="0" w:color="auto"/>
              <w:left w:val="nil"/>
              <w:bottom w:val="single" w:sz="8" w:space="0" w:color="auto"/>
              <w:right w:val="single" w:sz="8" w:space="0" w:color="000000"/>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Consumption</w:t>
            </w:r>
            <w:r w:rsidRPr="00BB3782">
              <w:rPr>
                <w:rFonts w:ascii="Times New Roman" w:eastAsia="Times New Roman" w:hAnsi="Times New Roman" w:cs="Times New Roman"/>
                <w:color w:val="FFFFFF" w:themeColor="background1"/>
                <w:lang w:eastAsia="tr-TR" w:bidi="ar-SA"/>
              </w:rPr>
              <w:t xml:space="preserve"> (*)</w:t>
            </w:r>
          </w:p>
        </w:tc>
      </w:tr>
      <w:tr w:rsidR="007B2C41" w:rsidRPr="00B70A7C" w:rsidTr="007B2C41">
        <w:trPr>
          <w:trHeight w:val="600"/>
          <w:jc w:val="center"/>
        </w:trPr>
        <w:tc>
          <w:tcPr>
            <w:tcW w:w="867"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p>
        </w:tc>
        <w:tc>
          <w:tcPr>
            <w:tcW w:w="2196"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System Usage Tariffs</w:t>
            </w:r>
          </w:p>
        </w:tc>
        <w:tc>
          <w:tcPr>
            <w:tcW w:w="1020" w:type="dxa"/>
            <w:vMerge w:val="restart"/>
            <w:tcBorders>
              <w:top w:val="nil"/>
              <w:left w:val="single" w:sz="8" w:space="0" w:color="auto"/>
              <w:bottom w:val="single" w:sz="8" w:space="0" w:color="000000"/>
              <w:right w:val="single" w:sz="8" w:space="0" w:color="auto"/>
            </w:tcBorders>
            <w:shd w:val="clear" w:color="auto" w:fill="FF0000"/>
            <w:vAlign w:val="center"/>
            <w:hideMark/>
          </w:tcPr>
          <w:p w:rsidR="007B2C41"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System</w:t>
            </w:r>
          </w:p>
          <w:p w:rsidR="007B2C41"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Operation</w:t>
            </w:r>
          </w:p>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Tariffs</w:t>
            </w:r>
          </w:p>
        </w:tc>
        <w:tc>
          <w:tcPr>
            <w:tcW w:w="2225" w:type="dxa"/>
            <w:gridSpan w:val="2"/>
            <w:vMerge w:val="restart"/>
            <w:tcBorders>
              <w:top w:val="single" w:sz="8" w:space="0" w:color="auto"/>
              <w:left w:val="single" w:sz="8" w:space="0" w:color="auto"/>
              <w:bottom w:val="single" w:sz="8" w:space="0" w:color="000000"/>
              <w:right w:val="single" w:sz="8" w:space="0" w:color="000000"/>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System Usage Tariffs</w:t>
            </w:r>
          </w:p>
        </w:tc>
        <w:tc>
          <w:tcPr>
            <w:tcW w:w="1020" w:type="dxa"/>
            <w:vMerge w:val="restart"/>
            <w:tcBorders>
              <w:top w:val="nil"/>
              <w:left w:val="single" w:sz="8" w:space="0" w:color="auto"/>
              <w:bottom w:val="single" w:sz="8" w:space="0" w:color="000000"/>
              <w:right w:val="single" w:sz="8" w:space="0" w:color="auto"/>
            </w:tcBorders>
            <w:shd w:val="clear" w:color="auto" w:fill="FF0000"/>
            <w:vAlign w:val="center"/>
            <w:hideMark/>
          </w:tcPr>
          <w:p w:rsidR="007B2C41"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System</w:t>
            </w:r>
          </w:p>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Pr>
                <w:rFonts w:ascii="Times New Roman" w:eastAsia="Times New Roman" w:hAnsi="Times New Roman" w:cs="Times New Roman"/>
                <w:color w:val="FFFFFF" w:themeColor="background1"/>
                <w:lang w:eastAsia="tr-TR" w:bidi="ar-SA"/>
              </w:rPr>
              <w:t>Operation Tarifss</w:t>
            </w:r>
          </w:p>
        </w:tc>
      </w:tr>
      <w:tr w:rsidR="007B2C41" w:rsidRPr="00B70A7C" w:rsidTr="007B2C41">
        <w:trPr>
          <w:trHeight w:val="497"/>
          <w:jc w:val="center"/>
        </w:trPr>
        <w:tc>
          <w:tcPr>
            <w:tcW w:w="867"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p>
        </w:tc>
        <w:tc>
          <w:tcPr>
            <w:tcW w:w="2196"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p>
        </w:tc>
        <w:tc>
          <w:tcPr>
            <w:tcW w:w="1020" w:type="dxa"/>
            <w:vMerge/>
            <w:tcBorders>
              <w:top w:val="nil"/>
              <w:left w:val="single" w:sz="8" w:space="0" w:color="auto"/>
              <w:bottom w:val="single" w:sz="8" w:space="0" w:color="000000"/>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p>
        </w:tc>
        <w:tc>
          <w:tcPr>
            <w:tcW w:w="2225" w:type="dxa"/>
            <w:gridSpan w:val="2"/>
            <w:vMerge/>
            <w:tcBorders>
              <w:top w:val="single" w:sz="8" w:space="0" w:color="auto"/>
              <w:left w:val="single" w:sz="8" w:space="0" w:color="auto"/>
              <w:bottom w:val="single" w:sz="8" w:space="0" w:color="000000"/>
              <w:right w:val="single" w:sz="8" w:space="0" w:color="000000"/>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p>
        </w:tc>
        <w:tc>
          <w:tcPr>
            <w:tcW w:w="1020" w:type="dxa"/>
            <w:vMerge/>
            <w:tcBorders>
              <w:top w:val="nil"/>
              <w:left w:val="single" w:sz="8" w:space="0" w:color="auto"/>
              <w:bottom w:val="single" w:sz="8" w:space="0" w:color="000000"/>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p>
        </w:tc>
      </w:tr>
      <w:tr w:rsidR="007B2C41" w:rsidRPr="00B70A7C" w:rsidTr="007B2C41">
        <w:trPr>
          <w:trHeight w:val="615"/>
          <w:jc w:val="center"/>
        </w:trPr>
        <w:tc>
          <w:tcPr>
            <w:tcW w:w="867" w:type="dxa"/>
            <w:vMerge/>
            <w:tcBorders>
              <w:top w:val="single" w:sz="8" w:space="0" w:color="auto"/>
              <w:left w:val="single" w:sz="8" w:space="0" w:color="auto"/>
              <w:bottom w:val="single" w:sz="8" w:space="0" w:color="000000"/>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p>
        </w:tc>
        <w:tc>
          <w:tcPr>
            <w:tcW w:w="1205" w:type="dxa"/>
            <w:tcBorders>
              <w:top w:val="nil"/>
              <w:left w:val="nil"/>
              <w:bottom w:val="single" w:sz="8" w:space="0" w:color="auto"/>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w:t>
            </w:r>
            <w:r>
              <w:rPr>
                <w:rFonts w:ascii="Times New Roman" w:eastAsia="Times New Roman" w:hAnsi="Times New Roman" w:cs="Times New Roman"/>
                <w:color w:val="FFFFFF" w:themeColor="background1"/>
                <w:lang w:eastAsia="tr-TR" w:bidi="ar-SA"/>
              </w:rPr>
              <w:t>Year</w:t>
            </w:r>
          </w:p>
        </w:tc>
        <w:tc>
          <w:tcPr>
            <w:tcW w:w="991" w:type="dxa"/>
            <w:tcBorders>
              <w:top w:val="nil"/>
              <w:left w:val="nil"/>
              <w:bottom w:val="single" w:sz="8" w:space="0" w:color="auto"/>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1020" w:type="dxa"/>
            <w:tcBorders>
              <w:top w:val="nil"/>
              <w:left w:val="nil"/>
              <w:bottom w:val="single" w:sz="8" w:space="0" w:color="auto"/>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1241" w:type="dxa"/>
            <w:tcBorders>
              <w:top w:val="nil"/>
              <w:left w:val="nil"/>
              <w:bottom w:val="single" w:sz="8" w:space="0" w:color="auto"/>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w:t>
            </w:r>
            <w:r>
              <w:rPr>
                <w:rFonts w:ascii="Times New Roman" w:eastAsia="Times New Roman" w:hAnsi="Times New Roman" w:cs="Times New Roman"/>
                <w:color w:val="FFFFFF" w:themeColor="background1"/>
                <w:lang w:eastAsia="tr-TR" w:bidi="ar-SA"/>
              </w:rPr>
              <w:t>Year</w:t>
            </w:r>
          </w:p>
        </w:tc>
        <w:tc>
          <w:tcPr>
            <w:tcW w:w="984" w:type="dxa"/>
            <w:tcBorders>
              <w:top w:val="nil"/>
              <w:left w:val="nil"/>
              <w:bottom w:val="single" w:sz="8" w:space="0" w:color="auto"/>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c>
          <w:tcPr>
            <w:tcW w:w="1020" w:type="dxa"/>
            <w:tcBorders>
              <w:top w:val="nil"/>
              <w:left w:val="nil"/>
              <w:bottom w:val="single" w:sz="8" w:space="0" w:color="auto"/>
              <w:right w:val="single" w:sz="8" w:space="0" w:color="auto"/>
            </w:tcBorders>
            <w:shd w:val="clear" w:color="auto" w:fill="FF0000"/>
            <w:vAlign w:val="center"/>
            <w:hideMark/>
          </w:tcPr>
          <w:p w:rsidR="007B2C41" w:rsidRPr="00BB3782" w:rsidRDefault="007B2C41" w:rsidP="00315B1C">
            <w:pPr>
              <w:spacing w:after="0" w:line="240" w:lineRule="auto"/>
              <w:jc w:val="center"/>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TL/MWh</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24.053,17</w:t>
            </w:r>
          </w:p>
        </w:tc>
        <w:tc>
          <w:tcPr>
            <w:tcW w:w="99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43.127,63</w:t>
            </w:r>
          </w:p>
        </w:tc>
        <w:tc>
          <w:tcPr>
            <w:tcW w:w="984"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2</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26.222,96</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41.900,79</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3</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26.462,47</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41.988,33</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4</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26.804,96</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41.550,33</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5</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27.970,58</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40.897,92</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6</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29.392,94</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39.805,99</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7</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29.561,60</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38.837,28</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8</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32.561,70</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37.674,57</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9</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33.840,99</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36.402,54</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10</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37.577,48</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34.679,34</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11</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39.579,35</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33.372,11</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12</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41.270,89</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32.190,45</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13</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43.039,91</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31.365,32</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r w:rsidR="007B2C41" w:rsidRPr="00B70A7C" w:rsidTr="007B2C41">
        <w:trPr>
          <w:trHeight w:val="315"/>
          <w:jc w:val="center"/>
        </w:trPr>
        <w:tc>
          <w:tcPr>
            <w:tcW w:w="867" w:type="dxa"/>
            <w:tcBorders>
              <w:top w:val="nil"/>
              <w:left w:val="single" w:sz="8" w:space="0" w:color="auto"/>
              <w:bottom w:val="single" w:sz="8" w:space="0" w:color="auto"/>
              <w:right w:val="single" w:sz="8" w:space="0" w:color="auto"/>
            </w:tcBorders>
            <w:shd w:val="clear" w:color="auto" w:fill="FF5050"/>
            <w:vAlign w:val="center"/>
            <w:hideMark/>
          </w:tcPr>
          <w:p w:rsidR="007B2C41" w:rsidRPr="00BB3782" w:rsidRDefault="007B2C41" w:rsidP="0099399A">
            <w:pPr>
              <w:spacing w:after="0" w:line="240" w:lineRule="auto"/>
              <w:jc w:val="both"/>
              <w:rPr>
                <w:rFonts w:ascii="Times New Roman" w:eastAsia="Times New Roman" w:hAnsi="Times New Roman" w:cs="Times New Roman"/>
                <w:color w:val="FFFFFF" w:themeColor="background1"/>
                <w:lang w:eastAsia="tr-TR" w:bidi="ar-SA"/>
              </w:rPr>
            </w:pPr>
            <w:r w:rsidRPr="00BB3782">
              <w:rPr>
                <w:rFonts w:ascii="Times New Roman" w:eastAsia="Times New Roman" w:hAnsi="Times New Roman" w:cs="Times New Roman"/>
                <w:color w:val="FFFFFF" w:themeColor="background1"/>
                <w:lang w:eastAsia="tr-TR" w:bidi="ar-SA"/>
              </w:rPr>
              <w:t>14</w:t>
            </w:r>
          </w:p>
        </w:tc>
        <w:tc>
          <w:tcPr>
            <w:tcW w:w="1205"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46.167,30</w:t>
            </w:r>
          </w:p>
        </w:tc>
        <w:tc>
          <w:tcPr>
            <w:tcW w:w="991" w:type="dxa"/>
            <w:tcBorders>
              <w:top w:val="nil"/>
              <w:left w:val="nil"/>
              <w:bottom w:val="single" w:sz="8" w:space="0" w:color="auto"/>
              <w:right w:val="single" w:sz="8" w:space="0" w:color="auto"/>
            </w:tcBorders>
            <w:shd w:val="clear" w:color="auto" w:fill="auto"/>
          </w:tcPr>
          <w:p w:rsidR="007B2C41" w:rsidRDefault="007B2C41" w:rsidP="0099399A">
            <w:pPr>
              <w:jc w:val="both"/>
            </w:pPr>
            <w:r w:rsidRPr="007D66FD">
              <w:rPr>
                <w:rFonts w:asciiTheme="minorHAnsi" w:hAnsiTheme="minorHAnsi" w:cstheme="minorHAnsi"/>
                <w:color w:val="000000"/>
              </w:rPr>
              <w:t>5,51</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3A2BF9">
              <w:rPr>
                <w:rFonts w:asciiTheme="minorHAnsi" w:hAnsiTheme="minorHAnsi" w:cstheme="minorHAnsi"/>
                <w:color w:val="000000"/>
              </w:rPr>
              <w:t>2,50</w:t>
            </w:r>
          </w:p>
        </w:tc>
        <w:tc>
          <w:tcPr>
            <w:tcW w:w="1241" w:type="dxa"/>
            <w:tcBorders>
              <w:top w:val="nil"/>
              <w:left w:val="nil"/>
              <w:bottom w:val="single" w:sz="8" w:space="0" w:color="auto"/>
              <w:right w:val="single" w:sz="8" w:space="0" w:color="auto"/>
            </w:tcBorders>
            <w:shd w:val="clear" w:color="auto" w:fill="auto"/>
            <w:vAlign w:val="bottom"/>
          </w:tcPr>
          <w:p w:rsidR="007B2C41" w:rsidRPr="00002902" w:rsidRDefault="007B2C41" w:rsidP="0099399A">
            <w:pPr>
              <w:jc w:val="both"/>
              <w:rPr>
                <w:rFonts w:asciiTheme="minorHAnsi" w:hAnsiTheme="minorHAnsi" w:cstheme="minorHAnsi"/>
                <w:color w:val="000000"/>
              </w:rPr>
            </w:pPr>
            <w:r>
              <w:rPr>
                <w:rFonts w:asciiTheme="minorHAnsi" w:hAnsiTheme="minorHAnsi" w:cstheme="minorHAnsi"/>
                <w:color w:val="000000"/>
              </w:rPr>
              <w:t>28.904,00</w:t>
            </w:r>
          </w:p>
        </w:tc>
        <w:tc>
          <w:tcPr>
            <w:tcW w:w="984" w:type="dxa"/>
            <w:tcBorders>
              <w:top w:val="nil"/>
              <w:left w:val="nil"/>
              <w:bottom w:val="single" w:sz="8" w:space="0" w:color="auto"/>
              <w:right w:val="single" w:sz="8" w:space="0" w:color="auto"/>
            </w:tcBorders>
            <w:shd w:val="clear" w:color="auto" w:fill="auto"/>
          </w:tcPr>
          <w:p w:rsidR="007B2C41" w:rsidRDefault="007B2C41" w:rsidP="0099399A">
            <w:pPr>
              <w:jc w:val="both"/>
            </w:pPr>
            <w:r w:rsidRPr="008F2C82">
              <w:rPr>
                <w:rFonts w:asciiTheme="minorHAnsi" w:hAnsiTheme="minorHAnsi" w:cstheme="minorHAnsi"/>
                <w:color w:val="000000"/>
              </w:rPr>
              <w:t>4,88</w:t>
            </w:r>
          </w:p>
        </w:tc>
        <w:tc>
          <w:tcPr>
            <w:tcW w:w="1020" w:type="dxa"/>
            <w:tcBorders>
              <w:top w:val="nil"/>
              <w:left w:val="nil"/>
              <w:bottom w:val="single" w:sz="8" w:space="0" w:color="auto"/>
              <w:right w:val="single" w:sz="8" w:space="0" w:color="auto"/>
            </w:tcBorders>
            <w:shd w:val="clear" w:color="auto" w:fill="auto"/>
          </w:tcPr>
          <w:p w:rsidR="007B2C41" w:rsidRDefault="007B2C41" w:rsidP="0099399A">
            <w:pPr>
              <w:jc w:val="both"/>
            </w:pPr>
            <w:r w:rsidRPr="001D2C59">
              <w:rPr>
                <w:rFonts w:asciiTheme="minorHAnsi" w:hAnsiTheme="minorHAnsi" w:cstheme="minorHAnsi"/>
                <w:color w:val="000000"/>
              </w:rPr>
              <w:t>2,60</w:t>
            </w:r>
          </w:p>
        </w:tc>
      </w:tr>
    </w:tbl>
    <w:p w:rsidR="007B2C41" w:rsidRPr="00E66F42" w:rsidRDefault="007B2C41" w:rsidP="0099399A">
      <w:pPr>
        <w:spacing w:after="0"/>
        <w:ind w:left="425" w:firstLine="426"/>
        <w:jc w:val="both"/>
        <w:rPr>
          <w:rFonts w:ascii="Times New Roman" w:hAnsi="Times New Roman" w:cs="Times New Roman"/>
          <w:sz w:val="20"/>
          <w:szCs w:val="20"/>
        </w:rPr>
      </w:pPr>
      <w:r w:rsidRPr="00E66F42">
        <w:rPr>
          <w:rFonts w:ascii="Times New Roman" w:hAnsi="Times New Roman" w:cs="Times New Roman"/>
          <w:sz w:val="20"/>
          <w:szCs w:val="20"/>
        </w:rPr>
        <w:t xml:space="preserve">(*)   </w:t>
      </w:r>
      <w:r>
        <w:rPr>
          <w:rFonts w:ascii="Times New Roman" w:hAnsi="Times New Roman" w:cs="Times New Roman"/>
          <w:sz w:val="20"/>
          <w:szCs w:val="20"/>
        </w:rPr>
        <w:t>Transmission Surcharge not included.</w:t>
      </w:r>
    </w:p>
    <w:p w:rsidR="007B2C41" w:rsidRDefault="007B2C41" w:rsidP="0099399A">
      <w:pPr>
        <w:spacing w:after="0"/>
        <w:ind w:left="708"/>
        <w:jc w:val="both"/>
        <w:rPr>
          <w:rFonts w:ascii="Times New Roman" w:hAnsi="Times New Roman" w:cs="Times New Roman"/>
          <w:sz w:val="20"/>
          <w:szCs w:val="20"/>
        </w:rPr>
      </w:pPr>
      <w:r>
        <w:rPr>
          <w:rFonts w:ascii="Times New Roman" w:hAnsi="Times New Roman" w:cs="Times New Roman"/>
          <w:sz w:val="20"/>
          <w:szCs w:val="20"/>
        </w:rPr>
        <w:t xml:space="preserve">   </w:t>
      </w:r>
      <w:r w:rsidRPr="00E66F42">
        <w:rPr>
          <w:rFonts w:ascii="Times New Roman" w:hAnsi="Times New Roman" w:cs="Times New Roman"/>
          <w:sz w:val="20"/>
          <w:szCs w:val="20"/>
        </w:rPr>
        <w:t>(**)</w:t>
      </w:r>
      <w:r>
        <w:rPr>
          <w:rFonts w:ascii="Times New Roman" w:hAnsi="Times New Roman" w:cs="Times New Roman"/>
          <w:sz w:val="20"/>
          <w:szCs w:val="20"/>
        </w:rPr>
        <w:t xml:space="preserve"> 50 % discount is applied for generation connections within the scope of temporary article 4 of the    </w:t>
      </w:r>
    </w:p>
    <w:p w:rsidR="007B2C41" w:rsidRPr="00E66F42" w:rsidRDefault="007B2C41" w:rsidP="0099399A">
      <w:pPr>
        <w:spacing w:after="0"/>
        <w:ind w:left="708"/>
        <w:jc w:val="both"/>
        <w:rPr>
          <w:rFonts w:ascii="Times New Roman" w:hAnsi="Times New Roman" w:cs="Times New Roman"/>
          <w:sz w:val="20"/>
          <w:szCs w:val="20"/>
        </w:rPr>
      </w:pPr>
      <w:r>
        <w:rPr>
          <w:rFonts w:ascii="Times New Roman" w:hAnsi="Times New Roman" w:cs="Times New Roman"/>
          <w:sz w:val="20"/>
          <w:szCs w:val="20"/>
        </w:rPr>
        <w:t xml:space="preserve">           </w:t>
      </w:r>
      <w:r w:rsidRPr="00713460">
        <w:rPr>
          <w:rFonts w:ascii="Times New Roman" w:hAnsi="Times New Roman" w:cs="Times New Roman"/>
          <w:sz w:val="20"/>
          <w:szCs w:val="20"/>
        </w:rPr>
        <w:t>Electricity Market Law numbered 6446</w:t>
      </w:r>
      <w:r>
        <w:rPr>
          <w:rFonts w:ascii="Times New Roman" w:hAnsi="Times New Roman" w:cs="Times New Roman"/>
          <w:sz w:val="20"/>
          <w:szCs w:val="20"/>
        </w:rPr>
        <w:t>.</w:t>
      </w:r>
    </w:p>
    <w:p w:rsidR="00160C6E" w:rsidRPr="00E66F42" w:rsidRDefault="00160C6E" w:rsidP="0099399A">
      <w:pPr>
        <w:spacing w:line="360" w:lineRule="auto"/>
        <w:ind w:firstLine="426"/>
        <w:jc w:val="both"/>
        <w:rPr>
          <w:rFonts w:asciiTheme="minorHAnsi" w:hAnsiTheme="minorHAnsi" w:cstheme="minorHAnsi"/>
          <w:sz w:val="24"/>
          <w:szCs w:val="24"/>
        </w:rPr>
      </w:pPr>
    </w:p>
    <w:p w:rsidR="00160C6E" w:rsidRDefault="00160C6E" w:rsidP="0099399A">
      <w:pPr>
        <w:pStyle w:val="BALIKLAR"/>
        <w:spacing w:line="360" w:lineRule="auto"/>
        <w:jc w:val="both"/>
      </w:pPr>
    </w:p>
    <w:p w:rsidR="00160C6E" w:rsidRDefault="00160C6E" w:rsidP="0099399A">
      <w:pPr>
        <w:spacing w:line="276" w:lineRule="auto"/>
        <w:jc w:val="both"/>
        <w:rPr>
          <w:rFonts w:ascii="Times New Roman" w:hAnsi="Times New Roman"/>
          <w:b/>
          <w:sz w:val="24"/>
          <w:szCs w:val="32"/>
          <w:lang w:bidi="ar-SA"/>
        </w:rPr>
      </w:pPr>
      <w:r>
        <w:br w:type="page"/>
      </w:r>
    </w:p>
    <w:p w:rsidR="007B2C41" w:rsidRDefault="007B2C41" w:rsidP="00315B1C">
      <w:pPr>
        <w:pStyle w:val="Balk2"/>
      </w:pPr>
      <w:bookmarkStart w:id="740" w:name="_Toc520822139"/>
      <w:bookmarkStart w:id="741" w:name="_Toc10123922"/>
      <w:bookmarkStart w:id="742" w:name="_Toc12526295"/>
      <w:bookmarkStart w:id="743" w:name="_Toc12535905"/>
      <w:r w:rsidRPr="00B3520C">
        <w:lastRenderedPageBreak/>
        <w:t>Figure 4.2</w:t>
      </w:r>
      <w:r w:rsidRPr="00E4695E">
        <w:t>:</w:t>
      </w:r>
      <w:r w:rsidRPr="00E4695E">
        <w:rPr>
          <w:caps/>
        </w:rPr>
        <w:t xml:space="preserve"> </w:t>
      </w:r>
      <w:r w:rsidRPr="00E4695E">
        <w:t xml:space="preserve"> </w:t>
      </w:r>
      <w:r w:rsidRPr="00A42817">
        <w:t>System Usage and System Operation Tariffs (TL/MW-Year)</w:t>
      </w:r>
      <w:bookmarkEnd w:id="740"/>
      <w:bookmarkEnd w:id="741"/>
      <w:bookmarkEnd w:id="742"/>
      <w:bookmarkEnd w:id="743"/>
    </w:p>
    <w:p w:rsidR="00160C6E" w:rsidRDefault="007B2C41" w:rsidP="003E70AB">
      <w:bookmarkStart w:id="744" w:name="_Toc10123923"/>
      <w:bookmarkStart w:id="745" w:name="_Toc12526296"/>
      <w:r>
        <w:rPr>
          <w:noProof/>
        </w:rPr>
        <w:drawing>
          <wp:inline distT="0" distB="0" distL="0" distR="0" wp14:anchorId="6DBADFA2" wp14:editId="35224E40">
            <wp:extent cx="5610225" cy="3162300"/>
            <wp:effectExtent l="0" t="0" r="952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10225" cy="3162300"/>
                    </a:xfrm>
                    <a:prstGeom prst="rect">
                      <a:avLst/>
                    </a:prstGeom>
                    <a:noFill/>
                    <a:ln>
                      <a:noFill/>
                    </a:ln>
                  </pic:spPr>
                </pic:pic>
              </a:graphicData>
            </a:graphic>
          </wp:inline>
        </w:drawing>
      </w:r>
      <w:bookmarkEnd w:id="744"/>
      <w:bookmarkEnd w:id="745"/>
    </w:p>
    <w:p w:rsidR="007B2C41" w:rsidRPr="0099731C" w:rsidRDefault="007B2C41" w:rsidP="0099399A">
      <w:pPr>
        <w:pStyle w:val="BALIKLAR"/>
        <w:spacing w:line="360" w:lineRule="auto"/>
        <w:jc w:val="both"/>
        <w:rPr>
          <w:rFonts w:cs="Times New Roman"/>
        </w:rPr>
      </w:pPr>
      <w:bookmarkStart w:id="746" w:name="_Toc520822024"/>
      <w:bookmarkStart w:id="747" w:name="_Toc12528955"/>
      <w:r w:rsidRPr="0099731C">
        <w:rPr>
          <w:rFonts w:cs="Times New Roman"/>
        </w:rPr>
        <w:t>4.4 Amount of Investment</w:t>
      </w:r>
      <w:bookmarkEnd w:id="746"/>
      <w:bookmarkEnd w:id="747"/>
    </w:p>
    <w:p w:rsidR="007B2C41" w:rsidRPr="0099731C" w:rsidRDefault="007B2C41" w:rsidP="0099399A">
      <w:pPr>
        <w:spacing w:line="360" w:lineRule="auto"/>
        <w:jc w:val="both"/>
        <w:rPr>
          <w:rFonts w:ascii="Times New Roman" w:eastAsia="Times New Roman" w:hAnsi="Times New Roman" w:cs="Times New Roman"/>
          <w:sz w:val="24"/>
          <w:szCs w:val="24"/>
          <w:lang w:eastAsia="tr-TR" w:bidi="ar-SA"/>
        </w:rPr>
      </w:pPr>
      <w:r w:rsidRPr="0099731C">
        <w:rPr>
          <w:rFonts w:ascii="Times New Roman" w:eastAsia="Times New Roman" w:hAnsi="Times New Roman" w:cs="Times New Roman"/>
          <w:sz w:val="24"/>
          <w:szCs w:val="24"/>
          <w:lang w:eastAsia="tr-TR" w:bidi="ar-SA"/>
        </w:rPr>
        <w:t xml:space="preserve">The amount of investment made by TEİAŞ is shown in table 4.5. It is observed that the investment amount in 2018 increased by 12,13 %.  </w:t>
      </w:r>
    </w:p>
    <w:p w:rsidR="007B2C41" w:rsidRPr="00B57767" w:rsidRDefault="007B2C41" w:rsidP="00315B1C">
      <w:pPr>
        <w:pStyle w:val="Balk1"/>
      </w:pPr>
      <w:bookmarkStart w:id="748" w:name="_Toc514674267"/>
      <w:bookmarkStart w:id="749" w:name="_Toc520822063"/>
      <w:bookmarkStart w:id="750" w:name="_Toc10123925"/>
      <w:bookmarkStart w:id="751" w:name="_Toc10191443"/>
      <w:r>
        <w:t>Table</w:t>
      </w:r>
      <w:r w:rsidRPr="00B57767">
        <w:t xml:space="preserve"> </w:t>
      </w:r>
      <w:r>
        <w:rPr>
          <w:noProof/>
        </w:rPr>
        <w:fldChar w:fldCharType="begin"/>
      </w:r>
      <w:r>
        <w:rPr>
          <w:noProof/>
        </w:rPr>
        <w:instrText xml:space="preserve"> STYLEREF 1 \s </w:instrText>
      </w:r>
      <w:r>
        <w:rPr>
          <w:noProof/>
        </w:rPr>
        <w:fldChar w:fldCharType="separate"/>
      </w:r>
      <w:r w:rsidRPr="00B57767">
        <w:rPr>
          <w:noProof/>
        </w:rPr>
        <w:t>4</w:t>
      </w:r>
      <w:r>
        <w:rPr>
          <w:noProof/>
        </w:rPr>
        <w:fldChar w:fldCharType="end"/>
      </w:r>
      <w:r w:rsidRPr="00B57767">
        <w:t>.</w:t>
      </w:r>
      <w:r>
        <w:t>5</w:t>
      </w:r>
      <w:r w:rsidRPr="00B57767">
        <w:t xml:space="preserve">: </w:t>
      </w:r>
      <w:r>
        <w:t>Comparison of 2017 and 2018</w:t>
      </w:r>
      <w:r w:rsidRPr="00581400">
        <w:t xml:space="preserve"> Investment </w:t>
      </w:r>
      <w:r>
        <w:t xml:space="preserve">Amount </w:t>
      </w:r>
      <w:r w:rsidRPr="00581400">
        <w:t>(TL-%)</w:t>
      </w:r>
      <w:bookmarkEnd w:id="748"/>
      <w:bookmarkEnd w:id="749"/>
      <w:bookmarkEnd w:id="750"/>
      <w:bookmarkEnd w:id="751"/>
    </w:p>
    <w:tbl>
      <w:tblPr>
        <w:tblW w:w="9480" w:type="dxa"/>
        <w:tblInd w:w="55" w:type="dxa"/>
        <w:tblCellMar>
          <w:left w:w="70" w:type="dxa"/>
          <w:right w:w="70" w:type="dxa"/>
        </w:tblCellMar>
        <w:tblLook w:val="04A0" w:firstRow="1" w:lastRow="0" w:firstColumn="1" w:lastColumn="0" w:noHBand="0" w:noVBand="1"/>
      </w:tblPr>
      <w:tblGrid>
        <w:gridCol w:w="2200"/>
        <w:gridCol w:w="2017"/>
        <w:gridCol w:w="1163"/>
        <w:gridCol w:w="1540"/>
        <w:gridCol w:w="1340"/>
        <w:gridCol w:w="1220"/>
      </w:tblGrid>
      <w:tr w:rsidR="007B2C41" w:rsidRPr="007B2B0E" w:rsidTr="00746B0E">
        <w:trPr>
          <w:trHeight w:val="315"/>
        </w:trPr>
        <w:tc>
          <w:tcPr>
            <w:tcW w:w="2200" w:type="dxa"/>
            <w:tcBorders>
              <w:top w:val="nil"/>
              <w:left w:val="nil"/>
              <w:bottom w:val="nil"/>
              <w:right w:val="nil"/>
            </w:tcBorders>
            <w:shd w:val="clear" w:color="auto" w:fill="auto"/>
            <w:noWrap/>
            <w:vAlign w:val="bottom"/>
            <w:hideMark/>
          </w:tcPr>
          <w:p w:rsidR="007B2C41" w:rsidRPr="007B2B0E" w:rsidRDefault="007B2C41" w:rsidP="00315B1C">
            <w:pPr>
              <w:spacing w:after="0" w:line="240" w:lineRule="auto"/>
              <w:jc w:val="center"/>
              <w:rPr>
                <w:rFonts w:ascii="Calibri" w:eastAsia="Times New Roman" w:hAnsi="Calibri" w:cs="Times New Roman"/>
                <w:color w:val="000000"/>
                <w:lang w:eastAsia="tr-TR" w:bidi="ar-SA"/>
              </w:rPr>
            </w:pPr>
          </w:p>
        </w:tc>
        <w:tc>
          <w:tcPr>
            <w:tcW w:w="3180" w:type="dxa"/>
            <w:gridSpan w:val="2"/>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7B2C41" w:rsidRPr="007B2B0E" w:rsidRDefault="007B2C41" w:rsidP="00315B1C">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2017</w:t>
            </w:r>
          </w:p>
        </w:tc>
        <w:tc>
          <w:tcPr>
            <w:tcW w:w="288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7B2C41" w:rsidRPr="007B2B0E" w:rsidRDefault="007B2C41" w:rsidP="00315B1C">
            <w:pPr>
              <w:spacing w:after="0" w:line="240" w:lineRule="auto"/>
              <w:jc w:val="center"/>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2018</w:t>
            </w:r>
          </w:p>
        </w:tc>
        <w:tc>
          <w:tcPr>
            <w:tcW w:w="122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7B2C41" w:rsidRPr="007B2B0E" w:rsidRDefault="007B2C41"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Change</w:t>
            </w:r>
            <w:r w:rsidRPr="007B2B0E">
              <w:rPr>
                <w:rFonts w:ascii="Calibri" w:eastAsia="Times New Roman" w:hAnsi="Calibri" w:cs="Times New Roman"/>
                <w:b/>
                <w:bCs/>
                <w:color w:val="FFFFFF"/>
                <w:lang w:eastAsia="tr-TR" w:bidi="ar-SA"/>
              </w:rPr>
              <w:t xml:space="preserve"> (%)</w:t>
            </w:r>
          </w:p>
        </w:tc>
      </w:tr>
      <w:tr w:rsidR="007B2C41" w:rsidRPr="007B2B0E" w:rsidTr="00746B0E">
        <w:trPr>
          <w:trHeight w:val="315"/>
        </w:trPr>
        <w:tc>
          <w:tcPr>
            <w:tcW w:w="220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B2C41" w:rsidRPr="00B57767" w:rsidRDefault="007B2C41" w:rsidP="00315B1C">
            <w:pPr>
              <w:spacing w:after="0" w:line="240" w:lineRule="auto"/>
              <w:jc w:val="center"/>
              <w:rPr>
                <w:rFonts w:ascii="Calibri" w:eastAsia="Times New Roman" w:hAnsi="Calibri" w:cs="Times New Roman"/>
                <w:b/>
                <w:bCs/>
                <w:color w:val="FFFFFF"/>
                <w:lang w:eastAsia="tr-TR" w:bidi="ar-SA"/>
              </w:rPr>
            </w:pPr>
            <w:r w:rsidRPr="003F00E2">
              <w:rPr>
                <w:rFonts w:ascii="Calibri" w:eastAsia="Times New Roman" w:hAnsi="Calibri" w:cs="Times New Roman"/>
                <w:b/>
                <w:bCs/>
                <w:color w:val="FFFFFF"/>
                <w:sz w:val="20"/>
                <w:lang w:eastAsia="tr-TR" w:bidi="ar-SA"/>
              </w:rPr>
              <w:t>Investment Payment Type</w:t>
            </w:r>
          </w:p>
        </w:tc>
        <w:tc>
          <w:tcPr>
            <w:tcW w:w="2017" w:type="dxa"/>
            <w:tcBorders>
              <w:top w:val="nil"/>
              <w:left w:val="nil"/>
              <w:bottom w:val="single" w:sz="8" w:space="0" w:color="auto"/>
              <w:right w:val="single" w:sz="8" w:space="0" w:color="auto"/>
            </w:tcBorders>
            <w:shd w:val="clear" w:color="000000" w:fill="FF0000"/>
            <w:noWrap/>
            <w:vAlign w:val="center"/>
            <w:hideMark/>
          </w:tcPr>
          <w:p w:rsidR="007B2C41" w:rsidRPr="00B57767" w:rsidRDefault="007B2C41"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Amount (</w:t>
            </w:r>
            <w:r w:rsidRPr="00B57767">
              <w:rPr>
                <w:rFonts w:ascii="Calibri" w:eastAsia="Times New Roman" w:hAnsi="Calibri" w:cs="Times New Roman"/>
                <w:b/>
                <w:bCs/>
                <w:color w:val="FFFFFF"/>
                <w:lang w:eastAsia="tr-TR" w:bidi="ar-SA"/>
              </w:rPr>
              <w:t>TL)</w:t>
            </w:r>
          </w:p>
        </w:tc>
        <w:tc>
          <w:tcPr>
            <w:tcW w:w="1163" w:type="dxa"/>
            <w:tcBorders>
              <w:top w:val="nil"/>
              <w:left w:val="nil"/>
              <w:bottom w:val="single" w:sz="8" w:space="0" w:color="auto"/>
              <w:right w:val="single" w:sz="8" w:space="0" w:color="auto"/>
            </w:tcBorders>
            <w:shd w:val="clear" w:color="000000" w:fill="FF0000"/>
            <w:noWrap/>
            <w:vAlign w:val="center"/>
            <w:hideMark/>
          </w:tcPr>
          <w:p w:rsidR="007B2C41" w:rsidRPr="00B57767" w:rsidRDefault="007B2C41"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Share</w:t>
            </w:r>
            <w:r w:rsidRPr="00B57767">
              <w:rPr>
                <w:rFonts w:ascii="Calibri" w:eastAsia="Times New Roman" w:hAnsi="Calibri" w:cs="Times New Roman"/>
                <w:b/>
                <w:bCs/>
                <w:color w:val="FFFFFF"/>
                <w:lang w:eastAsia="tr-TR" w:bidi="ar-SA"/>
              </w:rPr>
              <w:t xml:space="preserve"> (%)</w:t>
            </w:r>
          </w:p>
        </w:tc>
        <w:tc>
          <w:tcPr>
            <w:tcW w:w="1540" w:type="dxa"/>
            <w:tcBorders>
              <w:top w:val="nil"/>
              <w:left w:val="nil"/>
              <w:bottom w:val="single" w:sz="8" w:space="0" w:color="auto"/>
              <w:right w:val="single" w:sz="8" w:space="0" w:color="auto"/>
            </w:tcBorders>
            <w:shd w:val="clear" w:color="000000" w:fill="FF0000"/>
            <w:noWrap/>
            <w:vAlign w:val="center"/>
            <w:hideMark/>
          </w:tcPr>
          <w:p w:rsidR="007B2C41" w:rsidRPr="00B57767" w:rsidRDefault="007B2C41"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Amount</w:t>
            </w:r>
            <w:r w:rsidRPr="00B57767">
              <w:rPr>
                <w:rFonts w:ascii="Calibri" w:eastAsia="Times New Roman" w:hAnsi="Calibri" w:cs="Times New Roman"/>
                <w:b/>
                <w:bCs/>
                <w:color w:val="FFFFFF"/>
                <w:lang w:eastAsia="tr-TR" w:bidi="ar-SA"/>
              </w:rPr>
              <w:t xml:space="preserve"> (TL)</w:t>
            </w:r>
          </w:p>
        </w:tc>
        <w:tc>
          <w:tcPr>
            <w:tcW w:w="1340" w:type="dxa"/>
            <w:tcBorders>
              <w:top w:val="nil"/>
              <w:left w:val="nil"/>
              <w:bottom w:val="single" w:sz="8" w:space="0" w:color="auto"/>
              <w:right w:val="single" w:sz="8" w:space="0" w:color="auto"/>
            </w:tcBorders>
            <w:shd w:val="clear" w:color="000000" w:fill="FF0000"/>
            <w:noWrap/>
            <w:vAlign w:val="center"/>
            <w:hideMark/>
          </w:tcPr>
          <w:p w:rsidR="007B2C41" w:rsidRPr="00B57767" w:rsidRDefault="007B2C41"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Share</w:t>
            </w:r>
            <w:r w:rsidRPr="00B57767">
              <w:rPr>
                <w:rFonts w:ascii="Calibri" w:eastAsia="Times New Roman" w:hAnsi="Calibri" w:cs="Times New Roman"/>
                <w:b/>
                <w:bCs/>
                <w:color w:val="FFFFFF"/>
                <w:lang w:eastAsia="tr-TR" w:bidi="ar-SA"/>
              </w:rPr>
              <w:t xml:space="preserve"> (%)</w:t>
            </w:r>
          </w:p>
        </w:tc>
        <w:tc>
          <w:tcPr>
            <w:tcW w:w="1220" w:type="dxa"/>
            <w:vMerge/>
            <w:tcBorders>
              <w:top w:val="single" w:sz="8" w:space="0" w:color="auto"/>
              <w:left w:val="single" w:sz="8" w:space="0" w:color="auto"/>
              <w:bottom w:val="single" w:sz="8" w:space="0" w:color="000000"/>
              <w:right w:val="single" w:sz="8" w:space="0" w:color="auto"/>
            </w:tcBorders>
            <w:vAlign w:val="center"/>
            <w:hideMark/>
          </w:tcPr>
          <w:p w:rsidR="007B2C41" w:rsidRPr="007B2B0E" w:rsidRDefault="007B2C41" w:rsidP="00315B1C">
            <w:pPr>
              <w:spacing w:after="0" w:line="240" w:lineRule="auto"/>
              <w:jc w:val="center"/>
              <w:rPr>
                <w:rFonts w:ascii="Calibri" w:eastAsia="Times New Roman" w:hAnsi="Calibri" w:cs="Times New Roman"/>
                <w:b/>
                <w:bCs/>
                <w:color w:val="FFFFFF"/>
                <w:lang w:eastAsia="tr-TR" w:bidi="ar-SA"/>
              </w:rPr>
            </w:pPr>
          </w:p>
        </w:tc>
      </w:tr>
      <w:tr w:rsidR="007B2C41" w:rsidRPr="007B2B0E" w:rsidTr="00746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bottom"/>
            <w:hideMark/>
          </w:tcPr>
          <w:p w:rsidR="007B2C41" w:rsidRPr="00DF1561" w:rsidRDefault="007B2C41" w:rsidP="0099399A">
            <w:pPr>
              <w:spacing w:after="0" w:line="240" w:lineRule="auto"/>
              <w:jc w:val="both"/>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New Transformer Investment</w:t>
            </w:r>
          </w:p>
        </w:tc>
        <w:tc>
          <w:tcPr>
            <w:tcW w:w="20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1.242.394.000</w:t>
            </w:r>
          </w:p>
        </w:tc>
        <w:tc>
          <w:tcPr>
            <w:tcW w:w="1163" w:type="dxa"/>
            <w:tcBorders>
              <w:top w:val="single" w:sz="4" w:space="0" w:color="auto"/>
              <w:left w:val="nil"/>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47,68</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1.599.019.000</w:t>
            </w:r>
          </w:p>
        </w:tc>
        <w:tc>
          <w:tcPr>
            <w:tcW w:w="1340" w:type="dxa"/>
            <w:tcBorders>
              <w:top w:val="single" w:sz="4" w:space="0" w:color="auto"/>
              <w:left w:val="nil"/>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54,73</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28,70</w:t>
            </w:r>
          </w:p>
        </w:tc>
      </w:tr>
      <w:tr w:rsidR="007B2C41" w:rsidRPr="007B2B0E" w:rsidTr="00746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bottom"/>
            <w:hideMark/>
          </w:tcPr>
          <w:p w:rsidR="007B2C41" w:rsidRPr="00DF1561" w:rsidRDefault="007B2C41" w:rsidP="0099399A">
            <w:pPr>
              <w:spacing w:after="0" w:line="240" w:lineRule="auto"/>
              <w:jc w:val="both"/>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New Line Investment</w:t>
            </w:r>
          </w:p>
        </w:tc>
        <w:tc>
          <w:tcPr>
            <w:tcW w:w="2017" w:type="dxa"/>
            <w:tcBorders>
              <w:top w:val="nil"/>
              <w:left w:val="single" w:sz="4" w:space="0" w:color="auto"/>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1.134.077.000</w:t>
            </w:r>
          </w:p>
        </w:tc>
        <w:tc>
          <w:tcPr>
            <w:tcW w:w="1163" w:type="dxa"/>
            <w:tcBorders>
              <w:top w:val="nil"/>
              <w:left w:val="nil"/>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43,52</w:t>
            </w:r>
          </w:p>
        </w:tc>
        <w:tc>
          <w:tcPr>
            <w:tcW w:w="1540" w:type="dxa"/>
            <w:tcBorders>
              <w:top w:val="nil"/>
              <w:left w:val="nil"/>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1.037.280.000</w:t>
            </w:r>
          </w:p>
        </w:tc>
        <w:tc>
          <w:tcPr>
            <w:tcW w:w="1340" w:type="dxa"/>
            <w:tcBorders>
              <w:top w:val="nil"/>
              <w:left w:val="nil"/>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35,50</w:t>
            </w:r>
          </w:p>
        </w:tc>
        <w:tc>
          <w:tcPr>
            <w:tcW w:w="1220" w:type="dxa"/>
            <w:tcBorders>
              <w:top w:val="nil"/>
              <w:left w:val="nil"/>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-8,54</w:t>
            </w:r>
          </w:p>
        </w:tc>
      </w:tr>
      <w:tr w:rsidR="007B2C41" w:rsidRPr="007B2B0E" w:rsidTr="00746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bottom"/>
            <w:hideMark/>
          </w:tcPr>
          <w:p w:rsidR="007B2C41" w:rsidRPr="00DF1561" w:rsidRDefault="007B2C41" w:rsidP="0099399A">
            <w:pPr>
              <w:spacing w:after="0" w:line="240" w:lineRule="auto"/>
              <w:jc w:val="both"/>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Operation</w:t>
            </w:r>
            <w:r>
              <w:rPr>
                <w:rFonts w:ascii="Calibri" w:eastAsia="Times New Roman" w:hAnsi="Calibri" w:cs="Times New Roman"/>
                <w:color w:val="FFFFFF" w:themeColor="background1"/>
                <w:lang w:eastAsia="tr-TR" w:bidi="ar-SA"/>
              </w:rPr>
              <w:t>al Investment</w:t>
            </w:r>
          </w:p>
        </w:tc>
        <w:tc>
          <w:tcPr>
            <w:tcW w:w="2017" w:type="dxa"/>
            <w:tcBorders>
              <w:top w:val="nil"/>
              <w:left w:val="single" w:sz="4" w:space="0" w:color="auto"/>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111.203.109</w:t>
            </w:r>
          </w:p>
        </w:tc>
        <w:tc>
          <w:tcPr>
            <w:tcW w:w="1163" w:type="dxa"/>
            <w:tcBorders>
              <w:top w:val="nil"/>
              <w:left w:val="nil"/>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4,27</w:t>
            </w:r>
          </w:p>
        </w:tc>
        <w:tc>
          <w:tcPr>
            <w:tcW w:w="1540" w:type="dxa"/>
            <w:tcBorders>
              <w:top w:val="nil"/>
              <w:left w:val="nil"/>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160.744.000</w:t>
            </w:r>
          </w:p>
        </w:tc>
        <w:tc>
          <w:tcPr>
            <w:tcW w:w="1340" w:type="dxa"/>
            <w:tcBorders>
              <w:top w:val="nil"/>
              <w:left w:val="nil"/>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5,50</w:t>
            </w:r>
          </w:p>
        </w:tc>
        <w:tc>
          <w:tcPr>
            <w:tcW w:w="1220" w:type="dxa"/>
            <w:tcBorders>
              <w:top w:val="nil"/>
              <w:left w:val="nil"/>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44,55</w:t>
            </w:r>
          </w:p>
        </w:tc>
      </w:tr>
      <w:tr w:rsidR="007B2C41" w:rsidRPr="007B2B0E" w:rsidTr="00746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bottom"/>
            <w:hideMark/>
          </w:tcPr>
          <w:p w:rsidR="007B2C41" w:rsidRPr="00DF1561" w:rsidRDefault="007B2C41" w:rsidP="0099399A">
            <w:pPr>
              <w:spacing w:after="0" w:line="240" w:lineRule="auto"/>
              <w:jc w:val="both"/>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Machine and Equipment</w:t>
            </w:r>
          </w:p>
        </w:tc>
        <w:tc>
          <w:tcPr>
            <w:tcW w:w="2017" w:type="dxa"/>
            <w:tcBorders>
              <w:top w:val="nil"/>
              <w:left w:val="single" w:sz="4" w:space="0" w:color="auto"/>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113.517.017</w:t>
            </w:r>
          </w:p>
        </w:tc>
        <w:tc>
          <w:tcPr>
            <w:tcW w:w="1163" w:type="dxa"/>
            <w:tcBorders>
              <w:top w:val="nil"/>
              <w:left w:val="nil"/>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4,36</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108.324.000</w:t>
            </w:r>
          </w:p>
        </w:tc>
        <w:tc>
          <w:tcPr>
            <w:tcW w:w="1340" w:type="dxa"/>
            <w:tcBorders>
              <w:top w:val="nil"/>
              <w:left w:val="single" w:sz="4" w:space="0" w:color="auto"/>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3,71</w:t>
            </w:r>
          </w:p>
        </w:tc>
        <w:tc>
          <w:tcPr>
            <w:tcW w:w="1220" w:type="dxa"/>
            <w:tcBorders>
              <w:top w:val="nil"/>
              <w:left w:val="nil"/>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-4,57</w:t>
            </w:r>
          </w:p>
        </w:tc>
      </w:tr>
      <w:tr w:rsidR="007B2C41" w:rsidRPr="007B2B0E" w:rsidTr="00746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bottom"/>
            <w:hideMark/>
          </w:tcPr>
          <w:p w:rsidR="007B2C41" w:rsidRPr="00DF1561" w:rsidRDefault="007B2C41" w:rsidP="0099399A">
            <w:pPr>
              <w:spacing w:after="0" w:line="240" w:lineRule="auto"/>
              <w:jc w:val="both"/>
              <w:rPr>
                <w:rFonts w:ascii="Calibri" w:eastAsia="Times New Roman" w:hAnsi="Calibri" w:cs="Times New Roman"/>
                <w:color w:val="FFFFFF" w:themeColor="background1"/>
                <w:lang w:eastAsia="tr-TR" w:bidi="ar-SA"/>
              </w:rPr>
            </w:pPr>
            <w:r w:rsidRPr="00DF1561">
              <w:rPr>
                <w:rFonts w:ascii="Calibri" w:eastAsia="Times New Roman" w:hAnsi="Calibri" w:cs="Times New Roman"/>
                <w:color w:val="FFFFFF" w:themeColor="background1"/>
                <w:lang w:eastAsia="tr-TR" w:bidi="ar-SA"/>
              </w:rPr>
              <w:t>Other</w:t>
            </w:r>
          </w:p>
        </w:tc>
        <w:tc>
          <w:tcPr>
            <w:tcW w:w="2017" w:type="dxa"/>
            <w:tcBorders>
              <w:top w:val="nil"/>
              <w:left w:val="single" w:sz="4" w:space="0" w:color="auto"/>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4.658.226</w:t>
            </w:r>
          </w:p>
        </w:tc>
        <w:tc>
          <w:tcPr>
            <w:tcW w:w="1163" w:type="dxa"/>
            <w:tcBorders>
              <w:top w:val="nil"/>
              <w:left w:val="nil"/>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0,18</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16.540.100</w:t>
            </w:r>
          </w:p>
        </w:tc>
        <w:tc>
          <w:tcPr>
            <w:tcW w:w="1340" w:type="dxa"/>
            <w:tcBorders>
              <w:top w:val="nil"/>
              <w:left w:val="nil"/>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0,57</w:t>
            </w:r>
          </w:p>
        </w:tc>
        <w:tc>
          <w:tcPr>
            <w:tcW w:w="1220" w:type="dxa"/>
            <w:tcBorders>
              <w:top w:val="nil"/>
              <w:left w:val="nil"/>
              <w:bottom w:val="single" w:sz="4" w:space="0" w:color="auto"/>
              <w:right w:val="single" w:sz="4" w:space="0" w:color="auto"/>
            </w:tcBorders>
            <w:shd w:val="clear" w:color="auto" w:fill="auto"/>
            <w:vAlign w:val="bottom"/>
            <w:hideMark/>
          </w:tcPr>
          <w:p w:rsidR="007B2C41" w:rsidRPr="007B2B0E" w:rsidRDefault="007B2C41" w:rsidP="0099399A">
            <w:pPr>
              <w:spacing w:after="0" w:line="240" w:lineRule="auto"/>
              <w:jc w:val="both"/>
              <w:rPr>
                <w:rFonts w:ascii="Calibri" w:eastAsia="Times New Roman" w:hAnsi="Calibri" w:cs="Times New Roman"/>
                <w:color w:val="000000"/>
                <w:lang w:eastAsia="tr-TR" w:bidi="ar-SA"/>
              </w:rPr>
            </w:pPr>
            <w:r w:rsidRPr="007B2B0E">
              <w:rPr>
                <w:rFonts w:ascii="Calibri" w:eastAsia="Times New Roman" w:hAnsi="Calibri" w:cs="Times New Roman"/>
                <w:color w:val="000000"/>
                <w:lang w:eastAsia="tr-TR" w:bidi="ar-SA"/>
              </w:rPr>
              <w:t>255,07</w:t>
            </w:r>
          </w:p>
        </w:tc>
      </w:tr>
      <w:tr w:rsidR="007B2C41" w:rsidRPr="007B2B0E" w:rsidTr="00746B0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bottom"/>
            <w:hideMark/>
          </w:tcPr>
          <w:p w:rsidR="007B2C41" w:rsidRPr="00DF1561" w:rsidRDefault="007B2C41" w:rsidP="0099399A">
            <w:pPr>
              <w:spacing w:after="0" w:line="240" w:lineRule="auto"/>
              <w:jc w:val="both"/>
              <w:rPr>
                <w:rFonts w:ascii="Calibri" w:eastAsia="Times New Roman" w:hAnsi="Calibri" w:cs="Times New Roman"/>
                <w:color w:val="FFFFFF" w:themeColor="background1"/>
                <w:lang w:eastAsia="tr-TR" w:bidi="ar-SA"/>
              </w:rPr>
            </w:pPr>
            <w:r w:rsidRPr="00346EB9">
              <w:rPr>
                <w:rFonts w:ascii="Calibri" w:eastAsia="Times New Roman" w:hAnsi="Calibri" w:cs="Times New Roman"/>
                <w:b/>
                <w:color w:val="FFFFFF" w:themeColor="background1"/>
                <w:lang w:eastAsia="tr-TR" w:bidi="ar-SA"/>
              </w:rPr>
              <w:t>Total</w:t>
            </w:r>
          </w:p>
        </w:tc>
        <w:tc>
          <w:tcPr>
            <w:tcW w:w="2017" w:type="dxa"/>
            <w:tcBorders>
              <w:top w:val="nil"/>
              <w:left w:val="nil"/>
              <w:bottom w:val="single" w:sz="8" w:space="0" w:color="auto"/>
              <w:right w:val="single" w:sz="8" w:space="0" w:color="auto"/>
            </w:tcBorders>
            <w:shd w:val="clear" w:color="000000" w:fill="FF5050"/>
            <w:noWrap/>
            <w:vAlign w:val="center"/>
            <w:hideMark/>
          </w:tcPr>
          <w:p w:rsidR="007B2C41" w:rsidRPr="007B2B0E" w:rsidRDefault="007B2C41" w:rsidP="0099399A">
            <w:pPr>
              <w:spacing w:after="0" w:line="240" w:lineRule="auto"/>
              <w:jc w:val="both"/>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2.605.849.352</w:t>
            </w:r>
          </w:p>
        </w:tc>
        <w:tc>
          <w:tcPr>
            <w:tcW w:w="1163" w:type="dxa"/>
            <w:tcBorders>
              <w:top w:val="nil"/>
              <w:left w:val="nil"/>
              <w:bottom w:val="single" w:sz="8" w:space="0" w:color="auto"/>
              <w:right w:val="single" w:sz="8" w:space="0" w:color="auto"/>
            </w:tcBorders>
            <w:shd w:val="clear" w:color="000000" w:fill="FF5050"/>
            <w:noWrap/>
            <w:vAlign w:val="center"/>
            <w:hideMark/>
          </w:tcPr>
          <w:p w:rsidR="007B2C41" w:rsidRPr="007B2B0E" w:rsidRDefault="007B2C41" w:rsidP="0099399A">
            <w:pPr>
              <w:spacing w:after="0" w:line="240" w:lineRule="auto"/>
              <w:jc w:val="both"/>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100,00</w:t>
            </w:r>
          </w:p>
        </w:tc>
        <w:tc>
          <w:tcPr>
            <w:tcW w:w="1540" w:type="dxa"/>
            <w:tcBorders>
              <w:top w:val="nil"/>
              <w:left w:val="nil"/>
              <w:bottom w:val="single" w:sz="8" w:space="0" w:color="auto"/>
              <w:right w:val="single" w:sz="8" w:space="0" w:color="auto"/>
            </w:tcBorders>
            <w:shd w:val="clear" w:color="000000" w:fill="FF5050"/>
            <w:noWrap/>
            <w:vAlign w:val="center"/>
            <w:hideMark/>
          </w:tcPr>
          <w:p w:rsidR="007B2C41" w:rsidRPr="007B2B0E" w:rsidRDefault="007B2C41" w:rsidP="0099399A">
            <w:pPr>
              <w:spacing w:after="0" w:line="240" w:lineRule="auto"/>
              <w:jc w:val="both"/>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2.921.907.100</w:t>
            </w:r>
          </w:p>
        </w:tc>
        <w:tc>
          <w:tcPr>
            <w:tcW w:w="1340" w:type="dxa"/>
            <w:tcBorders>
              <w:top w:val="nil"/>
              <w:left w:val="nil"/>
              <w:bottom w:val="single" w:sz="8" w:space="0" w:color="auto"/>
              <w:right w:val="single" w:sz="8" w:space="0" w:color="auto"/>
            </w:tcBorders>
            <w:shd w:val="clear" w:color="000000" w:fill="FF5050"/>
            <w:noWrap/>
            <w:vAlign w:val="center"/>
            <w:hideMark/>
          </w:tcPr>
          <w:p w:rsidR="007B2C41" w:rsidRPr="007B2B0E" w:rsidRDefault="007B2C41" w:rsidP="0099399A">
            <w:pPr>
              <w:spacing w:after="0" w:line="240" w:lineRule="auto"/>
              <w:jc w:val="both"/>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100,00</w:t>
            </w:r>
          </w:p>
        </w:tc>
        <w:tc>
          <w:tcPr>
            <w:tcW w:w="1220" w:type="dxa"/>
            <w:tcBorders>
              <w:top w:val="nil"/>
              <w:left w:val="nil"/>
              <w:bottom w:val="single" w:sz="8" w:space="0" w:color="auto"/>
              <w:right w:val="single" w:sz="8" w:space="0" w:color="auto"/>
            </w:tcBorders>
            <w:shd w:val="clear" w:color="000000" w:fill="FF5050"/>
            <w:noWrap/>
            <w:vAlign w:val="center"/>
            <w:hideMark/>
          </w:tcPr>
          <w:p w:rsidR="007B2C41" w:rsidRPr="007B2B0E" w:rsidRDefault="007B2C41" w:rsidP="0099399A">
            <w:pPr>
              <w:spacing w:after="0" w:line="240" w:lineRule="auto"/>
              <w:jc w:val="both"/>
              <w:rPr>
                <w:rFonts w:ascii="Calibri" w:eastAsia="Times New Roman" w:hAnsi="Calibri" w:cs="Times New Roman"/>
                <w:b/>
                <w:bCs/>
                <w:color w:val="FFFFFF"/>
                <w:lang w:eastAsia="tr-TR" w:bidi="ar-SA"/>
              </w:rPr>
            </w:pPr>
            <w:r w:rsidRPr="007B2B0E">
              <w:rPr>
                <w:rFonts w:ascii="Calibri" w:eastAsia="Times New Roman" w:hAnsi="Calibri" w:cs="Times New Roman"/>
                <w:b/>
                <w:bCs/>
                <w:color w:val="FFFFFF"/>
                <w:lang w:eastAsia="tr-TR" w:bidi="ar-SA"/>
              </w:rPr>
              <w:t>12,13</w:t>
            </w:r>
          </w:p>
        </w:tc>
      </w:tr>
    </w:tbl>
    <w:p w:rsidR="007B2C41" w:rsidRDefault="007B2C41" w:rsidP="0099399A">
      <w:pPr>
        <w:pStyle w:val="BALIKLAR"/>
        <w:jc w:val="both"/>
      </w:pPr>
      <w:bookmarkStart w:id="752" w:name="_Toc520822025"/>
      <w:bookmarkStart w:id="753" w:name="_Toc12528956"/>
      <w:r>
        <w:t>4.5 Losses</w:t>
      </w:r>
      <w:bookmarkEnd w:id="752"/>
      <w:bookmarkEnd w:id="753"/>
    </w:p>
    <w:p w:rsidR="007B2C41" w:rsidRPr="003E70AB" w:rsidRDefault="007B2C41" w:rsidP="003E70AB">
      <w:pPr>
        <w:spacing w:line="360" w:lineRule="auto"/>
        <w:jc w:val="both"/>
        <w:rPr>
          <w:rFonts w:ascii="Times New Roman" w:hAnsi="Times New Roman" w:cs="Times New Roman"/>
          <w:sz w:val="24"/>
          <w:szCs w:val="24"/>
        </w:rPr>
      </w:pPr>
      <w:bookmarkStart w:id="754" w:name="_Toc10123927"/>
      <w:bookmarkStart w:id="755" w:name="_Toc12526300"/>
      <w:r w:rsidRPr="003E70AB">
        <w:rPr>
          <w:rFonts w:ascii="Times New Roman" w:hAnsi="Times New Roman" w:cs="Times New Roman"/>
          <w:sz w:val="24"/>
          <w:szCs w:val="24"/>
        </w:rPr>
        <w:t>The transmission system loss rate changes depending on the demand in the system, load flows, temperature and investments. It is calculated on an hourly basis and the change in annual averages over the years is shown in Figure 4.3. The loss of the transmission system established by European standards in accordance with the population density of our country, the location of the supply sources and the geographical conditions is at the international performance level.</w:t>
      </w:r>
      <w:bookmarkEnd w:id="754"/>
      <w:bookmarkEnd w:id="755"/>
    </w:p>
    <w:p w:rsidR="0033736D" w:rsidRDefault="0033736D" w:rsidP="00315B1C">
      <w:pPr>
        <w:pStyle w:val="Balk2"/>
      </w:pPr>
      <w:bookmarkStart w:id="756" w:name="_Toc520822140"/>
      <w:bookmarkStart w:id="757" w:name="_Toc10123928"/>
      <w:bookmarkStart w:id="758" w:name="_Toc12526301"/>
      <w:bookmarkStart w:id="759" w:name="_Toc12535906"/>
      <w:r>
        <w:lastRenderedPageBreak/>
        <w:t xml:space="preserve">Figure </w:t>
      </w:r>
      <w:r>
        <w:rPr>
          <w:noProof/>
        </w:rPr>
        <w:fldChar w:fldCharType="begin"/>
      </w:r>
      <w:r>
        <w:rPr>
          <w:noProof/>
        </w:rPr>
        <w:instrText xml:space="preserve"> STYLEREF 1 \s </w:instrText>
      </w:r>
      <w:r>
        <w:rPr>
          <w:noProof/>
        </w:rPr>
        <w:fldChar w:fldCharType="separate"/>
      </w:r>
      <w:r w:rsidRPr="00A0043C">
        <w:rPr>
          <w:noProof/>
        </w:rPr>
        <w:t>4</w:t>
      </w:r>
      <w:r>
        <w:rPr>
          <w:noProof/>
        </w:rPr>
        <w:fldChar w:fldCharType="end"/>
      </w:r>
      <w:r w:rsidRPr="00A0043C">
        <w:t>.</w:t>
      </w:r>
      <w:r>
        <w:t>3</w:t>
      </w:r>
      <w:r w:rsidRPr="00A0043C">
        <w:t>:</w:t>
      </w:r>
      <w:r w:rsidRPr="00A0043C">
        <w:rPr>
          <w:caps/>
        </w:rPr>
        <w:t xml:space="preserve"> </w:t>
      </w:r>
      <w:r w:rsidRPr="00A0043C">
        <w:t xml:space="preserve"> </w:t>
      </w:r>
      <w:r w:rsidRPr="00B53AF9">
        <w:t xml:space="preserve">Transmission System Losses </w:t>
      </w:r>
      <w:r w:rsidRPr="00E4695E">
        <w:t>(GWh-%)</w:t>
      </w:r>
      <w:bookmarkEnd w:id="756"/>
      <w:bookmarkEnd w:id="757"/>
      <w:bookmarkEnd w:id="758"/>
      <w:bookmarkEnd w:id="759"/>
    </w:p>
    <w:p w:rsidR="0033736D" w:rsidRPr="007B2C41" w:rsidRDefault="0033736D" w:rsidP="003E70AB">
      <w:bookmarkStart w:id="760" w:name="_Toc10123929"/>
      <w:bookmarkStart w:id="761" w:name="_Toc12526302"/>
      <w:r>
        <w:rPr>
          <w:noProof/>
        </w:rPr>
        <w:drawing>
          <wp:inline distT="0" distB="0" distL="0" distR="0" wp14:anchorId="30446251" wp14:editId="4A7C8847">
            <wp:extent cx="5753100" cy="2952750"/>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53100" cy="2952750"/>
                    </a:xfrm>
                    <a:prstGeom prst="rect">
                      <a:avLst/>
                    </a:prstGeom>
                    <a:noFill/>
                    <a:ln>
                      <a:noFill/>
                    </a:ln>
                  </pic:spPr>
                </pic:pic>
              </a:graphicData>
            </a:graphic>
          </wp:inline>
        </w:drawing>
      </w:r>
      <w:bookmarkEnd w:id="760"/>
      <w:bookmarkEnd w:id="761"/>
    </w:p>
    <w:p w:rsidR="0033736D" w:rsidRDefault="0033736D" w:rsidP="00315B1C">
      <w:pPr>
        <w:pStyle w:val="Balk2"/>
        <w:rPr>
          <w:rFonts w:asciiTheme="minorHAnsi" w:hAnsiTheme="minorHAnsi" w:cstheme="minorHAnsi"/>
          <w:szCs w:val="24"/>
        </w:rPr>
      </w:pPr>
      <w:bookmarkStart w:id="762" w:name="_Toc10123930"/>
      <w:bookmarkStart w:id="763" w:name="_Toc12526303"/>
      <w:bookmarkStart w:id="764" w:name="_Toc12535907"/>
      <w:r>
        <w:t>Figure</w:t>
      </w:r>
      <w:r w:rsidRPr="00427642">
        <w:t xml:space="preserve"> </w:t>
      </w:r>
      <w:r w:rsidRPr="00427642">
        <w:fldChar w:fldCharType="begin"/>
      </w:r>
      <w:r w:rsidRPr="00427642">
        <w:instrText xml:space="preserve"> STYLEREF 1 \s </w:instrText>
      </w:r>
      <w:r w:rsidRPr="00427642">
        <w:fldChar w:fldCharType="separate"/>
      </w:r>
      <w:r w:rsidRPr="00427642">
        <w:t>4</w:t>
      </w:r>
      <w:r w:rsidRPr="00427642">
        <w:fldChar w:fldCharType="end"/>
      </w:r>
      <w:r w:rsidRPr="00427642">
        <w:t>.</w:t>
      </w:r>
      <w:r>
        <w:t>4</w:t>
      </w:r>
      <w:r w:rsidRPr="00427642">
        <w:t xml:space="preserve">:  </w:t>
      </w:r>
      <w:r>
        <w:t>Transmission System Losses by Hour (%)</w:t>
      </w:r>
      <w:bookmarkEnd w:id="762"/>
      <w:bookmarkEnd w:id="763"/>
      <w:bookmarkEnd w:id="764"/>
    </w:p>
    <w:p w:rsidR="007B2C41" w:rsidRDefault="0033736D" w:rsidP="00315B1C">
      <w:pPr>
        <w:jc w:val="center"/>
      </w:pPr>
      <w:r>
        <w:rPr>
          <w:noProof/>
          <w:lang w:bidi="ar-SA"/>
        </w:rPr>
        <w:drawing>
          <wp:inline distT="0" distB="0" distL="0" distR="0" wp14:anchorId="3B7DE39F" wp14:editId="67920FEB">
            <wp:extent cx="5762625" cy="2400300"/>
            <wp:effectExtent l="0" t="0" r="952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62625" cy="2400300"/>
                    </a:xfrm>
                    <a:prstGeom prst="rect">
                      <a:avLst/>
                    </a:prstGeom>
                    <a:noFill/>
                    <a:ln>
                      <a:noFill/>
                    </a:ln>
                  </pic:spPr>
                </pic:pic>
              </a:graphicData>
            </a:graphic>
          </wp:inline>
        </w:drawing>
      </w:r>
    </w:p>
    <w:p w:rsidR="0033736D" w:rsidRPr="0033736D" w:rsidRDefault="0033736D" w:rsidP="00993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tr-TR" w:eastAsia="tr-TR" w:bidi="ar-SA"/>
        </w:rPr>
      </w:pPr>
      <w:r w:rsidRPr="0033736D">
        <w:rPr>
          <w:rFonts w:ascii="Times New Roman" w:eastAsia="Times New Roman" w:hAnsi="Times New Roman" w:cs="Times New Roman"/>
          <w:color w:val="212121"/>
          <w:sz w:val="24"/>
          <w:szCs w:val="24"/>
          <w:lang w:val="en" w:eastAsia="tr-TR" w:bidi="ar-SA"/>
        </w:rPr>
        <w:t>When the development of the loss of transmiss</w:t>
      </w:r>
      <w:r>
        <w:rPr>
          <w:rFonts w:ascii="Times New Roman" w:eastAsia="Times New Roman" w:hAnsi="Times New Roman" w:cs="Times New Roman"/>
          <w:color w:val="212121"/>
          <w:sz w:val="24"/>
          <w:szCs w:val="24"/>
          <w:lang w:val="en" w:eastAsia="tr-TR" w:bidi="ar-SA"/>
        </w:rPr>
        <w:t>ion system according to hours was</w:t>
      </w:r>
      <w:r w:rsidRPr="0033736D">
        <w:rPr>
          <w:rFonts w:ascii="Times New Roman" w:eastAsia="Times New Roman" w:hAnsi="Times New Roman" w:cs="Times New Roman"/>
          <w:color w:val="212121"/>
          <w:sz w:val="24"/>
          <w:szCs w:val="24"/>
          <w:lang w:val="en" w:eastAsia="tr-TR" w:bidi="ar-SA"/>
        </w:rPr>
        <w:t xml:space="preserve"> observed, the rate of loss</w:t>
      </w:r>
      <w:r>
        <w:rPr>
          <w:rFonts w:ascii="Times New Roman" w:eastAsia="Times New Roman" w:hAnsi="Times New Roman" w:cs="Times New Roman"/>
          <w:color w:val="212121"/>
          <w:sz w:val="24"/>
          <w:szCs w:val="24"/>
          <w:lang w:val="en" w:eastAsia="tr-TR" w:bidi="ar-SA"/>
        </w:rPr>
        <w:t xml:space="preserve"> was</w:t>
      </w:r>
      <w:r w:rsidRPr="0033736D">
        <w:rPr>
          <w:rFonts w:ascii="Times New Roman" w:eastAsia="Times New Roman" w:hAnsi="Times New Roman" w:cs="Times New Roman"/>
          <w:color w:val="212121"/>
          <w:sz w:val="24"/>
          <w:szCs w:val="24"/>
          <w:lang w:val="en" w:eastAsia="tr-TR" w:bidi="ar-SA"/>
        </w:rPr>
        <w:t xml:space="preserve"> inversely proportional to the amount of production.</w:t>
      </w:r>
    </w:p>
    <w:p w:rsidR="007B2C41" w:rsidRDefault="007B2C41" w:rsidP="0099399A">
      <w:pPr>
        <w:pStyle w:val="BALIKLAR"/>
        <w:spacing w:line="360" w:lineRule="auto"/>
        <w:jc w:val="both"/>
      </w:pPr>
      <w:bookmarkStart w:id="765" w:name="_Toc406663204"/>
      <w:bookmarkStart w:id="766" w:name="_Toc450300312"/>
      <w:bookmarkStart w:id="767" w:name="_Toc450309972"/>
      <w:bookmarkStart w:id="768" w:name="_Toc12528957"/>
      <w:bookmarkEnd w:id="11"/>
      <w:r>
        <w:t>5. DISTRIBUTION</w:t>
      </w:r>
      <w:bookmarkEnd w:id="768"/>
    </w:p>
    <w:p w:rsidR="007B2C41" w:rsidRPr="007B2C41" w:rsidRDefault="007B2C41" w:rsidP="0099399A">
      <w:pPr>
        <w:pStyle w:val="BALIKLAR"/>
        <w:spacing w:line="360" w:lineRule="auto"/>
        <w:jc w:val="both"/>
      </w:pPr>
      <w:bookmarkStart w:id="769" w:name="_Toc12528958"/>
      <w:r>
        <w:t>5.1 Number of Consumers</w:t>
      </w:r>
      <w:bookmarkEnd w:id="769"/>
    </w:p>
    <w:p w:rsidR="00E324E9" w:rsidRPr="0099731C" w:rsidRDefault="00E324E9" w:rsidP="0099399A">
      <w:pPr>
        <w:spacing w:line="360" w:lineRule="auto"/>
        <w:jc w:val="both"/>
        <w:rPr>
          <w:rFonts w:ascii="Times New Roman" w:hAnsi="Times New Roman" w:cs="Times New Roman"/>
          <w:sz w:val="24"/>
          <w:szCs w:val="24"/>
        </w:rPr>
      </w:pPr>
      <w:r w:rsidRPr="0099731C">
        <w:rPr>
          <w:rFonts w:ascii="Times New Roman" w:hAnsi="Times New Roman" w:cs="Times New Roman"/>
          <w:sz w:val="24"/>
          <w:szCs w:val="24"/>
        </w:rPr>
        <w:t>By 2018, the total number of consumers using the distribution system was increased by 3,00 % and reached to 43.653.337.</w:t>
      </w:r>
    </w:p>
    <w:p w:rsidR="00E324E9" w:rsidRPr="000C6D21" w:rsidRDefault="00E324E9" w:rsidP="00315B1C">
      <w:pPr>
        <w:pStyle w:val="Balk1"/>
      </w:pPr>
      <w:bookmarkStart w:id="770" w:name="_Toc494982849"/>
      <w:bookmarkStart w:id="771" w:name="_Toc514674268"/>
      <w:bookmarkStart w:id="772" w:name="_Toc520822064"/>
      <w:bookmarkStart w:id="773" w:name="_Toc10123933"/>
      <w:bookmarkStart w:id="774" w:name="_Toc10191444"/>
      <w:bookmarkStart w:id="775" w:name="_Toc12526306"/>
      <w:bookmarkEnd w:id="765"/>
      <w:bookmarkEnd w:id="766"/>
      <w:bookmarkEnd w:id="767"/>
      <w:r>
        <w:rPr>
          <w:rFonts w:eastAsiaTheme="minorEastAsia"/>
        </w:rPr>
        <w:t>T</w:t>
      </w:r>
      <w:r w:rsidRPr="000C6D21">
        <w:rPr>
          <w:rFonts w:eastAsiaTheme="minorEastAsia"/>
        </w:rPr>
        <w:t>able</w:t>
      </w:r>
      <w:r>
        <w:rPr>
          <w:rFonts w:eastAsiaTheme="minorEastAsia"/>
        </w:rPr>
        <w:t xml:space="preserve"> </w:t>
      </w:r>
      <w:r>
        <w:rPr>
          <w:rFonts w:eastAsiaTheme="minorEastAsia"/>
          <w:caps/>
        </w:rPr>
        <w:t>5.1</w:t>
      </w:r>
      <w:r w:rsidRPr="000C6D21">
        <w:rPr>
          <w:rFonts w:eastAsiaTheme="minorEastAsia"/>
          <w:caps/>
        </w:rPr>
        <w:t>:</w:t>
      </w:r>
      <w:r w:rsidRPr="000C6D21">
        <w:rPr>
          <w:caps/>
        </w:rPr>
        <w:t xml:space="preserve"> </w:t>
      </w:r>
      <w:r w:rsidRPr="000C6D21">
        <w:t xml:space="preserve"> </w:t>
      </w:r>
      <w:r w:rsidRPr="00581400">
        <w:t xml:space="preserve">Number of Consumers </w:t>
      </w:r>
      <w:r>
        <w:t>U</w:t>
      </w:r>
      <w:r w:rsidRPr="00581400">
        <w:t>sing Distributi</w:t>
      </w:r>
      <w:r>
        <w:t>on System by the end of 2018 (Number</w:t>
      </w:r>
      <w:r w:rsidRPr="00581400">
        <w:t>-%)</w:t>
      </w:r>
      <w:bookmarkEnd w:id="770"/>
      <w:bookmarkEnd w:id="771"/>
      <w:bookmarkEnd w:id="772"/>
      <w:bookmarkEnd w:id="773"/>
      <w:bookmarkEnd w:id="774"/>
      <w:bookmarkEnd w:id="775"/>
    </w:p>
    <w:tbl>
      <w:tblPr>
        <w:tblW w:w="8940" w:type="dxa"/>
        <w:tblInd w:w="55" w:type="dxa"/>
        <w:tblCellMar>
          <w:left w:w="70" w:type="dxa"/>
          <w:right w:w="70" w:type="dxa"/>
        </w:tblCellMar>
        <w:tblLook w:val="04A0" w:firstRow="1" w:lastRow="0" w:firstColumn="1" w:lastColumn="0" w:noHBand="0" w:noVBand="1"/>
      </w:tblPr>
      <w:tblGrid>
        <w:gridCol w:w="1840"/>
        <w:gridCol w:w="1707"/>
        <w:gridCol w:w="1707"/>
        <w:gridCol w:w="1707"/>
        <w:gridCol w:w="1979"/>
      </w:tblGrid>
      <w:tr w:rsidR="00E324E9" w:rsidRPr="002B1ABC" w:rsidTr="00B37ACD">
        <w:trPr>
          <w:trHeight w:val="300"/>
        </w:trPr>
        <w:tc>
          <w:tcPr>
            <w:tcW w:w="184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rsidR="00E324E9" w:rsidRPr="002B1ABC" w:rsidRDefault="00E324E9"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 xml:space="preserve">Distribution </w:t>
            </w:r>
            <w:r>
              <w:rPr>
                <w:rFonts w:ascii="Calibri" w:eastAsia="Times New Roman" w:hAnsi="Calibri" w:cs="Times New Roman"/>
                <w:b/>
                <w:bCs/>
                <w:color w:val="FFFFFF"/>
                <w:lang w:eastAsia="tr-TR" w:bidi="ar-SA"/>
              </w:rPr>
              <w:lastRenderedPageBreak/>
              <w:t>Company</w:t>
            </w:r>
          </w:p>
        </w:tc>
        <w:tc>
          <w:tcPr>
            <w:tcW w:w="5121" w:type="dxa"/>
            <w:gridSpan w:val="3"/>
            <w:tcBorders>
              <w:top w:val="single" w:sz="8" w:space="0" w:color="auto"/>
              <w:left w:val="nil"/>
              <w:bottom w:val="single" w:sz="4" w:space="0" w:color="auto"/>
              <w:right w:val="single" w:sz="8" w:space="0" w:color="000000"/>
            </w:tcBorders>
            <w:shd w:val="clear" w:color="000000" w:fill="FF0000"/>
            <w:noWrap/>
            <w:vAlign w:val="center"/>
            <w:hideMark/>
          </w:tcPr>
          <w:p w:rsidR="00E324E9" w:rsidRPr="002B1ABC" w:rsidRDefault="00E324E9" w:rsidP="00315B1C">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lastRenderedPageBreak/>
              <w:t>Number of Consumers</w:t>
            </w:r>
          </w:p>
        </w:tc>
        <w:tc>
          <w:tcPr>
            <w:tcW w:w="1979"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E324E9" w:rsidRPr="002B1ABC" w:rsidRDefault="00E324E9" w:rsidP="00315B1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2017-2018</w:t>
            </w:r>
            <w:r w:rsidRPr="002B1ABC">
              <w:rPr>
                <w:rFonts w:ascii="Calibri" w:eastAsia="Times New Roman" w:hAnsi="Calibri" w:cs="Times New Roman"/>
                <w:b/>
                <w:bCs/>
                <w:color w:val="FFFFFF"/>
                <w:lang w:eastAsia="tr-TR" w:bidi="ar-SA"/>
              </w:rPr>
              <w:br/>
            </w:r>
            <w:r>
              <w:rPr>
                <w:rFonts w:ascii="Calibri" w:eastAsia="Times New Roman" w:hAnsi="Calibri" w:cs="Times New Roman"/>
                <w:b/>
                <w:bCs/>
                <w:color w:val="FFFFFF"/>
                <w:lang w:eastAsia="tr-TR" w:bidi="ar-SA"/>
              </w:rPr>
              <w:lastRenderedPageBreak/>
              <w:t>Change</w:t>
            </w:r>
            <w:r w:rsidRPr="002B1ABC">
              <w:rPr>
                <w:rFonts w:ascii="Calibri" w:eastAsia="Times New Roman" w:hAnsi="Calibri" w:cs="Times New Roman"/>
                <w:b/>
                <w:bCs/>
                <w:color w:val="FFFFFF"/>
                <w:lang w:eastAsia="tr-TR" w:bidi="ar-SA"/>
              </w:rPr>
              <w:t xml:space="preserve"> (%)</w:t>
            </w:r>
          </w:p>
        </w:tc>
      </w:tr>
      <w:tr w:rsidR="00E324E9" w:rsidRPr="002B1ABC" w:rsidTr="00B37ACD">
        <w:trPr>
          <w:trHeight w:val="315"/>
        </w:trPr>
        <w:tc>
          <w:tcPr>
            <w:tcW w:w="1840" w:type="dxa"/>
            <w:vMerge/>
            <w:tcBorders>
              <w:top w:val="single" w:sz="8" w:space="0" w:color="auto"/>
              <w:left w:val="single" w:sz="8" w:space="0" w:color="auto"/>
              <w:bottom w:val="single" w:sz="8" w:space="0" w:color="000000"/>
              <w:right w:val="single" w:sz="8" w:space="0" w:color="auto"/>
            </w:tcBorders>
            <w:vAlign w:val="center"/>
            <w:hideMark/>
          </w:tcPr>
          <w:p w:rsidR="00E324E9" w:rsidRPr="002B1ABC" w:rsidRDefault="00E324E9" w:rsidP="0099399A">
            <w:pPr>
              <w:spacing w:after="0" w:line="240" w:lineRule="auto"/>
              <w:jc w:val="both"/>
              <w:rPr>
                <w:rFonts w:ascii="Calibri" w:eastAsia="Times New Roman" w:hAnsi="Calibri" w:cs="Times New Roman"/>
                <w:b/>
                <w:bCs/>
                <w:color w:val="FFFFFF"/>
                <w:lang w:eastAsia="tr-TR" w:bidi="ar-SA"/>
              </w:rPr>
            </w:pPr>
          </w:p>
        </w:tc>
        <w:tc>
          <w:tcPr>
            <w:tcW w:w="1707" w:type="dxa"/>
            <w:tcBorders>
              <w:top w:val="single" w:sz="4" w:space="0" w:color="auto"/>
              <w:left w:val="single" w:sz="8" w:space="0" w:color="auto"/>
              <w:bottom w:val="single" w:sz="8" w:space="0" w:color="auto"/>
              <w:right w:val="single" w:sz="4" w:space="0" w:color="auto"/>
            </w:tcBorders>
            <w:shd w:val="clear" w:color="000000" w:fill="FF0000"/>
            <w:noWrap/>
            <w:vAlign w:val="center"/>
            <w:hideMark/>
          </w:tcPr>
          <w:p w:rsidR="00E324E9" w:rsidRPr="002B1ABC" w:rsidRDefault="00E324E9" w:rsidP="00315B1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2016</w:t>
            </w:r>
          </w:p>
        </w:tc>
        <w:tc>
          <w:tcPr>
            <w:tcW w:w="1707" w:type="dxa"/>
            <w:tcBorders>
              <w:top w:val="single" w:sz="4" w:space="0" w:color="auto"/>
              <w:left w:val="nil"/>
              <w:bottom w:val="single" w:sz="8" w:space="0" w:color="auto"/>
              <w:right w:val="single" w:sz="4" w:space="0" w:color="auto"/>
            </w:tcBorders>
            <w:shd w:val="clear" w:color="000000" w:fill="FF0000"/>
            <w:noWrap/>
            <w:vAlign w:val="center"/>
            <w:hideMark/>
          </w:tcPr>
          <w:p w:rsidR="00E324E9" w:rsidRPr="002B1ABC" w:rsidRDefault="00E324E9" w:rsidP="00315B1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2017</w:t>
            </w:r>
          </w:p>
        </w:tc>
        <w:tc>
          <w:tcPr>
            <w:tcW w:w="1707" w:type="dxa"/>
            <w:tcBorders>
              <w:top w:val="nil"/>
              <w:left w:val="single" w:sz="4" w:space="0" w:color="auto"/>
              <w:bottom w:val="single" w:sz="8" w:space="0" w:color="auto"/>
              <w:right w:val="single" w:sz="8" w:space="0" w:color="auto"/>
            </w:tcBorders>
            <w:shd w:val="clear" w:color="000000" w:fill="FF0000"/>
            <w:noWrap/>
            <w:vAlign w:val="center"/>
            <w:hideMark/>
          </w:tcPr>
          <w:p w:rsidR="00E324E9" w:rsidRPr="002B1ABC" w:rsidRDefault="00E324E9" w:rsidP="00315B1C">
            <w:pPr>
              <w:spacing w:after="0" w:line="240" w:lineRule="auto"/>
              <w:jc w:val="center"/>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2018</w:t>
            </w:r>
          </w:p>
        </w:tc>
        <w:tc>
          <w:tcPr>
            <w:tcW w:w="1979" w:type="dxa"/>
            <w:vMerge/>
            <w:tcBorders>
              <w:top w:val="single" w:sz="8" w:space="0" w:color="auto"/>
              <w:left w:val="single" w:sz="8" w:space="0" w:color="auto"/>
              <w:bottom w:val="single" w:sz="8" w:space="0" w:color="000000"/>
              <w:right w:val="single" w:sz="8" w:space="0" w:color="auto"/>
            </w:tcBorders>
            <w:vAlign w:val="center"/>
            <w:hideMark/>
          </w:tcPr>
          <w:p w:rsidR="00E324E9" w:rsidRPr="002B1ABC" w:rsidRDefault="00E324E9" w:rsidP="0099399A">
            <w:pPr>
              <w:spacing w:after="0" w:line="240" w:lineRule="auto"/>
              <w:jc w:val="both"/>
              <w:rPr>
                <w:rFonts w:ascii="Calibri" w:eastAsia="Times New Roman" w:hAnsi="Calibri" w:cs="Times New Roman"/>
                <w:b/>
                <w:bCs/>
                <w:color w:val="FFFFFF"/>
                <w:lang w:eastAsia="tr-TR" w:bidi="ar-SA"/>
              </w:rPr>
            </w:pPr>
          </w:p>
        </w:tc>
      </w:tr>
      <w:tr w:rsidR="00E324E9" w:rsidRPr="002B1ABC" w:rsidTr="00B37ACD">
        <w:trPr>
          <w:trHeight w:val="45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BOĞAZİÇİ</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4.734.220</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4.910.115</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5.029.273</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2,43</w:t>
            </w:r>
          </w:p>
        </w:tc>
      </w:tr>
      <w:tr w:rsidR="00E324E9" w:rsidRPr="002B1ABC" w:rsidTr="00B37ACD">
        <w:trPr>
          <w:trHeight w:val="55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BAŞKENT</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4.099.788</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4.218.812</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4.199.135</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-0,47</w:t>
            </w:r>
          </w:p>
        </w:tc>
      </w:tr>
      <w:tr w:rsidR="00E324E9" w:rsidRPr="002B1ABC" w:rsidTr="00B37ACD">
        <w:trPr>
          <w:trHeight w:val="402"/>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TOROSLAR</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3.669.912</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3.805.358</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3.877.734</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1,90</w:t>
            </w:r>
          </w:p>
        </w:tc>
      </w:tr>
      <w:tr w:rsidR="00E324E9" w:rsidRPr="002B1ABC" w:rsidTr="00B37ACD">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GDZ</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3.061.100</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3.165.847</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3.312.515</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4,63</w:t>
            </w:r>
          </w:p>
        </w:tc>
      </w:tr>
      <w:tr w:rsidR="00E324E9" w:rsidRPr="002B1ABC" w:rsidTr="00B37ACD">
        <w:trPr>
          <w:trHeight w:val="35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ULUDAĞ</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2.983.810</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3.092.199</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3.189.831</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3,16</w:t>
            </w:r>
          </w:p>
        </w:tc>
      </w:tr>
      <w:tr w:rsidR="00E324E9" w:rsidRPr="002B1ABC" w:rsidTr="00B37ACD">
        <w:trPr>
          <w:trHeight w:val="404"/>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C15D06">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İ.</w:t>
            </w:r>
            <w:r w:rsidR="00C15D06">
              <w:rPr>
                <w:rFonts w:ascii="Calibri" w:eastAsia="Times New Roman" w:hAnsi="Calibri" w:cs="Times New Roman"/>
                <w:color w:val="FFFFFF"/>
                <w:lang w:eastAsia="tr-TR" w:bidi="ar-SA"/>
              </w:rPr>
              <w:t>ANATOLİAN</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2.751.857</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2.834.800</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2.854.123</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0,68</w:t>
            </w:r>
          </w:p>
        </w:tc>
      </w:tr>
      <w:tr w:rsidR="00E324E9" w:rsidRPr="002B1ABC" w:rsidTr="00B37ACD">
        <w:trPr>
          <w:trHeight w:val="41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AKDENİZ</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2.000.386</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2.076.167</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2.163.700</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4,22</w:t>
            </w:r>
          </w:p>
        </w:tc>
      </w:tr>
      <w:tr w:rsidR="00E324E9" w:rsidRPr="002B1ABC" w:rsidTr="00B37ACD">
        <w:trPr>
          <w:trHeight w:val="53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MERAM</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1.964.293</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2.027.866</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2.094.254</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3,27</w:t>
            </w:r>
          </w:p>
        </w:tc>
      </w:tr>
      <w:tr w:rsidR="00E324E9" w:rsidRPr="002B1ABC" w:rsidTr="00B37ACD">
        <w:trPr>
          <w:trHeight w:val="417"/>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YEŞİLIRMAK</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1.938.042</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1.998.388</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2.073.523</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3,76</w:t>
            </w:r>
          </w:p>
        </w:tc>
      </w:tr>
      <w:tr w:rsidR="00E324E9" w:rsidRPr="002B1ABC" w:rsidTr="00B37ACD">
        <w:trPr>
          <w:trHeight w:val="409"/>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ADM</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1.787.566</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1.834.517</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1.902.358</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3,70</w:t>
            </w:r>
          </w:p>
        </w:tc>
      </w:tr>
      <w:tr w:rsidR="00E324E9" w:rsidRPr="002B1ABC" w:rsidTr="00B37ACD">
        <w:trPr>
          <w:trHeight w:val="38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DİCLE</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1.650.043</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1.757.417</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1.838.929</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4,64</w:t>
            </w:r>
          </w:p>
        </w:tc>
      </w:tr>
      <w:tr w:rsidR="00E324E9" w:rsidRPr="002B1ABC" w:rsidTr="00B37ACD">
        <w:trPr>
          <w:trHeight w:val="40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SAKARYA</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1.654.546</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1.742.528</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1.831.677</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5,12</w:t>
            </w:r>
          </w:p>
        </w:tc>
      </w:tr>
      <w:tr w:rsidR="00E324E9" w:rsidRPr="002B1ABC" w:rsidTr="00B37ACD">
        <w:trPr>
          <w:trHeight w:val="413"/>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OSMANGAZİ</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1.661.395</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1.720.217</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1.786.452</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3,85</w:t>
            </w:r>
          </w:p>
        </w:tc>
      </w:tr>
      <w:tr w:rsidR="00E324E9" w:rsidRPr="002B1ABC" w:rsidTr="00B37ACD">
        <w:trPr>
          <w:trHeight w:val="40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ÇORUH</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1.269.278</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1.303.909</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1.359.781</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4,28</w:t>
            </w:r>
          </w:p>
        </w:tc>
      </w:tr>
      <w:tr w:rsidR="00E324E9" w:rsidRPr="002B1ABC" w:rsidTr="00B37ACD">
        <w:trPr>
          <w:trHeight w:val="39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TRAKYA</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991.026</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1.042.995</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1.089.247</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4,43</w:t>
            </w:r>
          </w:p>
        </w:tc>
      </w:tr>
      <w:tr w:rsidR="00E324E9" w:rsidRPr="002B1ABC" w:rsidTr="00B37ACD">
        <w:trPr>
          <w:trHeight w:val="404"/>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ARAS</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935.816</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963.072</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1.002.743</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4,12</w:t>
            </w:r>
          </w:p>
        </w:tc>
      </w:tr>
      <w:tr w:rsidR="00E324E9" w:rsidRPr="002B1ABC" w:rsidTr="00B37ACD">
        <w:trPr>
          <w:trHeight w:val="409"/>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ÇAMLIBEL</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917.913</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946.381</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974.544</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2,98</w:t>
            </w:r>
          </w:p>
        </w:tc>
      </w:tr>
      <w:tr w:rsidR="00E324E9" w:rsidRPr="002B1ABC" w:rsidTr="00B37ACD">
        <w:trPr>
          <w:trHeight w:val="4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FIRAT</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888.483</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917.488</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957.081</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4,32</w:t>
            </w:r>
          </w:p>
        </w:tc>
      </w:tr>
      <w:tr w:rsidR="00E324E9" w:rsidRPr="002B1ABC" w:rsidTr="00B37ACD">
        <w:trPr>
          <w:trHeight w:val="400"/>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 xml:space="preserve">KAYSERİ </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673.432</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695.210</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718.723</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3,38</w:t>
            </w:r>
          </w:p>
        </w:tc>
      </w:tr>
      <w:tr w:rsidR="00E324E9" w:rsidRPr="002B1ABC" w:rsidTr="00B37ACD">
        <w:trPr>
          <w:trHeight w:val="406"/>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AKEDAŞ</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635.620</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678.775</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713.348</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5,09</w:t>
            </w:r>
          </w:p>
        </w:tc>
      </w:tr>
      <w:tr w:rsidR="00E324E9" w:rsidRPr="002B1ABC" w:rsidTr="00B37ACD">
        <w:trPr>
          <w:trHeight w:val="398"/>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sidRPr="002B1ABC">
              <w:rPr>
                <w:rFonts w:ascii="Calibri" w:eastAsia="Times New Roman" w:hAnsi="Calibri" w:cs="Times New Roman"/>
                <w:color w:val="FFFFFF"/>
                <w:lang w:eastAsia="tr-TR" w:bidi="ar-SA"/>
              </w:rPr>
              <w:t>VANGÖLÜ</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623.483</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650.555</w:t>
            </w:r>
          </w:p>
        </w:tc>
        <w:tc>
          <w:tcPr>
            <w:tcW w:w="1707"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684.366</w:t>
            </w:r>
          </w:p>
        </w:tc>
        <w:tc>
          <w:tcPr>
            <w:tcW w:w="1979" w:type="dxa"/>
            <w:tcBorders>
              <w:top w:val="nil"/>
              <w:left w:val="nil"/>
              <w:bottom w:val="single" w:sz="8" w:space="0" w:color="auto"/>
              <w:right w:val="single" w:sz="8" w:space="0" w:color="auto"/>
            </w:tcBorders>
            <w:shd w:val="clear" w:color="auto" w:fill="auto"/>
            <w:noWrap/>
            <w:vAlign w:val="center"/>
            <w:hideMark/>
          </w:tcPr>
          <w:p w:rsidR="00E324E9" w:rsidRPr="002B1ABC" w:rsidRDefault="00E324E9" w:rsidP="0099399A">
            <w:pPr>
              <w:spacing w:after="0" w:line="240" w:lineRule="auto"/>
              <w:jc w:val="both"/>
              <w:rPr>
                <w:rFonts w:ascii="Calibri" w:eastAsia="Times New Roman" w:hAnsi="Calibri" w:cs="Times New Roman"/>
                <w:color w:val="000000"/>
                <w:lang w:eastAsia="tr-TR" w:bidi="ar-SA"/>
              </w:rPr>
            </w:pPr>
            <w:r w:rsidRPr="002B1ABC">
              <w:rPr>
                <w:rFonts w:ascii="Calibri" w:eastAsia="Times New Roman" w:hAnsi="Calibri" w:cs="Times New Roman"/>
                <w:color w:val="000000"/>
                <w:lang w:eastAsia="tr-TR" w:bidi="ar-SA"/>
              </w:rPr>
              <w:t>5,20</w:t>
            </w:r>
          </w:p>
        </w:tc>
      </w:tr>
      <w:tr w:rsidR="00E324E9" w:rsidRPr="002B1ABC" w:rsidTr="00B37ACD">
        <w:trPr>
          <w:trHeight w:val="315"/>
        </w:trPr>
        <w:tc>
          <w:tcPr>
            <w:tcW w:w="1840" w:type="dxa"/>
            <w:tcBorders>
              <w:top w:val="nil"/>
              <w:left w:val="single" w:sz="8" w:space="0" w:color="auto"/>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TOTAL</w:t>
            </w:r>
          </w:p>
        </w:tc>
        <w:tc>
          <w:tcPr>
            <w:tcW w:w="1707" w:type="dxa"/>
            <w:tcBorders>
              <w:top w:val="nil"/>
              <w:left w:val="nil"/>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40.892.009</w:t>
            </w:r>
          </w:p>
        </w:tc>
        <w:tc>
          <w:tcPr>
            <w:tcW w:w="1707" w:type="dxa"/>
            <w:tcBorders>
              <w:top w:val="nil"/>
              <w:left w:val="nil"/>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42.382.616</w:t>
            </w:r>
          </w:p>
        </w:tc>
        <w:tc>
          <w:tcPr>
            <w:tcW w:w="1707" w:type="dxa"/>
            <w:tcBorders>
              <w:top w:val="nil"/>
              <w:left w:val="nil"/>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43.653.337</w:t>
            </w:r>
          </w:p>
        </w:tc>
        <w:tc>
          <w:tcPr>
            <w:tcW w:w="1979" w:type="dxa"/>
            <w:tcBorders>
              <w:top w:val="nil"/>
              <w:left w:val="nil"/>
              <w:bottom w:val="single" w:sz="8" w:space="0" w:color="auto"/>
              <w:right w:val="single" w:sz="8" w:space="0" w:color="auto"/>
            </w:tcBorders>
            <w:shd w:val="clear" w:color="000000" w:fill="FF5050"/>
            <w:noWrap/>
            <w:vAlign w:val="center"/>
            <w:hideMark/>
          </w:tcPr>
          <w:p w:rsidR="00E324E9" w:rsidRPr="002B1ABC" w:rsidRDefault="00E324E9" w:rsidP="0099399A">
            <w:pPr>
              <w:spacing w:after="0" w:line="240" w:lineRule="auto"/>
              <w:jc w:val="both"/>
              <w:rPr>
                <w:rFonts w:ascii="Calibri" w:eastAsia="Times New Roman" w:hAnsi="Calibri" w:cs="Times New Roman"/>
                <w:b/>
                <w:bCs/>
                <w:color w:val="FFFFFF"/>
                <w:lang w:eastAsia="tr-TR" w:bidi="ar-SA"/>
              </w:rPr>
            </w:pPr>
            <w:r w:rsidRPr="002B1ABC">
              <w:rPr>
                <w:rFonts w:ascii="Calibri" w:eastAsia="Times New Roman" w:hAnsi="Calibri" w:cs="Times New Roman"/>
                <w:b/>
                <w:bCs/>
                <w:color w:val="FFFFFF"/>
                <w:lang w:eastAsia="tr-TR" w:bidi="ar-SA"/>
              </w:rPr>
              <w:t>3,00</w:t>
            </w:r>
          </w:p>
        </w:tc>
      </w:tr>
    </w:tbl>
    <w:p w:rsidR="00E06504" w:rsidRDefault="00E06504" w:rsidP="0099399A">
      <w:pPr>
        <w:jc w:val="both"/>
      </w:pPr>
    </w:p>
    <w:p w:rsidR="00E324E9" w:rsidRPr="0099731C" w:rsidRDefault="00E324E9" w:rsidP="0099399A">
      <w:pPr>
        <w:spacing w:line="360" w:lineRule="auto"/>
        <w:jc w:val="both"/>
        <w:rPr>
          <w:rFonts w:ascii="Times New Roman" w:hAnsi="Times New Roman" w:cs="Times New Roman"/>
          <w:sz w:val="24"/>
          <w:szCs w:val="24"/>
        </w:rPr>
      </w:pPr>
      <w:r w:rsidRPr="0099731C">
        <w:rPr>
          <w:rFonts w:ascii="Times New Roman" w:hAnsi="Times New Roman" w:cs="Times New Roman"/>
          <w:sz w:val="24"/>
          <w:szCs w:val="24"/>
        </w:rPr>
        <w:t>It is seen from Table 5.1 that the distribution regions with the highest number of consumers were Boğaziçi with 5.03 million, Başkent with 4.2 million and Toroslar with 3.88 million.</w:t>
      </w:r>
    </w:p>
    <w:p w:rsidR="00E324E9" w:rsidRPr="0099731C" w:rsidRDefault="00E324E9" w:rsidP="0099399A">
      <w:pPr>
        <w:spacing w:line="360" w:lineRule="auto"/>
        <w:jc w:val="both"/>
        <w:rPr>
          <w:rFonts w:ascii="Times New Roman" w:hAnsi="Times New Roman" w:cs="Times New Roman"/>
          <w:sz w:val="24"/>
          <w:szCs w:val="24"/>
        </w:rPr>
      </w:pPr>
      <w:r w:rsidRPr="0099731C">
        <w:rPr>
          <w:rFonts w:ascii="Times New Roman" w:hAnsi="Times New Roman" w:cs="Times New Roman"/>
          <w:sz w:val="24"/>
          <w:szCs w:val="24"/>
        </w:rPr>
        <w:t>In the following figure, the number of consumers connected to distribution network and the total consumption of these consumers by 2018 are shown.</w:t>
      </w:r>
    </w:p>
    <w:p w:rsidR="001A30A9" w:rsidRDefault="001A30A9" w:rsidP="0099399A">
      <w:pPr>
        <w:pStyle w:val="Balk2"/>
        <w:jc w:val="both"/>
      </w:pPr>
      <w:bookmarkStart w:id="776" w:name="_Toc520822141"/>
    </w:p>
    <w:p w:rsidR="00E324E9" w:rsidRDefault="00E324E9" w:rsidP="00315B1C">
      <w:pPr>
        <w:pStyle w:val="Balk2"/>
        <w:rPr>
          <w:rFonts w:eastAsia="Times New Roman"/>
          <w:color w:val="000000"/>
          <w:lang w:eastAsia="tr-TR" w:bidi="ar-SA"/>
        </w:rPr>
      </w:pPr>
      <w:bookmarkStart w:id="777" w:name="_Toc10123934"/>
      <w:bookmarkStart w:id="778" w:name="_Toc12526307"/>
      <w:bookmarkStart w:id="779" w:name="_Toc12535908"/>
      <w:r>
        <w:t>Figure 5.1: Number and Consumption of Consumers</w:t>
      </w:r>
      <w:r>
        <w:rPr>
          <w:rFonts w:eastAsia="Times New Roman"/>
          <w:color w:val="000000"/>
          <w:lang w:eastAsia="tr-TR" w:bidi="ar-SA"/>
        </w:rPr>
        <w:t xml:space="preserve"> (Number- MWh)</w:t>
      </w:r>
      <w:bookmarkEnd w:id="776"/>
      <w:bookmarkEnd w:id="777"/>
      <w:bookmarkEnd w:id="778"/>
      <w:bookmarkEnd w:id="779"/>
    </w:p>
    <w:p w:rsidR="00E324E9" w:rsidRPr="00E324E9" w:rsidRDefault="00E324E9" w:rsidP="00315B1C">
      <w:pPr>
        <w:jc w:val="center"/>
        <w:rPr>
          <w:lang w:eastAsia="tr-TR" w:bidi="ar-SA"/>
        </w:rPr>
      </w:pPr>
      <w:r>
        <w:rPr>
          <w:noProof/>
          <w:lang w:bidi="ar-SA"/>
        </w:rPr>
        <w:drawing>
          <wp:inline distT="0" distB="0" distL="0" distR="0" wp14:anchorId="699FB89F" wp14:editId="2F7A9B08">
            <wp:extent cx="5762625" cy="387667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62625" cy="3876675"/>
                    </a:xfrm>
                    <a:prstGeom prst="rect">
                      <a:avLst/>
                    </a:prstGeom>
                    <a:noFill/>
                    <a:ln>
                      <a:noFill/>
                    </a:ln>
                  </pic:spPr>
                </pic:pic>
              </a:graphicData>
            </a:graphic>
          </wp:inline>
        </w:drawing>
      </w:r>
    </w:p>
    <w:p w:rsidR="00E324E9" w:rsidRPr="001C77FE" w:rsidRDefault="00E324E9" w:rsidP="0099399A">
      <w:pPr>
        <w:spacing w:line="360" w:lineRule="auto"/>
        <w:ind w:firstLine="708"/>
        <w:jc w:val="both"/>
        <w:rPr>
          <w:rFonts w:asciiTheme="minorHAnsi" w:hAnsiTheme="minorHAnsi" w:cstheme="minorHAnsi"/>
          <w:sz w:val="24"/>
          <w:szCs w:val="24"/>
        </w:rPr>
      </w:pPr>
    </w:p>
    <w:p w:rsidR="001A30A9" w:rsidRDefault="001A30A9" w:rsidP="0099399A">
      <w:pPr>
        <w:pStyle w:val="BALIKLAR"/>
        <w:spacing w:line="360" w:lineRule="auto"/>
        <w:jc w:val="both"/>
      </w:pPr>
      <w:bookmarkStart w:id="780" w:name="_Toc520822030"/>
    </w:p>
    <w:p w:rsidR="00E324E9" w:rsidRPr="00540E25" w:rsidRDefault="00E324E9" w:rsidP="0099399A">
      <w:pPr>
        <w:pStyle w:val="BALIKLAR"/>
        <w:spacing w:line="360" w:lineRule="auto"/>
        <w:jc w:val="both"/>
      </w:pPr>
      <w:bookmarkStart w:id="781" w:name="_Toc12528959"/>
      <w:r>
        <w:t>5.2 Ratio of Losses</w:t>
      </w:r>
      <w:bookmarkEnd w:id="780"/>
      <w:bookmarkEnd w:id="781"/>
    </w:p>
    <w:p w:rsidR="00E324E9" w:rsidRPr="006238F8" w:rsidRDefault="00E324E9" w:rsidP="0099399A">
      <w:pPr>
        <w:spacing w:line="360" w:lineRule="auto"/>
        <w:jc w:val="both"/>
        <w:rPr>
          <w:rFonts w:ascii="Times New Roman" w:hAnsi="Times New Roman" w:cs="Times New Roman"/>
          <w:sz w:val="24"/>
          <w:szCs w:val="24"/>
        </w:rPr>
      </w:pPr>
      <w:r w:rsidRPr="006238F8">
        <w:rPr>
          <w:rFonts w:ascii="Times New Roman" w:hAnsi="Times New Roman" w:cs="Times New Roman"/>
          <w:sz w:val="24"/>
          <w:szCs w:val="24"/>
        </w:rPr>
        <w:t xml:space="preserve">In following Table 5.2, targeted and realized loss rates of distribution companies are shown. </w:t>
      </w:r>
    </w:p>
    <w:p w:rsidR="00E324E9" w:rsidRDefault="00E324E9" w:rsidP="0099399A">
      <w:pPr>
        <w:pStyle w:val="Balk1"/>
        <w:jc w:val="both"/>
        <w:rPr>
          <w:rFonts w:eastAsiaTheme="minorEastAsia"/>
        </w:rPr>
      </w:pPr>
      <w:bookmarkStart w:id="782" w:name="_Toc494982850"/>
      <w:bookmarkStart w:id="783" w:name="_Toc514674269"/>
      <w:bookmarkStart w:id="784" w:name="_Toc520822065"/>
    </w:p>
    <w:bookmarkEnd w:id="782"/>
    <w:bookmarkEnd w:id="783"/>
    <w:bookmarkEnd w:id="784"/>
    <w:p w:rsidR="00E324E9" w:rsidRDefault="00E324E9" w:rsidP="0099399A">
      <w:pPr>
        <w:jc w:val="both"/>
      </w:pPr>
    </w:p>
    <w:p w:rsidR="00E324E9" w:rsidRDefault="00E324E9" w:rsidP="0099399A">
      <w:pPr>
        <w:jc w:val="both"/>
      </w:pPr>
    </w:p>
    <w:p w:rsidR="00C15D06" w:rsidRDefault="00C15D06" w:rsidP="00315B1C">
      <w:pPr>
        <w:pStyle w:val="Balk1"/>
      </w:pPr>
    </w:p>
    <w:tbl>
      <w:tblPr>
        <w:tblpPr w:leftFromText="141" w:rightFromText="141" w:vertAnchor="page" w:horzAnchor="margin" w:tblpXSpec="center" w:tblpY="2071"/>
        <w:tblW w:w="9284" w:type="dxa"/>
        <w:tblCellMar>
          <w:left w:w="70" w:type="dxa"/>
          <w:right w:w="70" w:type="dxa"/>
        </w:tblCellMar>
        <w:tblLook w:val="04A0" w:firstRow="1" w:lastRow="0" w:firstColumn="1" w:lastColumn="0" w:noHBand="0" w:noVBand="1"/>
      </w:tblPr>
      <w:tblGrid>
        <w:gridCol w:w="1994"/>
        <w:gridCol w:w="990"/>
        <w:gridCol w:w="849"/>
        <w:gridCol w:w="1414"/>
        <w:gridCol w:w="1839"/>
        <w:gridCol w:w="2198"/>
      </w:tblGrid>
      <w:tr w:rsidR="00C15D06" w:rsidRPr="00301F7B" w:rsidTr="00CB5104">
        <w:trPr>
          <w:trHeight w:val="846"/>
        </w:trPr>
        <w:tc>
          <w:tcPr>
            <w:tcW w:w="1994" w:type="dxa"/>
            <w:vMerge w:val="restart"/>
            <w:tcBorders>
              <w:top w:val="single" w:sz="8" w:space="0" w:color="auto"/>
              <w:left w:val="single" w:sz="8" w:space="0" w:color="auto"/>
              <w:bottom w:val="nil"/>
              <w:right w:val="single" w:sz="8" w:space="0" w:color="auto"/>
            </w:tcBorders>
            <w:shd w:val="clear" w:color="000000" w:fill="FF0000"/>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Distribution Company</w:t>
            </w:r>
          </w:p>
        </w:tc>
        <w:tc>
          <w:tcPr>
            <w:tcW w:w="3253" w:type="dxa"/>
            <w:gridSpan w:val="3"/>
            <w:tcBorders>
              <w:top w:val="single" w:sz="8" w:space="0" w:color="auto"/>
              <w:left w:val="nil"/>
              <w:bottom w:val="nil"/>
              <w:right w:val="single" w:sz="8" w:space="0" w:color="000000"/>
            </w:tcBorders>
            <w:shd w:val="clear" w:color="000000" w:fill="FF0000"/>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REALIZED LOSS RATES</w:t>
            </w:r>
          </w:p>
        </w:tc>
        <w:tc>
          <w:tcPr>
            <w:tcW w:w="1839" w:type="dxa"/>
            <w:tcBorders>
              <w:top w:val="single" w:sz="8" w:space="0" w:color="auto"/>
              <w:left w:val="nil"/>
              <w:bottom w:val="nil"/>
              <w:right w:val="single" w:sz="8" w:space="0" w:color="auto"/>
            </w:tcBorders>
            <w:shd w:val="clear" w:color="000000" w:fill="FF0000"/>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TARGETED LOSS RATES</w:t>
            </w:r>
          </w:p>
        </w:tc>
        <w:tc>
          <w:tcPr>
            <w:tcW w:w="2198" w:type="dxa"/>
            <w:tcBorders>
              <w:top w:val="single" w:sz="8" w:space="0" w:color="auto"/>
              <w:left w:val="nil"/>
              <w:bottom w:val="nil"/>
              <w:right w:val="single" w:sz="8" w:space="0" w:color="auto"/>
            </w:tcBorders>
            <w:shd w:val="clear" w:color="000000" w:fill="FF0000"/>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DIFFERENCE OF REALIZED&amp;TARGETED LOSS RATES</w:t>
            </w:r>
          </w:p>
        </w:tc>
      </w:tr>
      <w:tr w:rsidR="00C15D06" w:rsidRPr="00301F7B" w:rsidTr="00CB5104">
        <w:trPr>
          <w:trHeight w:val="600"/>
        </w:trPr>
        <w:tc>
          <w:tcPr>
            <w:tcW w:w="1994" w:type="dxa"/>
            <w:vMerge/>
            <w:tcBorders>
              <w:top w:val="single" w:sz="8" w:space="0" w:color="auto"/>
              <w:left w:val="single" w:sz="8" w:space="0" w:color="auto"/>
              <w:bottom w:val="nil"/>
              <w:right w:val="single" w:sz="8" w:space="0" w:color="auto"/>
            </w:tcBorders>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p>
        </w:tc>
        <w:tc>
          <w:tcPr>
            <w:tcW w:w="990" w:type="dxa"/>
            <w:tcBorders>
              <w:top w:val="single" w:sz="8" w:space="0" w:color="auto"/>
              <w:left w:val="nil"/>
              <w:bottom w:val="nil"/>
              <w:right w:val="single" w:sz="8" w:space="0" w:color="auto"/>
            </w:tcBorders>
            <w:shd w:val="clear" w:color="000000" w:fill="FF0000"/>
            <w:noWrap/>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2017</w:t>
            </w:r>
          </w:p>
        </w:tc>
        <w:tc>
          <w:tcPr>
            <w:tcW w:w="849" w:type="dxa"/>
            <w:tcBorders>
              <w:top w:val="single" w:sz="8" w:space="0" w:color="auto"/>
              <w:left w:val="nil"/>
              <w:bottom w:val="nil"/>
              <w:right w:val="single" w:sz="8" w:space="0" w:color="auto"/>
            </w:tcBorders>
            <w:shd w:val="clear" w:color="000000" w:fill="FF0000"/>
            <w:noWrap/>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2018</w:t>
            </w:r>
          </w:p>
        </w:tc>
        <w:tc>
          <w:tcPr>
            <w:tcW w:w="1414" w:type="dxa"/>
            <w:tcBorders>
              <w:top w:val="single" w:sz="8" w:space="0" w:color="auto"/>
              <w:left w:val="nil"/>
              <w:bottom w:val="nil"/>
              <w:right w:val="single" w:sz="8" w:space="0" w:color="auto"/>
            </w:tcBorders>
            <w:shd w:val="clear" w:color="000000" w:fill="FF0000"/>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 xml:space="preserve">2017-2018 </w:t>
            </w:r>
            <w:r w:rsidRPr="00301F7B">
              <w:rPr>
                <w:rFonts w:ascii="Calibri" w:eastAsia="Times New Roman" w:hAnsi="Calibri" w:cs="Times New Roman"/>
                <w:b/>
                <w:bCs/>
                <w:color w:val="FFFFFF"/>
                <w:lang w:eastAsia="tr-TR" w:bidi="ar-SA"/>
              </w:rPr>
              <w:br/>
            </w:r>
            <w:r>
              <w:rPr>
                <w:rFonts w:ascii="Calibri" w:eastAsia="Times New Roman" w:hAnsi="Calibri" w:cs="Times New Roman"/>
                <w:b/>
                <w:bCs/>
                <w:color w:val="FFFFFF"/>
                <w:lang w:eastAsia="tr-TR" w:bidi="ar-SA"/>
              </w:rPr>
              <w:t>Change</w:t>
            </w:r>
          </w:p>
        </w:tc>
        <w:tc>
          <w:tcPr>
            <w:tcW w:w="1839" w:type="dxa"/>
            <w:tcBorders>
              <w:top w:val="single" w:sz="8" w:space="0" w:color="auto"/>
              <w:left w:val="nil"/>
              <w:bottom w:val="nil"/>
              <w:right w:val="single" w:sz="8" w:space="0" w:color="auto"/>
            </w:tcBorders>
            <w:shd w:val="clear" w:color="000000" w:fill="FF0000"/>
            <w:noWrap/>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2018</w:t>
            </w:r>
          </w:p>
        </w:tc>
        <w:tc>
          <w:tcPr>
            <w:tcW w:w="2198" w:type="dxa"/>
            <w:tcBorders>
              <w:top w:val="single" w:sz="8" w:space="0" w:color="auto"/>
              <w:left w:val="nil"/>
              <w:bottom w:val="nil"/>
              <w:right w:val="single" w:sz="8" w:space="0" w:color="auto"/>
            </w:tcBorders>
            <w:shd w:val="clear" w:color="000000" w:fill="FF0000"/>
            <w:noWrap/>
            <w:vAlign w:val="center"/>
            <w:hideMark/>
          </w:tcPr>
          <w:p w:rsidR="00C15D06" w:rsidRPr="00301F7B" w:rsidRDefault="00C15D06" w:rsidP="00CB5104">
            <w:pPr>
              <w:spacing w:after="0" w:line="240" w:lineRule="auto"/>
              <w:jc w:val="center"/>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2018</w:t>
            </w:r>
          </w:p>
        </w:tc>
      </w:tr>
      <w:tr w:rsidR="00C15D06" w:rsidRPr="00301F7B" w:rsidTr="00CB5104">
        <w:trPr>
          <w:trHeight w:val="517"/>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DİCLE</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64,82</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54,94</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9,88</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69,2</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14,26</w:t>
            </w:r>
          </w:p>
        </w:tc>
      </w:tr>
      <w:tr w:rsidR="00C15D06" w:rsidRPr="00301F7B" w:rsidTr="00CB5104">
        <w:trPr>
          <w:trHeight w:val="460"/>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VANGÖLÜ</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53,3</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49,16</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4,14</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57,27</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8,11</w:t>
            </w:r>
          </w:p>
        </w:tc>
      </w:tr>
      <w:tr w:rsidR="00C15D06" w:rsidRPr="00301F7B" w:rsidTr="00CB5104">
        <w:trPr>
          <w:trHeight w:val="536"/>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ARAS</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24,55</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23,55</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25,65</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2,10</w:t>
            </w:r>
          </w:p>
        </w:tc>
      </w:tr>
      <w:tr w:rsidR="00C15D06" w:rsidRPr="00301F7B" w:rsidTr="00CB5104">
        <w:trPr>
          <w:trHeight w:val="498"/>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TOROSLAR</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11,35</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11,85</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-0,5</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12,34</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0,49</w:t>
            </w:r>
          </w:p>
        </w:tc>
      </w:tr>
      <w:tr w:rsidR="00C15D06" w:rsidRPr="00301F7B" w:rsidTr="00CB5104">
        <w:trPr>
          <w:trHeight w:val="446"/>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FIRAT</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10,95</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10,32</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0,63</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10,47</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0,15</w:t>
            </w:r>
          </w:p>
        </w:tc>
      </w:tr>
      <w:tr w:rsidR="00C15D06" w:rsidRPr="00301F7B" w:rsidTr="00CB5104">
        <w:trPr>
          <w:trHeight w:val="379"/>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ÇORUH</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8,11</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7,85</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0,26</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9,02</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1,17</w:t>
            </w:r>
          </w:p>
        </w:tc>
      </w:tr>
      <w:tr w:rsidR="00C15D06" w:rsidRPr="00301F7B" w:rsidTr="00CB5104">
        <w:trPr>
          <w:trHeight w:val="484"/>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YEŞİLIRMAK</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7,43</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7,63</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-0,2</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8,06</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0,43</w:t>
            </w:r>
          </w:p>
        </w:tc>
      </w:tr>
      <w:tr w:rsidR="00C15D06" w:rsidRPr="00301F7B" w:rsidTr="00CB5104">
        <w:trPr>
          <w:trHeight w:val="431"/>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GDZ</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7,25</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6,63</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0,62</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7,84</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1,21</w:t>
            </w:r>
          </w:p>
        </w:tc>
      </w:tr>
      <w:tr w:rsidR="00C15D06" w:rsidRPr="00301F7B" w:rsidTr="00CB5104">
        <w:trPr>
          <w:trHeight w:val="380"/>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OSMANGAZİ</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6,97</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6,41</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0,56</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7,55</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1,14</w:t>
            </w:r>
          </w:p>
        </w:tc>
      </w:tr>
      <w:tr w:rsidR="00C15D06" w:rsidRPr="00301F7B" w:rsidTr="00CB5104">
        <w:trPr>
          <w:trHeight w:val="470"/>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BOĞAZİÇİ</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6,74</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6,04</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0,7</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7,98</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1,94</w:t>
            </w:r>
          </w:p>
        </w:tc>
      </w:tr>
      <w:tr w:rsidR="00C15D06" w:rsidRPr="00301F7B" w:rsidTr="00CB5104">
        <w:trPr>
          <w:trHeight w:val="417"/>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AKDENİZ</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6,67</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5,78</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0,89</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7,63</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1,85</w:t>
            </w:r>
          </w:p>
        </w:tc>
      </w:tr>
      <w:tr w:rsidR="00C15D06" w:rsidRPr="00301F7B" w:rsidTr="00CB5104">
        <w:trPr>
          <w:trHeight w:val="508"/>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ÇAMLIBEL</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6,59</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5,08</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1,51</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7,55</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2,47</w:t>
            </w:r>
          </w:p>
        </w:tc>
      </w:tr>
      <w:tr w:rsidR="00C15D06" w:rsidRPr="00301F7B" w:rsidTr="00CB5104">
        <w:trPr>
          <w:trHeight w:val="455"/>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SAKARYA</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6,41</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6,52</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-0,11</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7,34</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0,82</w:t>
            </w:r>
          </w:p>
        </w:tc>
      </w:tr>
      <w:tr w:rsidR="00C15D06" w:rsidRPr="00301F7B" w:rsidTr="00CB5104">
        <w:trPr>
          <w:trHeight w:val="404"/>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İST.</w:t>
            </w:r>
            <w:r>
              <w:rPr>
                <w:rFonts w:ascii="Calibri" w:eastAsia="Times New Roman" w:hAnsi="Calibri" w:cs="Times New Roman"/>
                <w:b/>
                <w:bCs/>
                <w:color w:val="FFFFFF"/>
                <w:lang w:eastAsia="tr-TR" w:bidi="ar-SA"/>
              </w:rPr>
              <w:t>ANT. SİDE</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6,1</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6,04</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0,06</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7,5</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1,46</w:t>
            </w:r>
          </w:p>
        </w:tc>
      </w:tr>
      <w:tr w:rsidR="00C15D06" w:rsidRPr="00301F7B" w:rsidTr="00CB5104">
        <w:trPr>
          <w:trHeight w:val="494"/>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BAŞKENT</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6,05</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6,11</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-0,06</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7,64</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1,53</w:t>
            </w:r>
          </w:p>
        </w:tc>
      </w:tr>
      <w:tr w:rsidR="00C15D06" w:rsidRPr="00301F7B" w:rsidTr="00CB5104">
        <w:trPr>
          <w:trHeight w:val="442"/>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KAYSERİ</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6,03</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6,57</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-0,54</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0,43</w:t>
            </w:r>
          </w:p>
        </w:tc>
      </w:tr>
      <w:tr w:rsidR="00C15D06" w:rsidRPr="00301F7B" w:rsidTr="00CB5104">
        <w:trPr>
          <w:trHeight w:val="532"/>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MERAM</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5,77</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6,69</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-0,92</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7,66</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0,97</w:t>
            </w:r>
          </w:p>
        </w:tc>
      </w:tr>
      <w:tr w:rsidR="00C15D06" w:rsidRPr="00301F7B" w:rsidTr="00CB5104">
        <w:trPr>
          <w:trHeight w:val="479"/>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AKEDAŞ</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5,48</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7,28</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-1,8</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7,2</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-0,08</w:t>
            </w:r>
          </w:p>
        </w:tc>
      </w:tr>
      <w:tr w:rsidR="00C15D06" w:rsidRPr="00301F7B" w:rsidTr="00CB5104">
        <w:trPr>
          <w:trHeight w:val="428"/>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ADM</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5,26</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5,53</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-0,27</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7,15</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1,62</w:t>
            </w:r>
          </w:p>
        </w:tc>
      </w:tr>
      <w:tr w:rsidR="00C15D06" w:rsidRPr="00301F7B" w:rsidTr="00CB5104">
        <w:trPr>
          <w:trHeight w:val="532"/>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TRAKYA</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5,09</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4,37</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0,72</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7,12</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2,75</w:t>
            </w:r>
          </w:p>
        </w:tc>
      </w:tr>
      <w:tr w:rsidR="00C15D06" w:rsidRPr="00301F7B" w:rsidTr="00CB5104">
        <w:trPr>
          <w:trHeight w:val="466"/>
        </w:trPr>
        <w:tc>
          <w:tcPr>
            <w:tcW w:w="1994" w:type="dxa"/>
            <w:tcBorders>
              <w:top w:val="nil"/>
              <w:left w:val="single" w:sz="8" w:space="0" w:color="auto"/>
              <w:bottom w:val="single" w:sz="8" w:space="0" w:color="auto"/>
              <w:right w:val="single" w:sz="8" w:space="0" w:color="auto"/>
            </w:tcBorders>
            <w:shd w:val="clear" w:color="000000" w:fill="FF5050"/>
            <w:noWrap/>
            <w:vAlign w:val="center"/>
            <w:hideMark/>
          </w:tcPr>
          <w:p w:rsidR="00C15D06" w:rsidRPr="00301F7B" w:rsidRDefault="00C15D06" w:rsidP="00CB5104">
            <w:pPr>
              <w:spacing w:after="0" w:line="240" w:lineRule="auto"/>
              <w:jc w:val="both"/>
              <w:rPr>
                <w:rFonts w:ascii="Calibri" w:eastAsia="Times New Roman" w:hAnsi="Calibri" w:cs="Times New Roman"/>
                <w:b/>
                <w:bCs/>
                <w:color w:val="FFFFFF"/>
                <w:lang w:eastAsia="tr-TR" w:bidi="ar-SA"/>
              </w:rPr>
            </w:pPr>
            <w:r w:rsidRPr="00301F7B">
              <w:rPr>
                <w:rFonts w:ascii="Calibri" w:eastAsia="Times New Roman" w:hAnsi="Calibri" w:cs="Times New Roman"/>
                <w:b/>
                <w:bCs/>
                <w:color w:val="FFFFFF"/>
                <w:lang w:eastAsia="tr-TR" w:bidi="ar-SA"/>
              </w:rPr>
              <w:t>ULUDAĞ</w:t>
            </w:r>
          </w:p>
        </w:tc>
        <w:tc>
          <w:tcPr>
            <w:tcW w:w="990"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4,14</w:t>
            </w:r>
          </w:p>
        </w:tc>
        <w:tc>
          <w:tcPr>
            <w:tcW w:w="84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4,2</w:t>
            </w:r>
          </w:p>
        </w:tc>
        <w:tc>
          <w:tcPr>
            <w:tcW w:w="1414"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-0,06</w:t>
            </w:r>
          </w:p>
        </w:tc>
        <w:tc>
          <w:tcPr>
            <w:tcW w:w="1839"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7,2</w:t>
            </w:r>
          </w:p>
        </w:tc>
        <w:tc>
          <w:tcPr>
            <w:tcW w:w="2198" w:type="dxa"/>
            <w:tcBorders>
              <w:top w:val="nil"/>
              <w:left w:val="nil"/>
              <w:bottom w:val="single" w:sz="8" w:space="0" w:color="auto"/>
              <w:right w:val="single" w:sz="8" w:space="0" w:color="auto"/>
            </w:tcBorders>
            <w:shd w:val="clear" w:color="auto" w:fill="auto"/>
            <w:noWrap/>
            <w:vAlign w:val="center"/>
            <w:hideMark/>
          </w:tcPr>
          <w:p w:rsidR="00C15D06" w:rsidRPr="00301F7B" w:rsidRDefault="00C15D06" w:rsidP="00CB5104">
            <w:pPr>
              <w:spacing w:after="0" w:line="240" w:lineRule="auto"/>
              <w:jc w:val="both"/>
              <w:rPr>
                <w:rFonts w:ascii="Calibri" w:eastAsia="Times New Roman" w:hAnsi="Calibri" w:cs="Times New Roman"/>
                <w:color w:val="000000"/>
                <w:lang w:eastAsia="tr-TR" w:bidi="ar-SA"/>
              </w:rPr>
            </w:pPr>
            <w:r w:rsidRPr="00301F7B">
              <w:rPr>
                <w:rFonts w:ascii="Calibri" w:eastAsia="Times New Roman" w:hAnsi="Calibri" w:cs="Times New Roman"/>
                <w:color w:val="000000"/>
                <w:lang w:eastAsia="tr-TR" w:bidi="ar-SA"/>
              </w:rPr>
              <w:t>3,00</w:t>
            </w:r>
          </w:p>
        </w:tc>
      </w:tr>
    </w:tbl>
    <w:p w:rsidR="00E324E9" w:rsidRDefault="00C15D06" w:rsidP="00315B1C">
      <w:pPr>
        <w:pStyle w:val="Balk1"/>
      </w:pPr>
      <w:bookmarkStart w:id="785" w:name="_Toc10123936"/>
      <w:bookmarkStart w:id="786" w:name="_Toc10191445"/>
      <w:bookmarkStart w:id="787" w:name="_Toc12526309"/>
      <w:r w:rsidRPr="000C6D21">
        <w:rPr>
          <w:rFonts w:eastAsiaTheme="minorEastAsia"/>
        </w:rPr>
        <w:t>Table</w:t>
      </w:r>
      <w:r>
        <w:rPr>
          <w:rFonts w:eastAsiaTheme="minorEastAsia"/>
        </w:rPr>
        <w:t xml:space="preserve"> 5</w:t>
      </w:r>
      <w:r w:rsidRPr="000C6D21">
        <w:rPr>
          <w:rFonts w:eastAsiaTheme="minorEastAsia"/>
        </w:rPr>
        <w:t>.2:</w:t>
      </w:r>
      <w:r w:rsidRPr="000C6D21">
        <w:t xml:space="preserve"> </w:t>
      </w:r>
      <w:r>
        <w:t>Loss</w:t>
      </w:r>
      <w:r w:rsidRPr="00581400">
        <w:t xml:space="preserve"> Rates of Distribution Companies (%)</w:t>
      </w:r>
      <w:bookmarkEnd w:id="785"/>
      <w:bookmarkEnd w:id="786"/>
      <w:bookmarkEnd w:id="787"/>
    </w:p>
    <w:p w:rsidR="00C15D06" w:rsidRPr="00C15D06" w:rsidRDefault="00C15D06" w:rsidP="00C15D06"/>
    <w:p w:rsidR="0033736D" w:rsidRPr="0033736D" w:rsidRDefault="0033736D" w:rsidP="0099399A">
      <w:pPr>
        <w:jc w:val="both"/>
      </w:pPr>
    </w:p>
    <w:p w:rsidR="00E324E9" w:rsidRDefault="00E324E9" w:rsidP="0099399A">
      <w:pPr>
        <w:pStyle w:val="Balk1"/>
        <w:jc w:val="both"/>
      </w:pPr>
    </w:p>
    <w:p w:rsidR="001A30A9" w:rsidRDefault="001A30A9" w:rsidP="0099399A">
      <w:pPr>
        <w:spacing w:line="360" w:lineRule="auto"/>
        <w:ind w:firstLine="708"/>
        <w:jc w:val="both"/>
        <w:rPr>
          <w:rFonts w:ascii="Times New Roman" w:hAnsi="Times New Roman" w:cs="Times New Roman"/>
          <w:sz w:val="24"/>
          <w:szCs w:val="24"/>
        </w:rPr>
      </w:pPr>
    </w:p>
    <w:p w:rsidR="001A30A9" w:rsidRPr="00C15D06" w:rsidRDefault="001A30A9" w:rsidP="0099399A">
      <w:pPr>
        <w:spacing w:line="360" w:lineRule="auto"/>
        <w:jc w:val="both"/>
        <w:rPr>
          <w:rFonts w:ascii="Times New Roman" w:hAnsi="Times New Roman" w:cs="Times New Roman"/>
          <w:sz w:val="24"/>
          <w:szCs w:val="24"/>
        </w:rPr>
      </w:pPr>
      <w:r w:rsidRPr="00C15D06">
        <w:rPr>
          <w:rFonts w:ascii="Times New Roman" w:hAnsi="Times New Roman" w:cs="Times New Roman"/>
          <w:sz w:val="24"/>
          <w:szCs w:val="24"/>
        </w:rPr>
        <w:lastRenderedPageBreak/>
        <w:t>When Table 5.2 is examined</w:t>
      </w:r>
      <w:r w:rsidR="00C05688" w:rsidRPr="00C15D06">
        <w:rPr>
          <w:rFonts w:ascii="Times New Roman" w:hAnsi="Times New Roman" w:cs="Times New Roman"/>
          <w:sz w:val="24"/>
          <w:szCs w:val="24"/>
        </w:rPr>
        <w:t>,</w:t>
      </w:r>
      <w:r w:rsidR="00C05688" w:rsidRPr="00C15D06">
        <w:rPr>
          <w:rFonts w:ascii="Times New Roman" w:hAnsi="Times New Roman" w:cs="Times New Roman"/>
          <w:color w:val="212121"/>
          <w:sz w:val="24"/>
          <w:szCs w:val="24"/>
          <w:shd w:val="clear" w:color="auto" w:fill="FFFFFF"/>
        </w:rPr>
        <w:t xml:space="preserve"> 21</w:t>
      </w:r>
      <w:r w:rsidRPr="00C15D06">
        <w:rPr>
          <w:rFonts w:ascii="Times New Roman" w:hAnsi="Times New Roman" w:cs="Times New Roman"/>
          <w:color w:val="212121"/>
          <w:sz w:val="24"/>
          <w:szCs w:val="24"/>
          <w:shd w:val="clear" w:color="auto" w:fill="FFFFFF"/>
        </w:rPr>
        <w:t xml:space="preserve"> of all distribution companies except Akedaş</w:t>
      </w:r>
      <w:r w:rsidRPr="00C15D06">
        <w:rPr>
          <w:rFonts w:ascii="Times New Roman" w:hAnsi="Times New Roman" w:cs="Times New Roman"/>
          <w:sz w:val="24"/>
          <w:szCs w:val="24"/>
        </w:rPr>
        <w:t xml:space="preserve"> achieved the targeted loss rate for 2018. According to the targets, the regions with the highest development were Dicle (14,27%) ,Vangölü (8,11%) and Aras (2,1%) regions. </w:t>
      </w:r>
    </w:p>
    <w:p w:rsidR="001A30A9" w:rsidRPr="00C15D06" w:rsidRDefault="001A30A9" w:rsidP="0099399A">
      <w:pPr>
        <w:spacing w:line="360" w:lineRule="auto"/>
        <w:jc w:val="both"/>
        <w:rPr>
          <w:rFonts w:ascii="Times New Roman" w:hAnsi="Times New Roman" w:cs="Times New Roman"/>
          <w:sz w:val="24"/>
          <w:szCs w:val="24"/>
        </w:rPr>
      </w:pPr>
      <w:r w:rsidRPr="00C15D06">
        <w:rPr>
          <w:rFonts w:ascii="Times New Roman" w:hAnsi="Times New Roman" w:cs="Times New Roman"/>
          <w:sz w:val="24"/>
          <w:szCs w:val="24"/>
        </w:rPr>
        <w:t>Also, as can be seen from Table 5.2, the highest loss rates in 2018 were in Dicle (54,94%), Vangölü (49,16%) and Aras (%23,55)</w:t>
      </w:r>
      <w:r w:rsidR="00C77482" w:rsidRPr="00C15D06">
        <w:rPr>
          <w:rFonts w:ascii="Times New Roman" w:hAnsi="Times New Roman" w:cs="Times New Roman"/>
          <w:sz w:val="24"/>
          <w:szCs w:val="24"/>
        </w:rPr>
        <w:t xml:space="preserve"> regions, as it was in 2017</w:t>
      </w:r>
      <w:r w:rsidRPr="00C15D06">
        <w:rPr>
          <w:rFonts w:ascii="Times New Roman" w:hAnsi="Times New Roman" w:cs="Times New Roman"/>
          <w:sz w:val="24"/>
          <w:szCs w:val="24"/>
        </w:rPr>
        <w:t>.</w:t>
      </w:r>
    </w:p>
    <w:p w:rsidR="001A30A9" w:rsidRPr="00C15D06" w:rsidRDefault="001A30A9" w:rsidP="0099399A">
      <w:pPr>
        <w:spacing w:line="360" w:lineRule="auto"/>
        <w:jc w:val="both"/>
        <w:rPr>
          <w:rFonts w:ascii="Times New Roman" w:eastAsia="Times New Roman" w:hAnsi="Times New Roman" w:cs="Times New Roman"/>
          <w:bCs/>
          <w:color w:val="000000"/>
          <w:sz w:val="24"/>
          <w:szCs w:val="24"/>
          <w:lang w:eastAsia="tr-TR" w:bidi="ar-SA"/>
        </w:rPr>
      </w:pPr>
      <w:r w:rsidRPr="00C15D06">
        <w:rPr>
          <w:rFonts w:ascii="Times New Roman" w:eastAsia="Times New Roman" w:hAnsi="Times New Roman" w:cs="Times New Roman"/>
          <w:bCs/>
          <w:color w:val="000000"/>
          <w:sz w:val="24"/>
          <w:szCs w:val="24"/>
          <w:lang w:eastAsia="tr-TR" w:bidi="ar-SA"/>
        </w:rPr>
        <w:t xml:space="preserve">The following Figure 5.2 the realized and targeted loss rates are shown. </w:t>
      </w:r>
    </w:p>
    <w:p w:rsidR="001A30A9" w:rsidRPr="00B3520C" w:rsidRDefault="001A30A9" w:rsidP="00A64337">
      <w:pPr>
        <w:pStyle w:val="Balk2"/>
      </w:pPr>
      <w:bookmarkStart w:id="788" w:name="_Toc494988674"/>
      <w:bookmarkStart w:id="789" w:name="_Toc520822142"/>
      <w:bookmarkStart w:id="790" w:name="_Toc10123937"/>
      <w:bookmarkStart w:id="791" w:name="_Toc12526310"/>
      <w:bookmarkStart w:id="792" w:name="_Toc12535909"/>
      <w:r w:rsidRPr="00B3520C">
        <w:t>Figure 5.</w:t>
      </w:r>
      <w:r>
        <w:t>2</w:t>
      </w:r>
      <w:r w:rsidRPr="00B3520C">
        <w:t xml:space="preserve">: </w:t>
      </w:r>
      <w:r w:rsidRPr="00997469">
        <w:t>Real</w:t>
      </w:r>
      <w:r>
        <w:t xml:space="preserve"> and Target Loss Rates in 2018 </w:t>
      </w:r>
      <w:r w:rsidRPr="00B3520C">
        <w:t>(%)</w:t>
      </w:r>
      <w:bookmarkEnd w:id="788"/>
      <w:bookmarkEnd w:id="789"/>
      <w:bookmarkEnd w:id="790"/>
      <w:bookmarkEnd w:id="791"/>
      <w:bookmarkEnd w:id="792"/>
    </w:p>
    <w:p w:rsidR="001A30A9" w:rsidRPr="001A30A9" w:rsidRDefault="00C77482" w:rsidP="0099399A">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bidi="ar-SA"/>
        </w:rPr>
        <w:drawing>
          <wp:inline distT="0" distB="0" distL="0" distR="0" wp14:anchorId="5D47CAA5" wp14:editId="2635F495">
            <wp:extent cx="5762625" cy="343852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62625" cy="3438525"/>
                    </a:xfrm>
                    <a:prstGeom prst="rect">
                      <a:avLst/>
                    </a:prstGeom>
                    <a:noFill/>
                    <a:ln>
                      <a:noFill/>
                    </a:ln>
                  </pic:spPr>
                </pic:pic>
              </a:graphicData>
            </a:graphic>
          </wp:inline>
        </w:drawing>
      </w:r>
    </w:p>
    <w:p w:rsidR="001A30A9" w:rsidRDefault="001A30A9" w:rsidP="0099399A">
      <w:pPr>
        <w:jc w:val="both"/>
      </w:pPr>
    </w:p>
    <w:p w:rsidR="00C77482" w:rsidRPr="00E66F42" w:rsidRDefault="00C77482" w:rsidP="0099399A">
      <w:pPr>
        <w:pStyle w:val="BALIKLAR"/>
        <w:jc w:val="both"/>
      </w:pPr>
      <w:bookmarkStart w:id="793" w:name="_Toc520822031"/>
      <w:bookmarkStart w:id="794" w:name="_Toc12528960"/>
      <w:r>
        <w:t>5.3 Employment</w:t>
      </w:r>
      <w:bookmarkEnd w:id="793"/>
      <w:bookmarkEnd w:id="794"/>
    </w:p>
    <w:p w:rsidR="00C77482" w:rsidRDefault="00C77482" w:rsidP="0099399A">
      <w:pPr>
        <w:spacing w:line="360" w:lineRule="auto"/>
        <w:jc w:val="both"/>
        <w:rPr>
          <w:rFonts w:ascii="Times New Roman" w:eastAsia="Times New Roman" w:hAnsi="Times New Roman" w:cs="Times New Roman"/>
          <w:bCs/>
          <w:color w:val="000000"/>
          <w:sz w:val="24"/>
          <w:szCs w:val="24"/>
          <w:lang w:eastAsia="tr-TR" w:bidi="ar-SA"/>
        </w:rPr>
      </w:pPr>
      <w:bookmarkStart w:id="795" w:name="_Toc450309974"/>
    </w:p>
    <w:p w:rsidR="00C77482" w:rsidRDefault="00C77482" w:rsidP="0099399A">
      <w:pPr>
        <w:spacing w:line="360" w:lineRule="auto"/>
        <w:jc w:val="both"/>
        <w:rPr>
          <w:rFonts w:ascii="Times New Roman" w:eastAsia="Times New Roman" w:hAnsi="Times New Roman" w:cs="Times New Roman"/>
          <w:bCs/>
          <w:color w:val="000000"/>
          <w:sz w:val="24"/>
          <w:szCs w:val="24"/>
          <w:lang w:eastAsia="tr-TR" w:bidi="ar-SA"/>
        </w:rPr>
      </w:pPr>
      <w:r>
        <w:rPr>
          <w:rFonts w:ascii="Times New Roman" w:eastAsia="Times New Roman" w:hAnsi="Times New Roman" w:cs="Times New Roman"/>
          <w:bCs/>
          <w:color w:val="000000"/>
          <w:sz w:val="24"/>
          <w:szCs w:val="24"/>
          <w:lang w:eastAsia="tr-TR" w:bidi="ar-SA"/>
        </w:rPr>
        <w:t>By the end of 2018</w:t>
      </w:r>
      <w:r w:rsidRPr="006A0241">
        <w:rPr>
          <w:rFonts w:ascii="Times New Roman" w:eastAsia="Times New Roman" w:hAnsi="Times New Roman" w:cs="Times New Roman"/>
          <w:bCs/>
          <w:color w:val="000000"/>
          <w:sz w:val="24"/>
          <w:szCs w:val="24"/>
          <w:lang w:eastAsia="tr-TR" w:bidi="ar-SA"/>
        </w:rPr>
        <w:t xml:space="preserve">, </w:t>
      </w:r>
      <w:r>
        <w:rPr>
          <w:rFonts w:ascii="Times New Roman" w:eastAsia="Times New Roman" w:hAnsi="Times New Roman" w:cs="Times New Roman"/>
          <w:bCs/>
          <w:color w:val="000000"/>
          <w:sz w:val="24"/>
          <w:szCs w:val="24"/>
          <w:lang w:eastAsia="tr-TR" w:bidi="ar-SA"/>
        </w:rPr>
        <w:t>54.756</w:t>
      </w:r>
      <w:r w:rsidRPr="00E66F42">
        <w:rPr>
          <w:rFonts w:ascii="Times New Roman" w:eastAsia="Times New Roman" w:hAnsi="Times New Roman" w:cs="Times New Roman"/>
          <w:bCs/>
          <w:color w:val="000000"/>
          <w:sz w:val="24"/>
          <w:szCs w:val="24"/>
          <w:lang w:eastAsia="tr-TR" w:bidi="ar-SA"/>
        </w:rPr>
        <w:t xml:space="preserve"> </w:t>
      </w:r>
      <w:r>
        <w:rPr>
          <w:rFonts w:ascii="Times New Roman" w:eastAsia="Times New Roman" w:hAnsi="Times New Roman" w:cs="Times New Roman"/>
          <w:bCs/>
          <w:color w:val="000000"/>
          <w:sz w:val="24"/>
          <w:szCs w:val="24"/>
          <w:lang w:eastAsia="tr-TR" w:bidi="ar-SA"/>
        </w:rPr>
        <w:t>people were</w:t>
      </w:r>
      <w:r w:rsidRPr="006A0241">
        <w:rPr>
          <w:rFonts w:ascii="Times New Roman" w:eastAsia="Times New Roman" w:hAnsi="Times New Roman" w:cs="Times New Roman"/>
          <w:bCs/>
          <w:color w:val="000000"/>
          <w:sz w:val="24"/>
          <w:szCs w:val="24"/>
          <w:lang w:eastAsia="tr-TR" w:bidi="ar-SA"/>
        </w:rPr>
        <w:t xml:space="preserve"> employed in elec</w:t>
      </w:r>
      <w:r>
        <w:rPr>
          <w:rFonts w:ascii="Times New Roman" w:eastAsia="Times New Roman" w:hAnsi="Times New Roman" w:cs="Times New Roman"/>
          <w:bCs/>
          <w:color w:val="000000"/>
          <w:sz w:val="24"/>
          <w:szCs w:val="24"/>
          <w:lang w:eastAsia="tr-TR" w:bidi="ar-SA"/>
        </w:rPr>
        <w:t>tricity distribution sector; 22.387</w:t>
      </w:r>
      <w:r w:rsidRPr="00E66F42">
        <w:rPr>
          <w:rFonts w:ascii="Times New Roman" w:eastAsia="Times New Roman" w:hAnsi="Times New Roman" w:cs="Times New Roman"/>
          <w:bCs/>
          <w:color w:val="000000"/>
          <w:sz w:val="24"/>
          <w:szCs w:val="24"/>
          <w:lang w:eastAsia="tr-TR" w:bidi="ar-SA"/>
        </w:rPr>
        <w:t xml:space="preserve"> </w:t>
      </w:r>
      <w:r w:rsidRPr="006A0241">
        <w:rPr>
          <w:rFonts w:ascii="Times New Roman" w:eastAsia="Times New Roman" w:hAnsi="Times New Roman" w:cs="Times New Roman"/>
          <w:bCs/>
          <w:color w:val="000000"/>
          <w:sz w:val="24"/>
          <w:szCs w:val="24"/>
          <w:lang w:eastAsia="tr-TR" w:bidi="ar-SA"/>
        </w:rPr>
        <w:t xml:space="preserve">people </w:t>
      </w:r>
      <w:r>
        <w:rPr>
          <w:rFonts w:ascii="Times New Roman" w:eastAsia="Times New Roman" w:hAnsi="Times New Roman" w:cs="Times New Roman"/>
          <w:bCs/>
          <w:color w:val="000000"/>
          <w:sz w:val="24"/>
          <w:szCs w:val="24"/>
          <w:lang w:eastAsia="tr-TR" w:bidi="ar-SA"/>
        </w:rPr>
        <w:t>were</w:t>
      </w:r>
      <w:r w:rsidRPr="006A0241">
        <w:rPr>
          <w:rFonts w:ascii="Times New Roman" w:eastAsia="Times New Roman" w:hAnsi="Times New Roman" w:cs="Times New Roman"/>
          <w:bCs/>
          <w:color w:val="000000"/>
          <w:sz w:val="24"/>
          <w:szCs w:val="24"/>
          <w:lang w:eastAsia="tr-TR" w:bidi="ar-SA"/>
        </w:rPr>
        <w:t xml:space="preserve"> employ</w:t>
      </w:r>
      <w:r>
        <w:rPr>
          <w:rFonts w:ascii="Times New Roman" w:eastAsia="Times New Roman" w:hAnsi="Times New Roman" w:cs="Times New Roman"/>
          <w:bCs/>
          <w:color w:val="000000"/>
          <w:sz w:val="24"/>
          <w:szCs w:val="24"/>
          <w:lang w:eastAsia="tr-TR" w:bidi="ar-SA"/>
        </w:rPr>
        <w:t>ed as permanent employee and 32.369</w:t>
      </w:r>
      <w:r w:rsidRPr="00E66F42">
        <w:rPr>
          <w:rFonts w:ascii="Times New Roman" w:eastAsia="Times New Roman" w:hAnsi="Times New Roman" w:cs="Times New Roman"/>
          <w:bCs/>
          <w:color w:val="000000"/>
          <w:sz w:val="24"/>
          <w:szCs w:val="24"/>
          <w:lang w:eastAsia="tr-TR" w:bidi="ar-SA"/>
        </w:rPr>
        <w:t xml:space="preserve"> </w:t>
      </w:r>
      <w:r w:rsidRPr="006A0241">
        <w:rPr>
          <w:rFonts w:ascii="Times New Roman" w:eastAsia="Times New Roman" w:hAnsi="Times New Roman" w:cs="Times New Roman"/>
          <w:bCs/>
          <w:color w:val="000000"/>
          <w:sz w:val="24"/>
          <w:szCs w:val="24"/>
          <w:lang w:eastAsia="tr-TR" w:bidi="ar-SA"/>
        </w:rPr>
        <w:t xml:space="preserve">people </w:t>
      </w:r>
      <w:r>
        <w:rPr>
          <w:rFonts w:ascii="Times New Roman" w:eastAsia="Times New Roman" w:hAnsi="Times New Roman" w:cs="Times New Roman"/>
          <w:bCs/>
          <w:color w:val="000000"/>
          <w:sz w:val="24"/>
          <w:szCs w:val="24"/>
          <w:lang w:eastAsia="tr-TR" w:bidi="ar-SA"/>
        </w:rPr>
        <w:t>were</w:t>
      </w:r>
      <w:r w:rsidRPr="006A0241">
        <w:rPr>
          <w:rFonts w:ascii="Times New Roman" w:eastAsia="Times New Roman" w:hAnsi="Times New Roman" w:cs="Times New Roman"/>
          <w:bCs/>
          <w:color w:val="000000"/>
          <w:sz w:val="24"/>
          <w:szCs w:val="24"/>
          <w:lang w:eastAsia="tr-TR" w:bidi="ar-SA"/>
        </w:rPr>
        <w:t xml:space="preserve"> employed as subcontractor employee. </w:t>
      </w:r>
      <w:r>
        <w:rPr>
          <w:rFonts w:ascii="Times New Roman" w:eastAsia="Times New Roman" w:hAnsi="Times New Roman" w:cs="Times New Roman"/>
          <w:bCs/>
          <w:color w:val="000000"/>
          <w:sz w:val="24"/>
          <w:szCs w:val="24"/>
          <w:lang w:eastAsia="tr-TR" w:bidi="ar-SA"/>
        </w:rPr>
        <w:t>Dicle EDAŞ had the highest number of employees with a total of 5.955 while the distribution company with the highest number of permanent employee was Toroslar EDAŞ with 3.599 people, and Dicle EDAŞ with the number of personnel with the highest number of subcontract employee was 3.349. Kayseri EDAŞ was the distribution company with the lowest number of employees with 892 people.</w:t>
      </w:r>
    </w:p>
    <w:p w:rsidR="00C77482" w:rsidRPr="00B37ACD" w:rsidRDefault="00C77482" w:rsidP="00A64337">
      <w:pPr>
        <w:pStyle w:val="Balk1"/>
      </w:pPr>
      <w:bookmarkStart w:id="796" w:name="_Toc494982851"/>
      <w:bookmarkStart w:id="797" w:name="_Toc514674270"/>
      <w:bookmarkStart w:id="798" w:name="_Toc520822066"/>
      <w:bookmarkStart w:id="799" w:name="_Toc10123939"/>
      <w:bookmarkStart w:id="800" w:name="_Toc10191446"/>
      <w:bookmarkStart w:id="801" w:name="_Toc12526312"/>
      <w:bookmarkEnd w:id="795"/>
      <w:r w:rsidRPr="00B37ACD">
        <w:lastRenderedPageBreak/>
        <w:t>Table 5.3: Number of Employees of Distribution Companies (Number)</w:t>
      </w:r>
      <w:bookmarkEnd w:id="796"/>
      <w:bookmarkEnd w:id="797"/>
      <w:bookmarkEnd w:id="798"/>
      <w:bookmarkEnd w:id="799"/>
      <w:bookmarkEnd w:id="800"/>
      <w:bookmarkEnd w:id="801"/>
    </w:p>
    <w:tbl>
      <w:tblPr>
        <w:tblW w:w="8237" w:type="dxa"/>
        <w:jc w:val="center"/>
        <w:tblCellMar>
          <w:left w:w="70" w:type="dxa"/>
          <w:right w:w="70" w:type="dxa"/>
        </w:tblCellMar>
        <w:tblLook w:val="04A0" w:firstRow="1" w:lastRow="0" w:firstColumn="1" w:lastColumn="0" w:noHBand="0" w:noVBand="1"/>
      </w:tblPr>
      <w:tblGrid>
        <w:gridCol w:w="2425"/>
        <w:gridCol w:w="2126"/>
        <w:gridCol w:w="2127"/>
        <w:gridCol w:w="1559"/>
      </w:tblGrid>
      <w:tr w:rsidR="00C77482" w:rsidRPr="00195432" w:rsidTr="00B37ACD">
        <w:trPr>
          <w:trHeight w:val="698"/>
          <w:jc w:val="center"/>
        </w:trPr>
        <w:tc>
          <w:tcPr>
            <w:tcW w:w="2425" w:type="dxa"/>
            <w:tcBorders>
              <w:top w:val="single" w:sz="8" w:space="0" w:color="auto"/>
              <w:left w:val="single" w:sz="8" w:space="0" w:color="auto"/>
              <w:bottom w:val="nil"/>
              <w:right w:val="single" w:sz="8" w:space="0" w:color="auto"/>
            </w:tcBorders>
            <w:shd w:val="clear" w:color="000000" w:fill="FF0000"/>
            <w:noWrap/>
            <w:vAlign w:val="center"/>
            <w:hideMark/>
          </w:tcPr>
          <w:p w:rsidR="00C77482" w:rsidRPr="00195432" w:rsidRDefault="00C77482"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Distribution Company</w:t>
            </w:r>
          </w:p>
        </w:tc>
        <w:tc>
          <w:tcPr>
            <w:tcW w:w="2126" w:type="dxa"/>
            <w:tcBorders>
              <w:top w:val="single" w:sz="8" w:space="0" w:color="auto"/>
              <w:left w:val="nil"/>
              <w:bottom w:val="nil"/>
              <w:right w:val="single" w:sz="8" w:space="0" w:color="auto"/>
            </w:tcBorders>
            <w:shd w:val="clear" w:color="000000" w:fill="FF0000"/>
            <w:vAlign w:val="center"/>
            <w:hideMark/>
          </w:tcPr>
          <w:p w:rsidR="00C77482" w:rsidRPr="00195432" w:rsidRDefault="00C77482"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Number of Permanent Employees</w:t>
            </w:r>
          </w:p>
        </w:tc>
        <w:tc>
          <w:tcPr>
            <w:tcW w:w="2127" w:type="dxa"/>
            <w:tcBorders>
              <w:top w:val="single" w:sz="8" w:space="0" w:color="auto"/>
              <w:left w:val="nil"/>
              <w:bottom w:val="nil"/>
              <w:right w:val="single" w:sz="8" w:space="0" w:color="auto"/>
            </w:tcBorders>
            <w:shd w:val="clear" w:color="000000" w:fill="FF0000"/>
            <w:vAlign w:val="center"/>
            <w:hideMark/>
          </w:tcPr>
          <w:p w:rsidR="00C77482" w:rsidRPr="00195432" w:rsidRDefault="00B37ACD"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Number of Subcontractor Employees</w:t>
            </w:r>
          </w:p>
        </w:tc>
        <w:tc>
          <w:tcPr>
            <w:tcW w:w="1559" w:type="dxa"/>
            <w:tcBorders>
              <w:top w:val="single" w:sz="8" w:space="0" w:color="auto"/>
              <w:left w:val="nil"/>
              <w:bottom w:val="nil"/>
              <w:right w:val="single" w:sz="8" w:space="0" w:color="auto"/>
            </w:tcBorders>
            <w:shd w:val="clear" w:color="000000" w:fill="FF0000"/>
            <w:noWrap/>
            <w:vAlign w:val="center"/>
            <w:hideMark/>
          </w:tcPr>
          <w:p w:rsidR="00C77482" w:rsidRPr="00195432" w:rsidRDefault="00C77482" w:rsidP="00A64337">
            <w:pPr>
              <w:spacing w:after="0" w:line="240" w:lineRule="auto"/>
              <w:jc w:val="center"/>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To</w:t>
            </w:r>
            <w:r w:rsidR="00B37ACD">
              <w:rPr>
                <w:rFonts w:ascii="Calibri" w:eastAsia="Times New Roman" w:hAnsi="Calibri" w:cs="Times New Roman"/>
                <w:b/>
                <w:bCs/>
                <w:color w:val="FFFFFF"/>
                <w:lang w:eastAsia="tr-TR" w:bidi="ar-SA"/>
              </w:rPr>
              <w:t>tal</w:t>
            </w:r>
          </w:p>
        </w:tc>
      </w:tr>
      <w:tr w:rsidR="00C77482" w:rsidRPr="00195432" w:rsidTr="004C7560">
        <w:trPr>
          <w:trHeight w:val="411"/>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DİCLE</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2.606</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3.349</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5.955</w:t>
            </w:r>
          </w:p>
        </w:tc>
      </w:tr>
      <w:tr w:rsidR="00C77482" w:rsidRPr="00195432" w:rsidTr="004C7560">
        <w:trPr>
          <w:trHeight w:val="412"/>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TOROSLAR</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3.599</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1.897</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5.496</w:t>
            </w:r>
          </w:p>
        </w:tc>
      </w:tr>
      <w:tr w:rsidR="00C77482" w:rsidRPr="00195432" w:rsidTr="004C7560">
        <w:trPr>
          <w:trHeight w:val="546"/>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BAŞKENT</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3.457</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1.641</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5.098</w:t>
            </w:r>
          </w:p>
        </w:tc>
      </w:tr>
      <w:tr w:rsidR="00C77482" w:rsidRPr="00195432" w:rsidTr="004C7560">
        <w:trPr>
          <w:trHeight w:val="540"/>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BOĞAZİÇİ</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715</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4.123</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4.838</w:t>
            </w:r>
          </w:p>
        </w:tc>
      </w:tr>
      <w:tr w:rsidR="00C77482" w:rsidRPr="00195432" w:rsidTr="004C7560">
        <w:trPr>
          <w:trHeight w:val="406"/>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GDZ</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739</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2.381</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3.120</w:t>
            </w:r>
          </w:p>
        </w:tc>
      </w:tr>
      <w:tr w:rsidR="00C77482" w:rsidRPr="00195432" w:rsidTr="004C7560">
        <w:trPr>
          <w:trHeight w:val="540"/>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ULUDAĞ</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484</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2.302</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2.786</w:t>
            </w:r>
          </w:p>
        </w:tc>
      </w:tr>
      <w:tr w:rsidR="00C77482" w:rsidRPr="00195432" w:rsidTr="004C7560">
        <w:trPr>
          <w:trHeight w:val="419"/>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C15D06">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İ.</w:t>
            </w:r>
            <w:r w:rsidR="00C15D06">
              <w:rPr>
                <w:rFonts w:ascii="Calibri" w:eastAsia="Times New Roman" w:hAnsi="Calibri" w:cs="Times New Roman"/>
                <w:color w:val="FFFFFF"/>
                <w:lang w:eastAsia="tr-TR" w:bidi="ar-SA"/>
              </w:rPr>
              <w:t>ANATOLİAN</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1.704</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933</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2.637</w:t>
            </w:r>
          </w:p>
        </w:tc>
      </w:tr>
      <w:tr w:rsidR="00C77482" w:rsidRPr="00195432" w:rsidTr="004C7560">
        <w:trPr>
          <w:trHeight w:val="397"/>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ADM</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558</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1.993</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2.551</w:t>
            </w:r>
          </w:p>
        </w:tc>
      </w:tr>
      <w:tr w:rsidR="00C77482" w:rsidRPr="00195432" w:rsidTr="004C7560">
        <w:trPr>
          <w:trHeight w:val="404"/>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MERAM</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722</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1.790</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2.512</w:t>
            </w:r>
          </w:p>
        </w:tc>
      </w:tr>
      <w:tr w:rsidR="00C77482" w:rsidRPr="00195432" w:rsidTr="004C7560">
        <w:trPr>
          <w:trHeight w:val="552"/>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1.617</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643</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2.260</w:t>
            </w:r>
          </w:p>
        </w:tc>
      </w:tr>
      <w:tr w:rsidR="00C77482" w:rsidRPr="00195432" w:rsidTr="004C7560">
        <w:trPr>
          <w:trHeight w:val="560"/>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YEŞİLIRMAK</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596</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1.534</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2.130</w:t>
            </w:r>
          </w:p>
        </w:tc>
      </w:tr>
      <w:tr w:rsidR="00C77482" w:rsidRPr="00195432" w:rsidTr="004C7560">
        <w:trPr>
          <w:trHeight w:val="540"/>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FIRAT</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306</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1.648</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1.954</w:t>
            </w:r>
          </w:p>
        </w:tc>
      </w:tr>
      <w:tr w:rsidR="00C77482" w:rsidRPr="00195432" w:rsidTr="004C7560">
        <w:trPr>
          <w:trHeight w:val="548"/>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VANGÖLÜ</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725</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1.228</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1.953</w:t>
            </w:r>
          </w:p>
        </w:tc>
      </w:tr>
      <w:tr w:rsidR="00C77482" w:rsidRPr="00195432" w:rsidTr="004C7560">
        <w:trPr>
          <w:trHeight w:val="542"/>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AKDENİZ</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269</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1.668</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1.937</w:t>
            </w:r>
          </w:p>
        </w:tc>
      </w:tr>
      <w:tr w:rsidR="00C77482" w:rsidRPr="00195432" w:rsidTr="004C7560">
        <w:trPr>
          <w:trHeight w:val="394"/>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ARAS</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462</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1.319</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1.781</w:t>
            </w:r>
          </w:p>
        </w:tc>
      </w:tr>
      <w:tr w:rsidR="00C77482" w:rsidRPr="00195432" w:rsidTr="004C7560">
        <w:trPr>
          <w:trHeight w:val="413"/>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OSMANGAZİ</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1.203</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510</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1.713</w:t>
            </w:r>
          </w:p>
        </w:tc>
      </w:tr>
      <w:tr w:rsidR="00C77482" w:rsidRPr="00195432" w:rsidTr="004C7560">
        <w:trPr>
          <w:trHeight w:val="405"/>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ÇORUH</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386</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1.280</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1.666</w:t>
            </w:r>
          </w:p>
        </w:tc>
      </w:tr>
      <w:tr w:rsidR="00C77482" w:rsidRPr="00195432" w:rsidTr="004C7560">
        <w:trPr>
          <w:trHeight w:val="398"/>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ÇAMLIBEL</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214</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1.024</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1.238</w:t>
            </w:r>
          </w:p>
        </w:tc>
      </w:tr>
      <w:tr w:rsidR="00C77482" w:rsidRPr="00195432" w:rsidTr="004C7560">
        <w:trPr>
          <w:trHeight w:val="418"/>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AKEDAŞ</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528</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664</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1.192</w:t>
            </w:r>
          </w:p>
        </w:tc>
      </w:tr>
      <w:tr w:rsidR="00C77482" w:rsidRPr="00195432" w:rsidTr="004C7560">
        <w:trPr>
          <w:trHeight w:val="396"/>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color w:val="FFFFFF"/>
                <w:lang w:eastAsia="tr-TR" w:bidi="ar-SA"/>
              </w:rPr>
            </w:pPr>
            <w:r w:rsidRPr="00195432">
              <w:rPr>
                <w:rFonts w:ascii="Calibri" w:eastAsia="Times New Roman" w:hAnsi="Calibri" w:cs="Times New Roman"/>
                <w:color w:val="FFFFFF"/>
                <w:lang w:eastAsia="tr-TR" w:bidi="ar-SA"/>
              </w:rPr>
              <w:t>TRAKYA</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795</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252</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1.047</w:t>
            </w:r>
          </w:p>
        </w:tc>
      </w:tr>
      <w:tr w:rsidR="00C77482" w:rsidRPr="00195432" w:rsidTr="004C7560">
        <w:trPr>
          <w:trHeight w:val="557"/>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A64337" w:rsidP="00A64337">
            <w:pPr>
              <w:spacing w:after="0" w:line="240" w:lineRule="auto"/>
              <w:jc w:val="both"/>
              <w:rPr>
                <w:rFonts w:ascii="Calibri" w:eastAsia="Times New Roman" w:hAnsi="Calibri" w:cs="Times New Roman"/>
                <w:color w:val="FFFFFF"/>
                <w:lang w:eastAsia="tr-TR" w:bidi="ar-SA"/>
              </w:rPr>
            </w:pPr>
            <w:r>
              <w:rPr>
                <w:rFonts w:ascii="Calibri" w:eastAsia="Times New Roman" w:hAnsi="Calibri" w:cs="Times New Roman"/>
                <w:color w:val="FFFFFF"/>
                <w:lang w:eastAsia="tr-TR" w:bidi="ar-SA"/>
              </w:rPr>
              <w:t>KAYSERİ ve CİVARI</w:t>
            </w:r>
          </w:p>
        </w:tc>
        <w:tc>
          <w:tcPr>
            <w:tcW w:w="2126"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702</w:t>
            </w:r>
          </w:p>
        </w:tc>
        <w:tc>
          <w:tcPr>
            <w:tcW w:w="2127"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190</w:t>
            </w:r>
          </w:p>
        </w:tc>
        <w:tc>
          <w:tcPr>
            <w:tcW w:w="1559" w:type="dxa"/>
            <w:tcBorders>
              <w:top w:val="nil"/>
              <w:left w:val="nil"/>
              <w:bottom w:val="single" w:sz="8" w:space="0" w:color="auto"/>
              <w:right w:val="single" w:sz="8" w:space="0" w:color="auto"/>
            </w:tcBorders>
            <w:shd w:val="clear" w:color="auto" w:fill="auto"/>
            <w:noWrap/>
            <w:vAlign w:val="center"/>
            <w:hideMark/>
          </w:tcPr>
          <w:p w:rsidR="00C77482" w:rsidRPr="00195432" w:rsidRDefault="00C77482" w:rsidP="0099399A">
            <w:pPr>
              <w:spacing w:after="0" w:line="240" w:lineRule="auto"/>
              <w:jc w:val="both"/>
              <w:rPr>
                <w:rFonts w:ascii="Calibri" w:eastAsia="Times New Roman" w:hAnsi="Calibri" w:cs="Times New Roman"/>
                <w:color w:val="000000"/>
                <w:lang w:eastAsia="tr-TR" w:bidi="ar-SA"/>
              </w:rPr>
            </w:pPr>
            <w:r w:rsidRPr="00195432">
              <w:rPr>
                <w:rFonts w:ascii="Calibri" w:eastAsia="Times New Roman" w:hAnsi="Calibri" w:cs="Times New Roman"/>
                <w:color w:val="000000"/>
                <w:lang w:eastAsia="tr-TR" w:bidi="ar-SA"/>
              </w:rPr>
              <w:t>892</w:t>
            </w:r>
          </w:p>
        </w:tc>
      </w:tr>
      <w:tr w:rsidR="00C77482" w:rsidRPr="00195432" w:rsidTr="004C7560">
        <w:trPr>
          <w:trHeight w:val="679"/>
          <w:jc w:val="center"/>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c>
          <w:tcPr>
            <w:tcW w:w="2126" w:type="dxa"/>
            <w:tcBorders>
              <w:top w:val="nil"/>
              <w:left w:val="nil"/>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22.387</w:t>
            </w:r>
          </w:p>
        </w:tc>
        <w:tc>
          <w:tcPr>
            <w:tcW w:w="2127" w:type="dxa"/>
            <w:tcBorders>
              <w:top w:val="nil"/>
              <w:left w:val="nil"/>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32.369</w:t>
            </w:r>
          </w:p>
        </w:tc>
        <w:tc>
          <w:tcPr>
            <w:tcW w:w="1559" w:type="dxa"/>
            <w:tcBorders>
              <w:top w:val="nil"/>
              <w:left w:val="nil"/>
              <w:bottom w:val="single" w:sz="8" w:space="0" w:color="auto"/>
              <w:right w:val="single" w:sz="8" w:space="0" w:color="auto"/>
            </w:tcBorders>
            <w:shd w:val="clear" w:color="000000" w:fill="FF5050"/>
            <w:noWrap/>
            <w:vAlign w:val="center"/>
            <w:hideMark/>
          </w:tcPr>
          <w:p w:rsidR="00C77482" w:rsidRPr="00195432" w:rsidRDefault="00C77482" w:rsidP="0099399A">
            <w:pPr>
              <w:spacing w:after="0" w:line="240" w:lineRule="auto"/>
              <w:jc w:val="both"/>
              <w:rPr>
                <w:rFonts w:ascii="Calibri" w:eastAsia="Times New Roman" w:hAnsi="Calibri" w:cs="Times New Roman"/>
                <w:b/>
                <w:bCs/>
                <w:color w:val="FFFFFF"/>
                <w:lang w:eastAsia="tr-TR" w:bidi="ar-SA"/>
              </w:rPr>
            </w:pPr>
            <w:r w:rsidRPr="00195432">
              <w:rPr>
                <w:rFonts w:ascii="Calibri" w:eastAsia="Times New Roman" w:hAnsi="Calibri" w:cs="Times New Roman"/>
                <w:b/>
                <w:bCs/>
                <w:color w:val="FFFFFF"/>
                <w:lang w:eastAsia="tr-TR" w:bidi="ar-SA"/>
              </w:rPr>
              <w:t>54.756</w:t>
            </w:r>
          </w:p>
        </w:tc>
      </w:tr>
    </w:tbl>
    <w:p w:rsidR="00B37ACD" w:rsidRDefault="00B37ACD" w:rsidP="0099399A">
      <w:pPr>
        <w:pStyle w:val="Balk2"/>
        <w:jc w:val="both"/>
      </w:pPr>
      <w:bookmarkStart w:id="802" w:name="_Toc494988675"/>
      <w:bookmarkStart w:id="803" w:name="_Toc520822143"/>
    </w:p>
    <w:p w:rsidR="00B37ACD" w:rsidRDefault="00B37ACD" w:rsidP="00A64337">
      <w:pPr>
        <w:pStyle w:val="Balk2"/>
      </w:pPr>
      <w:bookmarkStart w:id="804" w:name="_Toc10123940"/>
      <w:bookmarkStart w:id="805" w:name="_Toc12526313"/>
      <w:bookmarkStart w:id="806" w:name="_Toc12535910"/>
      <w:r>
        <w:t>Figure 5.3</w:t>
      </w:r>
      <w:r w:rsidRPr="00B3520C">
        <w:t xml:space="preserve">: </w:t>
      </w:r>
      <w:r w:rsidRPr="00000ABB">
        <w:t xml:space="preserve">Number of </w:t>
      </w:r>
      <w:r>
        <w:t>Employees of</w:t>
      </w:r>
      <w:r w:rsidRPr="00000ABB">
        <w:t xml:space="preserve"> Dis</w:t>
      </w:r>
      <w:r>
        <w:t>tribution Companies by Year 2018</w:t>
      </w:r>
      <w:bookmarkEnd w:id="802"/>
      <w:bookmarkEnd w:id="803"/>
      <w:bookmarkEnd w:id="804"/>
      <w:bookmarkEnd w:id="805"/>
      <w:bookmarkEnd w:id="806"/>
    </w:p>
    <w:p w:rsidR="00B37ACD" w:rsidRPr="00B37ACD" w:rsidRDefault="00B37ACD" w:rsidP="00A64337">
      <w:pPr>
        <w:jc w:val="center"/>
      </w:pPr>
      <w:r>
        <w:rPr>
          <w:noProof/>
          <w:lang w:bidi="ar-SA"/>
        </w:rPr>
        <w:drawing>
          <wp:inline distT="0" distB="0" distL="0" distR="0" wp14:anchorId="7EF4CD65" wp14:editId="107890A8">
            <wp:extent cx="5753100" cy="2676525"/>
            <wp:effectExtent l="0" t="0" r="0" b="952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53100" cy="2676525"/>
                    </a:xfrm>
                    <a:prstGeom prst="rect">
                      <a:avLst/>
                    </a:prstGeom>
                    <a:noFill/>
                    <a:ln>
                      <a:noFill/>
                    </a:ln>
                  </pic:spPr>
                </pic:pic>
              </a:graphicData>
            </a:graphic>
          </wp:inline>
        </w:drawing>
      </w:r>
    </w:p>
    <w:p w:rsidR="00B37ACD" w:rsidRPr="00E66F42" w:rsidRDefault="00B37ACD" w:rsidP="0099399A">
      <w:pPr>
        <w:pStyle w:val="BALIKLAR"/>
        <w:jc w:val="both"/>
        <w:rPr>
          <w:caps/>
        </w:rPr>
      </w:pPr>
      <w:bookmarkStart w:id="807" w:name="_Toc520822032"/>
      <w:bookmarkStart w:id="808" w:name="_Toc12528961"/>
      <w:r>
        <w:t>5.4 Information about Network</w:t>
      </w:r>
      <w:bookmarkEnd w:id="807"/>
      <w:bookmarkEnd w:id="808"/>
    </w:p>
    <w:p w:rsidR="00B37ACD" w:rsidRDefault="00B37ACD" w:rsidP="0099399A">
      <w:pPr>
        <w:spacing w:line="360" w:lineRule="auto"/>
        <w:ind w:firstLine="576"/>
        <w:jc w:val="both"/>
        <w:rPr>
          <w:rFonts w:asciiTheme="minorHAnsi" w:hAnsiTheme="minorHAnsi" w:cstheme="minorHAnsi"/>
          <w:sz w:val="24"/>
          <w:szCs w:val="24"/>
        </w:rPr>
      </w:pPr>
    </w:p>
    <w:p w:rsidR="00B37ACD" w:rsidRPr="004C7560" w:rsidRDefault="00B37ACD" w:rsidP="0099399A">
      <w:pPr>
        <w:spacing w:line="360" w:lineRule="auto"/>
        <w:jc w:val="both"/>
        <w:rPr>
          <w:rFonts w:ascii="Times New Roman" w:eastAsia="Times New Roman" w:hAnsi="Times New Roman" w:cs="Times New Roman"/>
          <w:bCs/>
          <w:color w:val="000000"/>
          <w:sz w:val="24"/>
          <w:szCs w:val="24"/>
          <w:lang w:eastAsia="tr-TR" w:bidi="ar-SA"/>
        </w:rPr>
      </w:pPr>
      <w:r w:rsidRPr="004C7560">
        <w:rPr>
          <w:rFonts w:ascii="Times New Roman" w:eastAsia="Times New Roman" w:hAnsi="Times New Roman" w:cs="Times New Roman"/>
          <w:bCs/>
          <w:color w:val="000000"/>
          <w:sz w:val="24"/>
          <w:szCs w:val="24"/>
          <w:lang w:eastAsia="tr-TR" w:bidi="ar-SA"/>
        </w:rPr>
        <w:t>This section contains basic data on the distribution system. In this context, information on line lengths, transformer capacities and transformer numbers in the distribution voltage level is included in the following tables and figures.</w:t>
      </w:r>
    </w:p>
    <w:p w:rsidR="00B37ACD" w:rsidRPr="004C7560" w:rsidRDefault="00B37ACD" w:rsidP="0099399A">
      <w:pPr>
        <w:spacing w:line="360" w:lineRule="auto"/>
        <w:jc w:val="both"/>
        <w:rPr>
          <w:rFonts w:ascii="Times New Roman" w:eastAsia="Times New Roman" w:hAnsi="Times New Roman" w:cs="Times New Roman"/>
          <w:bCs/>
          <w:color w:val="000000"/>
          <w:sz w:val="24"/>
          <w:szCs w:val="24"/>
          <w:lang w:eastAsia="tr-TR" w:bidi="ar-SA"/>
        </w:rPr>
      </w:pPr>
      <w:r w:rsidRPr="004C7560">
        <w:rPr>
          <w:rFonts w:ascii="Times New Roman" w:eastAsia="Times New Roman" w:hAnsi="Times New Roman" w:cs="Times New Roman"/>
          <w:bCs/>
          <w:color w:val="000000"/>
          <w:sz w:val="24"/>
          <w:szCs w:val="24"/>
          <w:lang w:eastAsia="tr-TR" w:bidi="ar-SA"/>
        </w:rPr>
        <w:t xml:space="preserve">As it is known, almost whole of Turkey has access to electricity. Except for industrial plants with large consumption, all small and medium-sized consumers provide electric energy through the distribution system. As seen from Table 5.4, the total distribution line length of Turkey reached to 1.164.170 km. When considering the line lengths according to the distribution regions, the distribution regions of Başkent, Toroslar, Meram, Yeşilırmak and Dicle were the first five regions. It is seen that the distribution line lengths have a direct correlation with the size of the distribution region. </w:t>
      </w:r>
    </w:p>
    <w:p w:rsidR="00B37ACD" w:rsidRPr="004C7560" w:rsidRDefault="00B37ACD" w:rsidP="0099399A">
      <w:pPr>
        <w:spacing w:line="360" w:lineRule="auto"/>
        <w:jc w:val="both"/>
        <w:rPr>
          <w:rFonts w:ascii="Times New Roman" w:eastAsia="Times New Roman" w:hAnsi="Times New Roman" w:cs="Times New Roman"/>
          <w:bCs/>
          <w:color w:val="000000"/>
          <w:sz w:val="24"/>
          <w:szCs w:val="24"/>
          <w:lang w:eastAsia="tr-TR" w:bidi="ar-SA"/>
        </w:rPr>
      </w:pPr>
      <w:r w:rsidRPr="004C7560">
        <w:rPr>
          <w:rFonts w:ascii="Times New Roman" w:eastAsia="Times New Roman" w:hAnsi="Times New Roman" w:cs="Times New Roman"/>
          <w:bCs/>
          <w:color w:val="000000"/>
          <w:sz w:val="24"/>
          <w:szCs w:val="24"/>
          <w:lang w:eastAsia="tr-TR" w:bidi="ar-SA"/>
        </w:rPr>
        <w:t>On the other hand, regarding transformer capacity, it is seen that the electricity distribution regions of Boğaziçi, Toroslar, Gdz, Başkent and Dicle were the top five respectively.</w:t>
      </w:r>
    </w:p>
    <w:p w:rsidR="00E84EB3" w:rsidRDefault="00E84EB3" w:rsidP="0099399A">
      <w:pPr>
        <w:pStyle w:val="Balk1"/>
        <w:jc w:val="both"/>
        <w:rPr>
          <w:rFonts w:eastAsiaTheme="minorEastAsia"/>
        </w:rPr>
      </w:pPr>
      <w:bookmarkStart w:id="809" w:name="_Toc494982852"/>
      <w:bookmarkStart w:id="810" w:name="_Toc514674271"/>
      <w:bookmarkStart w:id="811" w:name="_Toc520822067"/>
    </w:p>
    <w:bookmarkEnd w:id="809"/>
    <w:bookmarkEnd w:id="810"/>
    <w:bookmarkEnd w:id="811"/>
    <w:p w:rsidR="00E84EB3" w:rsidRDefault="00E84EB3" w:rsidP="0099399A">
      <w:pPr>
        <w:jc w:val="both"/>
      </w:pPr>
    </w:p>
    <w:p w:rsidR="00E84EB3" w:rsidRDefault="00E84EB3" w:rsidP="0099399A">
      <w:pPr>
        <w:jc w:val="both"/>
      </w:pPr>
    </w:p>
    <w:p w:rsidR="00E84EB3" w:rsidRDefault="00E84EB3" w:rsidP="0099399A">
      <w:pPr>
        <w:jc w:val="both"/>
      </w:pPr>
    </w:p>
    <w:p w:rsidR="00E84EB3" w:rsidRPr="00E84EB3" w:rsidRDefault="00E84EB3" w:rsidP="00A64337">
      <w:pPr>
        <w:pStyle w:val="Balk1"/>
        <w:rPr>
          <w:vertAlign w:val="superscript"/>
        </w:rPr>
      </w:pPr>
      <w:bookmarkStart w:id="812" w:name="_Toc10123942"/>
      <w:bookmarkStart w:id="813" w:name="_Toc10191447"/>
      <w:bookmarkStart w:id="814" w:name="_Toc12526315"/>
      <w:r w:rsidRPr="00E95A7D">
        <w:rPr>
          <w:rFonts w:eastAsiaTheme="minorEastAsia"/>
        </w:rPr>
        <w:lastRenderedPageBreak/>
        <w:t>Table</w:t>
      </w:r>
      <w:r>
        <w:rPr>
          <w:rFonts w:eastAsiaTheme="minorEastAsia"/>
        </w:rPr>
        <w:t xml:space="preserve"> 5</w:t>
      </w:r>
      <w:r w:rsidRPr="00E95A7D">
        <w:rPr>
          <w:rFonts w:eastAsiaTheme="minorEastAsia"/>
        </w:rPr>
        <w:t xml:space="preserve">.4: </w:t>
      </w:r>
      <w:r w:rsidRPr="001C48C9">
        <w:t xml:space="preserve">Line Lengths, </w:t>
      </w:r>
      <w:r>
        <w:t xml:space="preserve">Number of Transformers </w:t>
      </w:r>
      <w:r w:rsidRPr="001C48C9">
        <w:t xml:space="preserve">and </w:t>
      </w:r>
      <w:r>
        <w:t>Transformer</w:t>
      </w:r>
      <w:r w:rsidRPr="001C48C9">
        <w:t xml:space="preserve"> Capacities Based o</w:t>
      </w:r>
      <w:r>
        <w:t>n Distribution Companies by end of 2018</w:t>
      </w:r>
      <w:r w:rsidRPr="001C48C9">
        <w:t xml:space="preserve"> (Km-MVA-Number)</w:t>
      </w:r>
      <w:r w:rsidRPr="00C67077">
        <w:rPr>
          <w:vertAlign w:val="superscript"/>
        </w:rPr>
        <w:t xml:space="preserve"> </w:t>
      </w:r>
      <w:r>
        <w:rPr>
          <w:rStyle w:val="DipnotBavurusu"/>
        </w:rPr>
        <w:footnoteReference w:id="4"/>
      </w:r>
      <w:bookmarkEnd w:id="812"/>
      <w:bookmarkEnd w:id="813"/>
      <w:bookmarkEnd w:id="814"/>
    </w:p>
    <w:tbl>
      <w:tblPr>
        <w:tblW w:w="9229" w:type="dxa"/>
        <w:tblInd w:w="55" w:type="dxa"/>
        <w:tblCellMar>
          <w:left w:w="70" w:type="dxa"/>
          <w:right w:w="70" w:type="dxa"/>
        </w:tblCellMar>
        <w:tblLook w:val="04A0" w:firstRow="1" w:lastRow="0" w:firstColumn="1" w:lastColumn="0" w:noHBand="0" w:noVBand="1"/>
      </w:tblPr>
      <w:tblGrid>
        <w:gridCol w:w="2425"/>
        <w:gridCol w:w="2410"/>
        <w:gridCol w:w="2268"/>
        <w:gridCol w:w="2126"/>
      </w:tblGrid>
      <w:tr w:rsidR="00B37ACD" w:rsidRPr="001E2B59" w:rsidTr="00B37ACD">
        <w:trPr>
          <w:trHeight w:val="300"/>
        </w:trPr>
        <w:tc>
          <w:tcPr>
            <w:tcW w:w="2425" w:type="dxa"/>
            <w:vMerge w:val="restart"/>
            <w:tcBorders>
              <w:top w:val="single" w:sz="8" w:space="0" w:color="auto"/>
              <w:left w:val="single" w:sz="8" w:space="0" w:color="auto"/>
              <w:bottom w:val="nil"/>
              <w:right w:val="single" w:sz="8" w:space="0" w:color="auto"/>
            </w:tcBorders>
            <w:shd w:val="clear" w:color="000000" w:fill="FF0000"/>
            <w:hideMark/>
          </w:tcPr>
          <w:p w:rsidR="00B37ACD" w:rsidRPr="001E2B59" w:rsidRDefault="00B37ACD" w:rsidP="0099399A">
            <w:pPr>
              <w:spacing w:after="0" w:line="240" w:lineRule="auto"/>
              <w:jc w:val="both"/>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br/>
            </w:r>
            <w:r>
              <w:rPr>
                <w:rFonts w:ascii="Calibri" w:eastAsia="Times New Roman" w:hAnsi="Calibri" w:cs="Times New Roman"/>
                <w:b/>
                <w:bCs/>
                <w:color w:val="FFFFFF"/>
                <w:lang w:eastAsia="tr-TR" w:bidi="ar-SA"/>
              </w:rPr>
              <w:t>Distribution Company</w:t>
            </w:r>
          </w:p>
        </w:tc>
        <w:tc>
          <w:tcPr>
            <w:tcW w:w="2410" w:type="dxa"/>
            <w:tcBorders>
              <w:top w:val="single" w:sz="8" w:space="0" w:color="auto"/>
              <w:left w:val="nil"/>
              <w:bottom w:val="nil"/>
              <w:right w:val="single" w:sz="8" w:space="0" w:color="auto"/>
            </w:tcBorders>
            <w:shd w:val="clear" w:color="000000" w:fill="FF0000"/>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 </w:t>
            </w:r>
          </w:p>
        </w:tc>
        <w:tc>
          <w:tcPr>
            <w:tcW w:w="2268" w:type="dxa"/>
            <w:vMerge w:val="restart"/>
            <w:tcBorders>
              <w:top w:val="single" w:sz="8" w:space="0" w:color="auto"/>
              <w:left w:val="single" w:sz="8" w:space="0" w:color="auto"/>
              <w:bottom w:val="nil"/>
              <w:right w:val="single" w:sz="8" w:space="0" w:color="auto"/>
            </w:tcBorders>
            <w:shd w:val="clear" w:color="000000" w:fill="FF0000"/>
            <w:vAlign w:val="center"/>
            <w:hideMark/>
          </w:tcPr>
          <w:p w:rsidR="00B37ACD" w:rsidRPr="009250C2" w:rsidRDefault="00B37ACD" w:rsidP="0099399A">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Transformer Capacity</w:t>
            </w:r>
            <w:r w:rsidRPr="009250C2">
              <w:rPr>
                <w:rFonts w:ascii="Calibri" w:eastAsia="Times New Roman" w:hAnsi="Calibri" w:cs="Times New Roman"/>
                <w:b/>
                <w:bCs/>
                <w:color w:val="FFFFFF"/>
                <w:lang w:eastAsia="tr-TR" w:bidi="ar-SA"/>
              </w:rPr>
              <w:t xml:space="preserve"> </w:t>
            </w:r>
            <w:r w:rsidRPr="009250C2">
              <w:rPr>
                <w:rFonts w:ascii="Calibri" w:eastAsia="Times New Roman" w:hAnsi="Calibri" w:cs="Times New Roman"/>
                <w:b/>
                <w:bCs/>
                <w:color w:val="FFFFFF"/>
                <w:lang w:eastAsia="tr-TR" w:bidi="ar-SA"/>
              </w:rPr>
              <w:br/>
              <w:t>(MVA)</w:t>
            </w:r>
          </w:p>
        </w:tc>
        <w:tc>
          <w:tcPr>
            <w:tcW w:w="2126" w:type="dxa"/>
            <w:vMerge w:val="restart"/>
            <w:tcBorders>
              <w:top w:val="single" w:sz="8" w:space="0" w:color="auto"/>
              <w:left w:val="single" w:sz="8" w:space="0" w:color="auto"/>
              <w:bottom w:val="nil"/>
              <w:right w:val="single" w:sz="8" w:space="0" w:color="auto"/>
            </w:tcBorders>
            <w:shd w:val="clear" w:color="000000" w:fill="FF0000"/>
            <w:hideMark/>
          </w:tcPr>
          <w:p w:rsidR="00B37ACD" w:rsidRDefault="00B37ACD" w:rsidP="0099399A">
            <w:pPr>
              <w:spacing w:after="0" w:line="240" w:lineRule="auto"/>
              <w:jc w:val="both"/>
              <w:rPr>
                <w:rFonts w:ascii="Calibri" w:eastAsia="Times New Roman" w:hAnsi="Calibri" w:cs="Times New Roman"/>
                <w:b/>
                <w:bCs/>
                <w:color w:val="FFFFFF"/>
                <w:lang w:eastAsia="tr-TR" w:bidi="ar-SA"/>
              </w:rPr>
            </w:pPr>
          </w:p>
          <w:p w:rsidR="00B37ACD" w:rsidRPr="009250C2" w:rsidRDefault="00B37ACD" w:rsidP="0099399A">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Number of Transformers</w:t>
            </w:r>
            <w:r w:rsidRPr="009250C2">
              <w:rPr>
                <w:rFonts w:ascii="Calibri" w:eastAsia="Times New Roman" w:hAnsi="Calibri" w:cs="Times New Roman"/>
                <w:b/>
                <w:bCs/>
                <w:color w:val="FFFFFF"/>
                <w:lang w:eastAsia="tr-TR" w:bidi="ar-SA"/>
              </w:rPr>
              <w:br/>
            </w:r>
          </w:p>
        </w:tc>
      </w:tr>
      <w:tr w:rsidR="00B37ACD" w:rsidRPr="001E2B59" w:rsidTr="00B37ACD">
        <w:trPr>
          <w:trHeight w:val="350"/>
        </w:trPr>
        <w:tc>
          <w:tcPr>
            <w:tcW w:w="2425" w:type="dxa"/>
            <w:vMerge/>
            <w:tcBorders>
              <w:top w:val="single" w:sz="8" w:space="0" w:color="auto"/>
              <w:left w:val="single" w:sz="8" w:space="0" w:color="auto"/>
              <w:bottom w:val="nil"/>
              <w:right w:val="single" w:sz="8" w:space="0" w:color="auto"/>
            </w:tcBorders>
            <w:vAlign w:val="center"/>
            <w:hideMark/>
          </w:tcPr>
          <w:p w:rsidR="00B37ACD" w:rsidRPr="001E2B59" w:rsidRDefault="00B37ACD" w:rsidP="0099399A">
            <w:pPr>
              <w:spacing w:after="0" w:line="240" w:lineRule="auto"/>
              <w:jc w:val="both"/>
              <w:rPr>
                <w:rFonts w:ascii="Calibri" w:eastAsia="Times New Roman" w:hAnsi="Calibri" w:cs="Times New Roman"/>
                <w:b/>
                <w:bCs/>
                <w:color w:val="FFFFFF"/>
                <w:lang w:eastAsia="tr-TR" w:bidi="ar-SA"/>
              </w:rPr>
            </w:pPr>
          </w:p>
        </w:tc>
        <w:tc>
          <w:tcPr>
            <w:tcW w:w="2410" w:type="dxa"/>
            <w:tcBorders>
              <w:top w:val="nil"/>
              <w:left w:val="nil"/>
              <w:bottom w:val="nil"/>
              <w:right w:val="single" w:sz="8" w:space="0" w:color="auto"/>
            </w:tcBorders>
            <w:shd w:val="clear" w:color="000000" w:fill="FF0000"/>
            <w:hideMark/>
          </w:tcPr>
          <w:p w:rsidR="00B37ACD" w:rsidRPr="001E2B59" w:rsidRDefault="00B37ACD" w:rsidP="0099399A">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Line Length</w:t>
            </w:r>
            <w:r w:rsidRPr="001E2B59">
              <w:rPr>
                <w:rFonts w:ascii="Calibri" w:eastAsia="Times New Roman" w:hAnsi="Calibri" w:cs="Times New Roman"/>
                <w:b/>
                <w:bCs/>
                <w:color w:val="FFFFFF"/>
                <w:lang w:eastAsia="tr-TR" w:bidi="ar-SA"/>
              </w:rPr>
              <w:t xml:space="preserve"> (Km)</w:t>
            </w:r>
          </w:p>
        </w:tc>
        <w:tc>
          <w:tcPr>
            <w:tcW w:w="2268" w:type="dxa"/>
            <w:vMerge/>
            <w:tcBorders>
              <w:top w:val="single" w:sz="8" w:space="0" w:color="auto"/>
              <w:left w:val="single" w:sz="8" w:space="0" w:color="auto"/>
              <w:bottom w:val="nil"/>
              <w:right w:val="single" w:sz="8" w:space="0" w:color="auto"/>
            </w:tcBorders>
            <w:vAlign w:val="center"/>
            <w:hideMark/>
          </w:tcPr>
          <w:p w:rsidR="00B37ACD" w:rsidRPr="001E2B59" w:rsidRDefault="00B37ACD" w:rsidP="0099399A">
            <w:pPr>
              <w:spacing w:after="0" w:line="240" w:lineRule="auto"/>
              <w:jc w:val="both"/>
              <w:rPr>
                <w:rFonts w:ascii="Calibri" w:eastAsia="Times New Roman" w:hAnsi="Calibri" w:cs="Times New Roman"/>
                <w:b/>
                <w:bCs/>
                <w:color w:val="FFFFFF"/>
                <w:lang w:eastAsia="tr-TR" w:bidi="ar-SA"/>
              </w:rPr>
            </w:pPr>
          </w:p>
        </w:tc>
        <w:tc>
          <w:tcPr>
            <w:tcW w:w="2126" w:type="dxa"/>
            <w:vMerge/>
            <w:tcBorders>
              <w:top w:val="single" w:sz="8" w:space="0" w:color="auto"/>
              <w:left w:val="single" w:sz="8" w:space="0" w:color="auto"/>
              <w:bottom w:val="nil"/>
              <w:right w:val="single" w:sz="8" w:space="0" w:color="auto"/>
            </w:tcBorders>
            <w:vAlign w:val="center"/>
            <w:hideMark/>
          </w:tcPr>
          <w:p w:rsidR="00B37ACD" w:rsidRPr="001E2B59" w:rsidRDefault="00B37ACD" w:rsidP="0099399A">
            <w:pPr>
              <w:spacing w:after="0" w:line="240" w:lineRule="auto"/>
              <w:jc w:val="both"/>
              <w:rPr>
                <w:rFonts w:ascii="Calibri" w:eastAsia="Times New Roman" w:hAnsi="Calibri" w:cs="Times New Roman"/>
                <w:b/>
                <w:bCs/>
                <w:color w:val="FFFFFF"/>
                <w:lang w:eastAsia="tr-TR" w:bidi="ar-SA"/>
              </w:rPr>
            </w:pP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ADM</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67.706</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8.167</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21.623</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AKDENİZ</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65.174</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7.307</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18.963</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AKEDAŞ</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26.300</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3.406</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11.991</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ARAS</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56.627</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2.978</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13.585</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BAŞKENT</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111.968</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14.474</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32.438</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BOĞAZİÇİ</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47.369</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17.747</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14.752</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ÇAMLIBEL</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45.629</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2.549</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12.083</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ÇORUH</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59.014</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3.073</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12.062</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 xml:space="preserve">DİCLE </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73.779</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12.131</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62.086</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 xml:space="preserve">FIRAT </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47.239</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3.136</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12.358</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GDZ</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55.999</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14.421</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32.140</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C15D06">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 xml:space="preserve">İ. </w:t>
            </w:r>
            <w:r w:rsidR="00C15D06">
              <w:rPr>
                <w:rFonts w:ascii="Calibri" w:eastAsia="Times New Roman" w:hAnsi="Calibri" w:cs="Times New Roman"/>
                <w:color w:val="FFFFFF"/>
                <w:lang w:eastAsia="tr-TR" w:bidi="ar-SA"/>
              </w:rPr>
              <w:t>ANATOLİAN</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24.340</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8.870</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7.563</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 xml:space="preserve">KAYSERİ VE CİVARI </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24.376</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2.505</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7.583</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MERAM</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86.297</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11.198</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54.517</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OSMANGAZİ</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46.374</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6.469</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23.974</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SAKARYA</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36.784</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7.705</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16.806</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TOROSLAR</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90.673</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15.092</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45.702</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TRAKYA</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24.700</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4.901</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11.139</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ULUDAĞ</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49.764</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8.726</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24.589</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VANGÖLÜ</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40.860</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2.816</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10.927</w:t>
            </w:r>
          </w:p>
        </w:tc>
      </w:tr>
      <w:tr w:rsidR="00B37ACD" w:rsidRPr="001E2B59" w:rsidTr="00B37ACD">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YEŞİLIRMAK</w:t>
            </w:r>
          </w:p>
        </w:tc>
        <w:tc>
          <w:tcPr>
            <w:tcW w:w="2410"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83.199</w:t>
            </w:r>
          </w:p>
        </w:tc>
        <w:tc>
          <w:tcPr>
            <w:tcW w:w="2268"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4.697</w:t>
            </w:r>
          </w:p>
        </w:tc>
        <w:tc>
          <w:tcPr>
            <w:tcW w:w="2126" w:type="dxa"/>
            <w:tcBorders>
              <w:top w:val="nil"/>
              <w:left w:val="nil"/>
              <w:bottom w:val="single" w:sz="8" w:space="0" w:color="auto"/>
              <w:right w:val="single" w:sz="8" w:space="0" w:color="auto"/>
            </w:tcBorders>
            <w:shd w:val="clear" w:color="auto" w:fill="auto"/>
            <w:noWrap/>
            <w:vAlign w:val="center"/>
            <w:hideMark/>
          </w:tcPr>
          <w:p w:rsidR="00B37ACD" w:rsidRPr="001E2B59" w:rsidRDefault="00B37ACD"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21.874</w:t>
            </w:r>
          </w:p>
        </w:tc>
      </w:tr>
      <w:tr w:rsidR="00B37ACD" w:rsidRPr="001E2B59" w:rsidTr="00B37ACD">
        <w:trPr>
          <w:trHeight w:val="65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c>
          <w:tcPr>
            <w:tcW w:w="2410" w:type="dxa"/>
            <w:tcBorders>
              <w:top w:val="nil"/>
              <w:left w:val="nil"/>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1.164.170</w:t>
            </w:r>
          </w:p>
        </w:tc>
        <w:tc>
          <w:tcPr>
            <w:tcW w:w="2268" w:type="dxa"/>
            <w:tcBorders>
              <w:top w:val="nil"/>
              <w:left w:val="nil"/>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162.367</w:t>
            </w:r>
          </w:p>
        </w:tc>
        <w:tc>
          <w:tcPr>
            <w:tcW w:w="2126" w:type="dxa"/>
            <w:tcBorders>
              <w:top w:val="nil"/>
              <w:left w:val="nil"/>
              <w:bottom w:val="single" w:sz="8" w:space="0" w:color="auto"/>
              <w:right w:val="single" w:sz="8" w:space="0" w:color="auto"/>
            </w:tcBorders>
            <w:shd w:val="clear" w:color="000000" w:fill="FF5050"/>
            <w:noWrap/>
            <w:vAlign w:val="center"/>
            <w:hideMark/>
          </w:tcPr>
          <w:p w:rsidR="00B37ACD" w:rsidRPr="001E2B59" w:rsidRDefault="00B37ACD" w:rsidP="0099399A">
            <w:pPr>
              <w:spacing w:after="0" w:line="240" w:lineRule="auto"/>
              <w:jc w:val="both"/>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468.755</w:t>
            </w:r>
          </w:p>
        </w:tc>
      </w:tr>
    </w:tbl>
    <w:p w:rsidR="001A30A9" w:rsidRDefault="001A30A9" w:rsidP="0099399A">
      <w:pPr>
        <w:jc w:val="both"/>
      </w:pPr>
    </w:p>
    <w:p w:rsidR="00B37ACD" w:rsidRDefault="00B37ACD" w:rsidP="0099399A">
      <w:pPr>
        <w:jc w:val="both"/>
      </w:pPr>
    </w:p>
    <w:p w:rsidR="00B37ACD" w:rsidRDefault="00B37ACD" w:rsidP="0099399A">
      <w:pPr>
        <w:jc w:val="both"/>
      </w:pPr>
    </w:p>
    <w:p w:rsidR="00B37ACD" w:rsidRDefault="00B37ACD" w:rsidP="0099399A">
      <w:pPr>
        <w:jc w:val="both"/>
      </w:pPr>
    </w:p>
    <w:p w:rsidR="00B37ACD" w:rsidRDefault="00B37ACD" w:rsidP="0099399A">
      <w:pPr>
        <w:jc w:val="both"/>
      </w:pPr>
    </w:p>
    <w:p w:rsidR="00B37ACD" w:rsidRDefault="00B37ACD" w:rsidP="0099399A">
      <w:pPr>
        <w:jc w:val="both"/>
      </w:pPr>
    </w:p>
    <w:p w:rsidR="00B37ACD" w:rsidRDefault="00B37ACD" w:rsidP="0099399A">
      <w:pPr>
        <w:jc w:val="both"/>
      </w:pPr>
    </w:p>
    <w:p w:rsidR="00B37ACD" w:rsidRDefault="00B37ACD" w:rsidP="0099399A">
      <w:pPr>
        <w:jc w:val="both"/>
      </w:pPr>
    </w:p>
    <w:p w:rsidR="00E84EB3" w:rsidRDefault="00E84EB3" w:rsidP="00A64337">
      <w:pPr>
        <w:pStyle w:val="Balk2"/>
      </w:pPr>
      <w:bookmarkStart w:id="815" w:name="_Toc494988676"/>
      <w:bookmarkStart w:id="816" w:name="_Toc520822144"/>
      <w:bookmarkStart w:id="817" w:name="_Toc10123943"/>
      <w:bookmarkStart w:id="818" w:name="_Toc12526316"/>
      <w:bookmarkStart w:id="819" w:name="_Toc12535911"/>
      <w:r>
        <w:lastRenderedPageBreak/>
        <w:t>Figure 5.4</w:t>
      </w:r>
      <w:r w:rsidRPr="00B3520C">
        <w:t xml:space="preserve">: </w:t>
      </w:r>
      <w:r w:rsidRPr="00CC23A5">
        <w:t>Line Lengths and Transformer Capacities on the Basis of</w:t>
      </w:r>
      <w:bookmarkEnd w:id="815"/>
      <w:bookmarkEnd w:id="816"/>
      <w:bookmarkEnd w:id="817"/>
      <w:bookmarkEnd w:id="818"/>
      <w:bookmarkEnd w:id="819"/>
    </w:p>
    <w:p w:rsidR="00E84EB3" w:rsidRDefault="00E84EB3" w:rsidP="00A64337">
      <w:pPr>
        <w:pStyle w:val="Balk2"/>
      </w:pPr>
      <w:bookmarkStart w:id="820" w:name="_Toc494988677"/>
      <w:bookmarkStart w:id="821" w:name="_Toc520822145"/>
      <w:bookmarkStart w:id="822" w:name="_Toc10123944"/>
      <w:bookmarkStart w:id="823" w:name="_Toc12526317"/>
      <w:bookmarkStart w:id="824" w:name="_Toc12535912"/>
      <w:r w:rsidRPr="00CC23A5">
        <w:t xml:space="preserve">Distribution Companies at the </w:t>
      </w:r>
      <w:r>
        <w:t xml:space="preserve">end of 2018 </w:t>
      </w:r>
      <w:r w:rsidRPr="00CC23A5">
        <w:t>(Km-MVA)</w:t>
      </w:r>
      <w:bookmarkEnd w:id="820"/>
      <w:bookmarkEnd w:id="821"/>
      <w:bookmarkEnd w:id="822"/>
      <w:bookmarkEnd w:id="823"/>
      <w:bookmarkEnd w:id="824"/>
    </w:p>
    <w:p w:rsidR="00E84EB3" w:rsidRDefault="00E84EB3" w:rsidP="00A64337">
      <w:pPr>
        <w:jc w:val="center"/>
      </w:pPr>
      <w:r>
        <w:rPr>
          <w:noProof/>
          <w:lang w:bidi="ar-SA"/>
        </w:rPr>
        <w:drawing>
          <wp:inline distT="0" distB="0" distL="0" distR="0" wp14:anchorId="7C524555" wp14:editId="7B3AD8F1">
            <wp:extent cx="5753100" cy="3324225"/>
            <wp:effectExtent l="0" t="0" r="0"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53100" cy="3324225"/>
                    </a:xfrm>
                    <a:prstGeom prst="rect">
                      <a:avLst/>
                    </a:prstGeom>
                    <a:noFill/>
                    <a:ln>
                      <a:noFill/>
                    </a:ln>
                  </pic:spPr>
                </pic:pic>
              </a:graphicData>
            </a:graphic>
          </wp:inline>
        </w:drawing>
      </w:r>
    </w:p>
    <w:p w:rsidR="00E84EB3" w:rsidRPr="00C15D06" w:rsidRDefault="00E84EB3" w:rsidP="0099399A">
      <w:pPr>
        <w:spacing w:line="360" w:lineRule="auto"/>
        <w:jc w:val="both"/>
        <w:rPr>
          <w:rFonts w:ascii="Times New Roman" w:hAnsi="Times New Roman" w:cs="Times New Roman"/>
          <w:sz w:val="24"/>
          <w:szCs w:val="24"/>
        </w:rPr>
      </w:pPr>
      <w:r w:rsidRPr="00C15D06">
        <w:rPr>
          <w:rFonts w:ascii="Times New Roman" w:hAnsi="Times New Roman" w:cs="Times New Roman"/>
          <w:sz w:val="24"/>
          <w:szCs w:val="24"/>
        </w:rPr>
        <w:t>The lengths of distribution lines are shown in Table 5.5. As seen in the table, 81,98 % of the total distribution lines was overhead lines. The share of underground lines in total distribution lines was 18,02 %. This indicates that the distribution lines were open to external influence. The external effects could be natural, climate or human originated disasters such as extreme precipitations, storms etc. could directly or indirectly damage distribution lines.</w:t>
      </w:r>
    </w:p>
    <w:p w:rsidR="00E84EB3" w:rsidRDefault="00E84EB3" w:rsidP="00A64337">
      <w:pPr>
        <w:pStyle w:val="Balk1"/>
      </w:pPr>
      <w:bookmarkStart w:id="825" w:name="_Toc520822068"/>
      <w:bookmarkStart w:id="826" w:name="_Toc10123945"/>
      <w:bookmarkStart w:id="827" w:name="_Toc10191448"/>
      <w:bookmarkStart w:id="828" w:name="_Toc12526318"/>
      <w:r>
        <w:rPr>
          <w:rFonts w:eastAsiaTheme="minorEastAsia"/>
        </w:rPr>
        <w:t>Table</w:t>
      </w:r>
      <w:r w:rsidRPr="005036E7">
        <w:rPr>
          <w:rFonts w:eastAsiaTheme="minorEastAsia"/>
        </w:rPr>
        <w:t xml:space="preserve"> </w:t>
      </w:r>
      <w:r w:rsidRPr="005036E7">
        <w:rPr>
          <w:rFonts w:eastAsiaTheme="minorEastAsia"/>
        </w:rPr>
        <w:fldChar w:fldCharType="begin"/>
      </w:r>
      <w:r w:rsidRPr="005036E7">
        <w:rPr>
          <w:rFonts w:eastAsiaTheme="minorEastAsia"/>
        </w:rPr>
        <w:instrText xml:space="preserve"> STYLEREF 1 \s </w:instrText>
      </w:r>
      <w:r w:rsidRPr="005036E7">
        <w:rPr>
          <w:rFonts w:eastAsiaTheme="minorEastAsia"/>
        </w:rPr>
        <w:fldChar w:fldCharType="separate"/>
      </w:r>
      <w:r w:rsidRPr="005036E7">
        <w:rPr>
          <w:rFonts w:eastAsiaTheme="minorEastAsia"/>
          <w:noProof/>
        </w:rPr>
        <w:t>5</w:t>
      </w:r>
      <w:r w:rsidRPr="005036E7">
        <w:rPr>
          <w:rFonts w:eastAsiaTheme="minorEastAsia"/>
        </w:rPr>
        <w:fldChar w:fldCharType="end"/>
      </w:r>
      <w:r w:rsidRPr="005036E7">
        <w:rPr>
          <w:rFonts w:eastAsiaTheme="minorEastAsia"/>
        </w:rPr>
        <w:t>.5:</w:t>
      </w:r>
      <w:r w:rsidRPr="005036E7">
        <w:t xml:space="preserve"> </w:t>
      </w:r>
      <w:r w:rsidRPr="005036E7">
        <w:rPr>
          <w:rFonts w:asciiTheme="minorHAnsi" w:hAnsiTheme="minorHAnsi" w:cstheme="minorHAnsi"/>
          <w:szCs w:val="24"/>
        </w:rPr>
        <w:t xml:space="preserve">The Lengths of Distribution Lines </w:t>
      </w:r>
      <w:r w:rsidRPr="005036E7">
        <w:t>(Km)</w:t>
      </w:r>
      <w:bookmarkEnd w:id="825"/>
      <w:bookmarkEnd w:id="826"/>
      <w:bookmarkEnd w:id="827"/>
      <w:bookmarkEnd w:id="828"/>
    </w:p>
    <w:tbl>
      <w:tblPr>
        <w:tblW w:w="8379" w:type="dxa"/>
        <w:tblInd w:w="55" w:type="dxa"/>
        <w:tblCellMar>
          <w:left w:w="70" w:type="dxa"/>
          <w:right w:w="70" w:type="dxa"/>
        </w:tblCellMar>
        <w:tblLook w:val="04A0" w:firstRow="1" w:lastRow="0" w:firstColumn="1" w:lastColumn="0" w:noHBand="0" w:noVBand="1"/>
      </w:tblPr>
      <w:tblGrid>
        <w:gridCol w:w="2425"/>
        <w:gridCol w:w="1843"/>
        <w:gridCol w:w="1984"/>
        <w:gridCol w:w="2127"/>
      </w:tblGrid>
      <w:tr w:rsidR="00E84EB3" w:rsidRPr="001200B8" w:rsidTr="004C7560">
        <w:trPr>
          <w:trHeight w:val="315"/>
          <w:tblHeader/>
        </w:trPr>
        <w:tc>
          <w:tcPr>
            <w:tcW w:w="24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84EB3" w:rsidRPr="001200B8" w:rsidRDefault="00E84EB3" w:rsidP="0099399A">
            <w:pPr>
              <w:spacing w:after="0" w:line="240" w:lineRule="auto"/>
              <w:jc w:val="both"/>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Distribution Company</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E84EB3" w:rsidRPr="00F4224A" w:rsidRDefault="00E84EB3" w:rsidP="0099399A">
            <w:pPr>
              <w:spacing w:after="0" w:line="240" w:lineRule="auto"/>
              <w:jc w:val="both"/>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Overhead</w:t>
            </w:r>
            <w:r w:rsidRPr="00F4224A">
              <w:rPr>
                <w:rFonts w:ascii="Times New Roman" w:eastAsia="Times New Roman" w:hAnsi="Times New Roman" w:cs="Times New Roman"/>
                <w:b/>
                <w:bCs/>
                <w:color w:val="FFFFFF"/>
                <w:lang w:eastAsia="tr-TR" w:bidi="ar-SA"/>
              </w:rPr>
              <w:t>(Km)</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rsidR="00E84EB3" w:rsidRPr="00F4224A" w:rsidRDefault="00E84EB3" w:rsidP="0099399A">
            <w:pPr>
              <w:spacing w:after="0" w:line="240" w:lineRule="auto"/>
              <w:jc w:val="both"/>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Underground</w:t>
            </w:r>
            <w:r w:rsidRPr="00F4224A">
              <w:rPr>
                <w:rFonts w:ascii="Times New Roman" w:eastAsia="Times New Roman" w:hAnsi="Times New Roman" w:cs="Times New Roman"/>
                <w:b/>
                <w:bCs/>
                <w:color w:val="FFFFFF"/>
                <w:lang w:eastAsia="tr-TR" w:bidi="ar-SA"/>
              </w:rPr>
              <w:t xml:space="preserve"> (Km)</w:t>
            </w:r>
          </w:p>
        </w:tc>
        <w:tc>
          <w:tcPr>
            <w:tcW w:w="2127" w:type="dxa"/>
            <w:tcBorders>
              <w:top w:val="single" w:sz="8" w:space="0" w:color="auto"/>
              <w:left w:val="nil"/>
              <w:bottom w:val="single" w:sz="8" w:space="0" w:color="auto"/>
              <w:right w:val="single" w:sz="8" w:space="0" w:color="auto"/>
            </w:tcBorders>
            <w:shd w:val="clear" w:color="000000" w:fill="FF0000"/>
            <w:noWrap/>
            <w:vAlign w:val="center"/>
            <w:hideMark/>
          </w:tcPr>
          <w:p w:rsidR="00E84EB3" w:rsidRPr="00F4224A" w:rsidRDefault="00E84EB3" w:rsidP="0099399A">
            <w:pPr>
              <w:spacing w:after="0" w:line="240" w:lineRule="auto"/>
              <w:jc w:val="both"/>
              <w:rPr>
                <w:rFonts w:ascii="Times New Roman" w:eastAsia="Times New Roman" w:hAnsi="Times New Roman" w:cs="Times New Roman"/>
                <w:b/>
                <w:bCs/>
                <w:color w:val="FFFFFF"/>
                <w:lang w:eastAsia="tr-TR" w:bidi="ar-SA"/>
              </w:rPr>
            </w:pPr>
            <w:r w:rsidRPr="00F4224A">
              <w:rPr>
                <w:rFonts w:ascii="Times New Roman" w:eastAsia="Times New Roman" w:hAnsi="Times New Roman" w:cs="Times New Roman"/>
                <w:b/>
                <w:bCs/>
                <w:color w:val="FFFFFF"/>
                <w:lang w:eastAsia="tr-TR" w:bidi="ar-SA"/>
              </w:rPr>
              <w:t>To</w:t>
            </w:r>
            <w:r>
              <w:rPr>
                <w:rFonts w:ascii="Times New Roman" w:eastAsia="Times New Roman" w:hAnsi="Times New Roman" w:cs="Times New Roman"/>
                <w:b/>
                <w:bCs/>
                <w:color w:val="FFFFFF"/>
                <w:lang w:eastAsia="tr-TR" w:bidi="ar-SA"/>
              </w:rPr>
              <w:t>tal</w:t>
            </w:r>
            <w:r w:rsidRPr="00F4224A">
              <w:rPr>
                <w:rFonts w:ascii="Times New Roman" w:eastAsia="Times New Roman" w:hAnsi="Times New Roman" w:cs="Times New Roman"/>
                <w:b/>
                <w:bCs/>
                <w:color w:val="FFFFFF"/>
                <w:lang w:eastAsia="tr-TR" w:bidi="ar-SA"/>
              </w:rPr>
              <w:t xml:space="preserve"> (Km)</w:t>
            </w:r>
          </w:p>
        </w:tc>
      </w:tr>
      <w:tr w:rsidR="00E84EB3" w:rsidRPr="001200B8" w:rsidTr="00C14C79">
        <w:trPr>
          <w:trHeight w:val="22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ADM</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58.759</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8.947</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67.706</w:t>
            </w:r>
          </w:p>
        </w:tc>
      </w:tr>
      <w:tr w:rsidR="00E84EB3" w:rsidRPr="001200B8" w:rsidTr="00C14C79">
        <w:trPr>
          <w:trHeight w:val="189"/>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AKDENİZ</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50.273</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14.901</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65.174</w:t>
            </w:r>
          </w:p>
        </w:tc>
      </w:tr>
      <w:tr w:rsidR="00E84EB3" w:rsidRPr="001200B8" w:rsidTr="00C14C79">
        <w:trPr>
          <w:trHeight w:val="26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AKEDAŞ</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23.463</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2.836</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26.300</w:t>
            </w:r>
          </w:p>
        </w:tc>
      </w:tr>
      <w:tr w:rsidR="00E84EB3" w:rsidRPr="001200B8" w:rsidTr="00C14C79">
        <w:trPr>
          <w:trHeight w:val="21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ARAS</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51.481</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5.147</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56.627</w:t>
            </w:r>
          </w:p>
        </w:tc>
      </w:tr>
      <w:tr w:rsidR="00E84EB3" w:rsidRPr="001200B8" w:rsidTr="00C14C79">
        <w:trPr>
          <w:trHeight w:val="17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BAŞKENT</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90.479</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21.488</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111.968</w:t>
            </w:r>
          </w:p>
        </w:tc>
      </w:tr>
      <w:tr w:rsidR="00E84EB3" w:rsidRPr="001200B8" w:rsidTr="00C14C79">
        <w:trPr>
          <w:trHeight w:val="10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BOĞAZİÇİ</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11.915</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35.454</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47.369</w:t>
            </w:r>
          </w:p>
        </w:tc>
      </w:tr>
      <w:tr w:rsidR="00E84EB3" w:rsidRPr="001200B8" w:rsidTr="00C14C79">
        <w:trPr>
          <w:trHeight w:val="198"/>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ÇAMLIBEL</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40.491</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5.138</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45.629</w:t>
            </w:r>
          </w:p>
        </w:tc>
      </w:tr>
      <w:tr w:rsidR="00E84EB3" w:rsidRPr="001200B8" w:rsidTr="00C14C79">
        <w:trPr>
          <w:trHeight w:val="1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ÇORUH</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54.308</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4.706</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59.014</w:t>
            </w:r>
          </w:p>
        </w:tc>
      </w:tr>
      <w:tr w:rsidR="00E84EB3" w:rsidRPr="001200B8" w:rsidTr="00C14C79">
        <w:trPr>
          <w:trHeight w:val="236"/>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 xml:space="preserve">DİCLE </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64.706</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9.073</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73.779</w:t>
            </w:r>
          </w:p>
        </w:tc>
      </w:tr>
      <w:tr w:rsidR="00E84EB3" w:rsidRPr="001200B8" w:rsidTr="00C14C79">
        <w:trPr>
          <w:trHeight w:val="18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 xml:space="preserve">FIRAT </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43.229</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4.010</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47.239</w:t>
            </w:r>
          </w:p>
        </w:tc>
      </w:tr>
      <w:tr w:rsidR="00E84EB3" w:rsidRPr="001200B8" w:rsidTr="00C14C79">
        <w:trPr>
          <w:trHeight w:val="146"/>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GDZ</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45.730</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10.269</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55.999</w:t>
            </w:r>
          </w:p>
        </w:tc>
      </w:tr>
      <w:tr w:rsidR="00E84EB3" w:rsidRPr="001200B8" w:rsidTr="00C14C79">
        <w:trPr>
          <w:trHeight w:val="222"/>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C15D06">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 xml:space="preserve">İ. </w:t>
            </w:r>
            <w:r w:rsidR="00C15D06">
              <w:rPr>
                <w:rFonts w:ascii="Calibri" w:eastAsia="Times New Roman" w:hAnsi="Calibri" w:cs="Times New Roman"/>
                <w:color w:val="FFFFFF"/>
                <w:lang w:eastAsia="tr-TR" w:bidi="ar-SA"/>
              </w:rPr>
              <w:t>ANATOLİAN</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5.609</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18.731</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24.340</w:t>
            </w:r>
          </w:p>
        </w:tc>
      </w:tr>
      <w:tr w:rsidR="00E84EB3" w:rsidRPr="001200B8" w:rsidTr="00C14C79">
        <w:trPr>
          <w:trHeight w:val="18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 xml:space="preserve">KAYSERİ VE CİVARI </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18.400</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5.976</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24.376</w:t>
            </w:r>
          </w:p>
        </w:tc>
      </w:tr>
      <w:tr w:rsidR="00E84EB3" w:rsidRPr="001200B8" w:rsidTr="00C14C79">
        <w:trPr>
          <w:trHeight w:val="27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MERAM</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77.996</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8.302</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86.297</w:t>
            </w:r>
          </w:p>
        </w:tc>
      </w:tr>
      <w:tr w:rsidR="00E84EB3" w:rsidRPr="001200B8" w:rsidTr="00C14C79">
        <w:trPr>
          <w:trHeight w:val="209"/>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OSMANGAZİ</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40.958</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5.416</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46.374</w:t>
            </w:r>
          </w:p>
        </w:tc>
      </w:tr>
      <w:tr w:rsidR="00E84EB3" w:rsidRPr="001200B8" w:rsidTr="00C14C79">
        <w:trPr>
          <w:trHeight w:val="17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lastRenderedPageBreak/>
              <w:t>SAKARYA</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30.782</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6.001</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36.784</w:t>
            </w:r>
          </w:p>
        </w:tc>
      </w:tr>
      <w:tr w:rsidR="00E84EB3" w:rsidRPr="001200B8" w:rsidTr="00C14C79">
        <w:trPr>
          <w:trHeight w:val="26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TOROSLAR</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78.364</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12.308</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90.673</w:t>
            </w:r>
          </w:p>
        </w:tc>
      </w:tr>
      <w:tr w:rsidR="00E84EB3" w:rsidRPr="001200B8" w:rsidTr="00C14C79">
        <w:trPr>
          <w:trHeight w:val="194"/>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TRAKYA</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20.711</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3.989</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24.700</w:t>
            </w:r>
          </w:p>
        </w:tc>
      </w:tr>
      <w:tr w:rsidR="00E84EB3" w:rsidRPr="001200B8" w:rsidTr="00C14C79">
        <w:trPr>
          <w:trHeight w:val="156"/>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ULUDAĞ</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38.671</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11.093</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49.764</w:t>
            </w:r>
          </w:p>
        </w:tc>
      </w:tr>
      <w:tr w:rsidR="00E84EB3" w:rsidRPr="001200B8" w:rsidTr="00C14C79">
        <w:trPr>
          <w:trHeight w:val="247"/>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VANGÖLÜ</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38.675</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2.185</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40.860</w:t>
            </w:r>
          </w:p>
        </w:tc>
      </w:tr>
      <w:tr w:rsidR="00E84EB3" w:rsidRPr="001200B8" w:rsidTr="00C14C79">
        <w:trPr>
          <w:trHeight w:val="180"/>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color w:val="FFFFFF"/>
                <w:lang w:eastAsia="tr-TR" w:bidi="ar-SA"/>
              </w:rPr>
            </w:pPr>
            <w:r w:rsidRPr="001200B8">
              <w:rPr>
                <w:rFonts w:ascii="Calibri" w:eastAsia="Times New Roman" w:hAnsi="Calibri" w:cs="Times New Roman"/>
                <w:color w:val="FFFFFF"/>
                <w:lang w:eastAsia="tr-TR" w:bidi="ar-SA"/>
              </w:rPr>
              <w:t>YEŞİLIRMAK</w:t>
            </w:r>
          </w:p>
        </w:tc>
        <w:tc>
          <w:tcPr>
            <w:tcW w:w="1843"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69.410</w:t>
            </w:r>
          </w:p>
        </w:tc>
        <w:tc>
          <w:tcPr>
            <w:tcW w:w="1984"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Calibri" w:eastAsia="Times New Roman" w:hAnsi="Calibri" w:cs="Times New Roman"/>
                <w:color w:val="000000"/>
                <w:lang w:eastAsia="tr-TR" w:bidi="ar-SA"/>
              </w:rPr>
            </w:pPr>
            <w:r w:rsidRPr="001200B8">
              <w:rPr>
                <w:rFonts w:ascii="Calibri" w:eastAsia="Times New Roman" w:hAnsi="Calibri" w:cs="Times New Roman"/>
                <w:color w:val="000000"/>
                <w:lang w:eastAsia="tr-TR" w:bidi="ar-SA"/>
              </w:rPr>
              <w:t>13.789</w:t>
            </w:r>
          </w:p>
        </w:tc>
        <w:tc>
          <w:tcPr>
            <w:tcW w:w="2127" w:type="dxa"/>
            <w:tcBorders>
              <w:top w:val="nil"/>
              <w:left w:val="nil"/>
              <w:bottom w:val="single" w:sz="8" w:space="0" w:color="auto"/>
              <w:right w:val="single" w:sz="8" w:space="0" w:color="auto"/>
            </w:tcBorders>
            <w:shd w:val="clear" w:color="auto" w:fill="auto"/>
            <w:noWrap/>
            <w:vAlign w:val="center"/>
            <w:hideMark/>
          </w:tcPr>
          <w:p w:rsidR="00E84EB3" w:rsidRPr="001200B8" w:rsidRDefault="00E84EB3" w:rsidP="0099399A">
            <w:pPr>
              <w:spacing w:after="0" w:line="240" w:lineRule="auto"/>
              <w:jc w:val="both"/>
              <w:rPr>
                <w:rFonts w:ascii="Times New Roman" w:eastAsia="Times New Roman" w:hAnsi="Times New Roman" w:cs="Times New Roman"/>
                <w:color w:val="000000"/>
                <w:lang w:eastAsia="tr-TR" w:bidi="ar-SA"/>
              </w:rPr>
            </w:pPr>
            <w:r w:rsidRPr="001200B8">
              <w:rPr>
                <w:rFonts w:ascii="Times New Roman" w:eastAsia="Times New Roman" w:hAnsi="Times New Roman" w:cs="Times New Roman"/>
                <w:color w:val="000000"/>
                <w:lang w:eastAsia="tr-TR" w:bidi="ar-SA"/>
              </w:rPr>
              <w:t>83.199</w:t>
            </w:r>
          </w:p>
        </w:tc>
      </w:tr>
      <w:tr w:rsidR="00E84EB3" w:rsidRPr="001200B8"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c>
          <w:tcPr>
            <w:tcW w:w="1843" w:type="dxa"/>
            <w:tcBorders>
              <w:top w:val="nil"/>
              <w:left w:val="nil"/>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b/>
                <w:bCs/>
                <w:color w:val="FFFFFF"/>
                <w:lang w:eastAsia="tr-TR" w:bidi="ar-SA"/>
              </w:rPr>
            </w:pPr>
            <w:r w:rsidRPr="001200B8">
              <w:rPr>
                <w:rFonts w:ascii="Calibri" w:eastAsia="Times New Roman" w:hAnsi="Calibri" w:cs="Times New Roman"/>
                <w:b/>
                <w:bCs/>
                <w:color w:val="FFFFFF"/>
                <w:lang w:eastAsia="tr-TR" w:bidi="ar-SA"/>
              </w:rPr>
              <w:t>954.411</w:t>
            </w:r>
          </w:p>
        </w:tc>
        <w:tc>
          <w:tcPr>
            <w:tcW w:w="1984" w:type="dxa"/>
            <w:tcBorders>
              <w:top w:val="nil"/>
              <w:left w:val="nil"/>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b/>
                <w:bCs/>
                <w:color w:val="FFFFFF"/>
                <w:lang w:eastAsia="tr-TR" w:bidi="ar-SA"/>
              </w:rPr>
            </w:pPr>
            <w:r w:rsidRPr="001200B8">
              <w:rPr>
                <w:rFonts w:ascii="Calibri" w:eastAsia="Times New Roman" w:hAnsi="Calibri" w:cs="Times New Roman"/>
                <w:b/>
                <w:bCs/>
                <w:color w:val="FFFFFF"/>
                <w:lang w:eastAsia="tr-TR" w:bidi="ar-SA"/>
              </w:rPr>
              <w:t>209.759</w:t>
            </w:r>
          </w:p>
        </w:tc>
        <w:tc>
          <w:tcPr>
            <w:tcW w:w="2127" w:type="dxa"/>
            <w:tcBorders>
              <w:top w:val="nil"/>
              <w:left w:val="nil"/>
              <w:bottom w:val="single" w:sz="8" w:space="0" w:color="auto"/>
              <w:right w:val="single" w:sz="8" w:space="0" w:color="auto"/>
            </w:tcBorders>
            <w:shd w:val="clear" w:color="000000" w:fill="FF5050"/>
            <w:noWrap/>
            <w:vAlign w:val="center"/>
            <w:hideMark/>
          </w:tcPr>
          <w:p w:rsidR="00E84EB3" w:rsidRPr="001200B8" w:rsidRDefault="00E84EB3" w:rsidP="0099399A">
            <w:pPr>
              <w:spacing w:after="0" w:line="240" w:lineRule="auto"/>
              <w:jc w:val="both"/>
              <w:rPr>
                <w:rFonts w:ascii="Calibri" w:eastAsia="Times New Roman" w:hAnsi="Calibri" w:cs="Times New Roman"/>
                <w:b/>
                <w:bCs/>
                <w:color w:val="FFFFFF"/>
                <w:lang w:eastAsia="tr-TR" w:bidi="ar-SA"/>
              </w:rPr>
            </w:pPr>
            <w:r w:rsidRPr="001200B8">
              <w:rPr>
                <w:rFonts w:ascii="Calibri" w:eastAsia="Times New Roman" w:hAnsi="Calibri" w:cs="Times New Roman"/>
                <w:b/>
                <w:bCs/>
                <w:color w:val="FFFFFF"/>
                <w:lang w:eastAsia="tr-TR" w:bidi="ar-SA"/>
              </w:rPr>
              <w:t>1.164.170</w:t>
            </w:r>
          </w:p>
        </w:tc>
      </w:tr>
    </w:tbl>
    <w:p w:rsidR="00E84EB3" w:rsidRPr="00E84EB3" w:rsidRDefault="00E84EB3" w:rsidP="0099399A">
      <w:pPr>
        <w:jc w:val="both"/>
      </w:pPr>
    </w:p>
    <w:p w:rsidR="00E84EB3" w:rsidRPr="00B3520C" w:rsidRDefault="00E84EB3" w:rsidP="00A64337">
      <w:pPr>
        <w:pStyle w:val="Balk2"/>
      </w:pPr>
      <w:bookmarkStart w:id="829" w:name="_Toc494988678"/>
      <w:bookmarkStart w:id="830" w:name="_Toc520822146"/>
      <w:bookmarkStart w:id="831" w:name="_Toc10123946"/>
      <w:bookmarkStart w:id="832" w:name="_Toc12526319"/>
      <w:bookmarkStart w:id="833" w:name="_Toc12535913"/>
      <w:r>
        <w:t>F</w:t>
      </w:r>
      <w:r w:rsidRPr="00B3520C">
        <w:t>igure</w:t>
      </w:r>
      <w:r>
        <w:t xml:space="preserve"> 5</w:t>
      </w:r>
      <w:r w:rsidRPr="00B3520C">
        <w:t xml:space="preserve">.5: </w:t>
      </w:r>
      <w:r>
        <w:t>The Length</w:t>
      </w:r>
      <w:r w:rsidRPr="00CC23A5">
        <w:t xml:space="preserve"> </w:t>
      </w:r>
      <w:r>
        <w:t xml:space="preserve">of </w:t>
      </w:r>
      <w:r w:rsidRPr="00CC23A5">
        <w:t>Line</w:t>
      </w:r>
      <w:r>
        <w:t>s</w:t>
      </w:r>
      <w:r w:rsidRPr="00CC23A5">
        <w:t xml:space="preserve"> on the Basis of Distribution Companies at the </w:t>
      </w:r>
      <w:r>
        <w:t>end of 2018</w:t>
      </w:r>
      <w:r w:rsidRPr="00CC23A5">
        <w:t>(Km)</w:t>
      </w:r>
      <w:bookmarkEnd w:id="829"/>
      <w:bookmarkEnd w:id="830"/>
      <w:bookmarkEnd w:id="831"/>
      <w:bookmarkEnd w:id="832"/>
      <w:bookmarkEnd w:id="833"/>
    </w:p>
    <w:p w:rsidR="00E84EB3" w:rsidRPr="00F922E9" w:rsidRDefault="00E84EB3" w:rsidP="00A64337">
      <w:pPr>
        <w:spacing w:line="360" w:lineRule="auto"/>
        <w:jc w:val="center"/>
        <w:rPr>
          <w:rFonts w:asciiTheme="minorHAnsi" w:hAnsiTheme="minorHAnsi" w:cstheme="minorHAnsi"/>
          <w:sz w:val="24"/>
          <w:szCs w:val="24"/>
        </w:rPr>
      </w:pPr>
      <w:r>
        <w:rPr>
          <w:noProof/>
          <w:lang w:bidi="ar-SA"/>
        </w:rPr>
        <w:drawing>
          <wp:inline distT="0" distB="0" distL="0" distR="0" wp14:anchorId="1BA19A8D" wp14:editId="21B2D696">
            <wp:extent cx="5753100" cy="320992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53100" cy="3209925"/>
                    </a:xfrm>
                    <a:prstGeom prst="rect">
                      <a:avLst/>
                    </a:prstGeom>
                    <a:noFill/>
                    <a:ln>
                      <a:noFill/>
                    </a:ln>
                  </pic:spPr>
                </pic:pic>
              </a:graphicData>
            </a:graphic>
          </wp:inline>
        </w:drawing>
      </w:r>
    </w:p>
    <w:p w:rsidR="00E84EB3" w:rsidRPr="0033736D" w:rsidRDefault="00E84EB3" w:rsidP="0099399A">
      <w:pPr>
        <w:spacing w:line="360" w:lineRule="auto"/>
        <w:jc w:val="both"/>
        <w:rPr>
          <w:rFonts w:ascii="Times New Roman" w:hAnsi="Times New Roman" w:cs="Times New Roman"/>
          <w:sz w:val="24"/>
          <w:szCs w:val="24"/>
        </w:rPr>
      </w:pPr>
      <w:r w:rsidRPr="0033736D">
        <w:rPr>
          <w:rFonts w:ascii="Times New Roman" w:hAnsi="Times New Roman" w:cs="Times New Roman"/>
          <w:sz w:val="24"/>
          <w:szCs w:val="24"/>
        </w:rPr>
        <w:t>As seen in the figure above, the share of underground line lengths in the Boğaziçi and İstanbul Ana</w:t>
      </w:r>
      <w:r w:rsidR="00C15D06">
        <w:rPr>
          <w:rFonts w:ascii="Times New Roman" w:hAnsi="Times New Roman" w:cs="Times New Roman"/>
          <w:sz w:val="24"/>
          <w:szCs w:val="24"/>
        </w:rPr>
        <w:t>tolian</w:t>
      </w:r>
      <w:r w:rsidRPr="0033736D">
        <w:rPr>
          <w:rFonts w:ascii="Times New Roman" w:hAnsi="Times New Roman" w:cs="Times New Roman"/>
          <w:sz w:val="24"/>
          <w:szCs w:val="24"/>
        </w:rPr>
        <w:t xml:space="preserve"> Side was higher than the share of overhead lines.</w:t>
      </w:r>
    </w:p>
    <w:p w:rsidR="00E84EB3" w:rsidRPr="0033736D" w:rsidRDefault="00E84EB3" w:rsidP="0099399A">
      <w:pPr>
        <w:spacing w:line="360" w:lineRule="auto"/>
        <w:jc w:val="both"/>
        <w:rPr>
          <w:rFonts w:ascii="Times New Roman" w:hAnsi="Times New Roman" w:cs="Times New Roman"/>
          <w:sz w:val="24"/>
          <w:szCs w:val="24"/>
        </w:rPr>
      </w:pPr>
      <w:r w:rsidRPr="0033736D">
        <w:rPr>
          <w:rFonts w:ascii="Times New Roman" w:hAnsi="Times New Roman" w:cs="Times New Roman"/>
          <w:sz w:val="24"/>
          <w:szCs w:val="24"/>
        </w:rPr>
        <w:t xml:space="preserve">Table 5.6 includes distribution line lengths and transformer capacities. Regarding distribution line lengths was the first five provinces were İstanbul, Ankara, Konya, Antalya and İzmir, respectively. </w:t>
      </w:r>
    </w:p>
    <w:p w:rsidR="00E84EB3" w:rsidRPr="0033736D" w:rsidRDefault="00E84EB3" w:rsidP="0099399A">
      <w:pPr>
        <w:spacing w:line="360" w:lineRule="auto"/>
        <w:jc w:val="both"/>
        <w:rPr>
          <w:rFonts w:ascii="Times New Roman" w:hAnsi="Times New Roman" w:cs="Times New Roman"/>
          <w:sz w:val="24"/>
          <w:szCs w:val="24"/>
        </w:rPr>
      </w:pPr>
      <w:r w:rsidRPr="0033736D">
        <w:rPr>
          <w:rFonts w:ascii="Times New Roman" w:hAnsi="Times New Roman" w:cs="Times New Roman"/>
          <w:sz w:val="24"/>
          <w:szCs w:val="24"/>
        </w:rPr>
        <w:t>Regarding the transformer capacities, the first five provinces were İstanbul, İzmir, Ankara, Konya and Antalya, respectively.</w:t>
      </w:r>
    </w:p>
    <w:p w:rsidR="00E84EB3" w:rsidRPr="0033736D" w:rsidRDefault="00E84EB3" w:rsidP="0099399A">
      <w:pPr>
        <w:spacing w:line="360" w:lineRule="auto"/>
        <w:jc w:val="both"/>
        <w:rPr>
          <w:rFonts w:ascii="Times New Roman" w:hAnsi="Times New Roman" w:cs="Times New Roman"/>
          <w:sz w:val="24"/>
          <w:szCs w:val="24"/>
        </w:rPr>
      </w:pPr>
      <w:r w:rsidRPr="0033736D">
        <w:rPr>
          <w:rFonts w:ascii="Times New Roman" w:hAnsi="Times New Roman" w:cs="Times New Roman"/>
          <w:sz w:val="24"/>
          <w:szCs w:val="24"/>
        </w:rPr>
        <w:t>Regarding the number of transformers, the first five provinces were Konya, Şanlıurfa, İstanbul, İzmir and Ankara, respectively.</w:t>
      </w:r>
    </w:p>
    <w:p w:rsidR="00E84EB3" w:rsidRDefault="00E84EB3" w:rsidP="00A64337">
      <w:pPr>
        <w:pStyle w:val="Balk1"/>
      </w:pPr>
      <w:bookmarkStart w:id="834" w:name="_Toc514674273"/>
      <w:bookmarkStart w:id="835" w:name="_Toc520822069"/>
      <w:bookmarkStart w:id="836" w:name="_Toc10123947"/>
      <w:bookmarkStart w:id="837" w:name="_Toc10191449"/>
      <w:bookmarkStart w:id="838" w:name="_Toc12526320"/>
      <w:r w:rsidRPr="00E95A7D">
        <w:rPr>
          <w:rFonts w:eastAsiaTheme="minorEastAsia"/>
        </w:rPr>
        <w:lastRenderedPageBreak/>
        <w:t>Table</w:t>
      </w:r>
      <w:r>
        <w:rPr>
          <w:rFonts w:eastAsiaTheme="minorEastAsia"/>
        </w:rPr>
        <w:t xml:space="preserve"> 5</w:t>
      </w:r>
      <w:r w:rsidRPr="00E95A7D">
        <w:rPr>
          <w:rFonts w:eastAsiaTheme="minorEastAsia"/>
        </w:rPr>
        <w:t>.6:</w:t>
      </w:r>
      <w:r w:rsidRPr="00E95A7D">
        <w:t xml:space="preserve">  </w:t>
      </w:r>
      <w:r w:rsidRPr="0037086D">
        <w:t>Line Lengths at Distribution Voltage Levels, Number</w:t>
      </w:r>
      <w:r>
        <w:t xml:space="preserve"> of</w:t>
      </w:r>
      <w:r w:rsidRPr="0037086D">
        <w:t xml:space="preserve"> </w:t>
      </w:r>
      <w:r>
        <w:t xml:space="preserve">Transformers </w:t>
      </w:r>
      <w:r w:rsidRPr="0037086D">
        <w:t xml:space="preserve">and </w:t>
      </w:r>
      <w:r>
        <w:t xml:space="preserve">Transformer </w:t>
      </w:r>
      <w:r w:rsidRPr="0037086D">
        <w:t>Capacities by Provinces</w:t>
      </w:r>
      <w:r>
        <w:t xml:space="preserve"> in 2018</w:t>
      </w:r>
      <w:r w:rsidRPr="0037086D">
        <w:t xml:space="preserve"> (Km-MVA-Number</w:t>
      </w:r>
      <w:r>
        <w:t>)</w:t>
      </w:r>
      <w:bookmarkEnd w:id="834"/>
      <w:bookmarkEnd w:id="835"/>
      <w:bookmarkEnd w:id="836"/>
      <w:bookmarkEnd w:id="837"/>
      <w:bookmarkEnd w:id="838"/>
    </w:p>
    <w:tbl>
      <w:tblPr>
        <w:tblW w:w="9087" w:type="dxa"/>
        <w:tblInd w:w="55" w:type="dxa"/>
        <w:tblCellMar>
          <w:left w:w="70" w:type="dxa"/>
          <w:right w:w="70" w:type="dxa"/>
        </w:tblCellMar>
        <w:tblLook w:val="04A0" w:firstRow="1" w:lastRow="0" w:firstColumn="1" w:lastColumn="0" w:noHBand="0" w:noVBand="1"/>
      </w:tblPr>
      <w:tblGrid>
        <w:gridCol w:w="2709"/>
        <w:gridCol w:w="2126"/>
        <w:gridCol w:w="2126"/>
        <w:gridCol w:w="2126"/>
      </w:tblGrid>
      <w:tr w:rsidR="00857363" w:rsidRPr="001E2B59" w:rsidTr="004C7560">
        <w:trPr>
          <w:trHeight w:val="536"/>
          <w:tblHeader/>
        </w:trPr>
        <w:tc>
          <w:tcPr>
            <w:tcW w:w="270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57363" w:rsidRPr="001E2B59"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Provinces</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857363" w:rsidRPr="001E2B59"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Line Length</w:t>
            </w:r>
            <w:r w:rsidRPr="001E2B59">
              <w:rPr>
                <w:rFonts w:ascii="Calibri" w:eastAsia="Times New Roman" w:hAnsi="Calibri" w:cs="Times New Roman"/>
                <w:b/>
                <w:bCs/>
                <w:color w:val="FFFFFF"/>
                <w:lang w:eastAsia="tr-TR" w:bidi="ar-SA"/>
              </w:rPr>
              <w:br/>
              <w:t xml:space="preserve"> (Km)</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857363" w:rsidRPr="00021A7D"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Transformer Capacity</w:t>
            </w:r>
            <w:r w:rsidRPr="00021A7D">
              <w:rPr>
                <w:rFonts w:ascii="Calibri" w:eastAsia="Times New Roman" w:hAnsi="Calibri" w:cs="Times New Roman"/>
                <w:b/>
                <w:bCs/>
                <w:color w:val="FFFFFF"/>
                <w:lang w:eastAsia="tr-TR" w:bidi="ar-SA"/>
              </w:rPr>
              <w:t>(MVA)</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857363" w:rsidRPr="00021A7D"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 xml:space="preserve">Number of Transformers </w:t>
            </w:r>
            <w:r>
              <w:rPr>
                <w:rFonts w:ascii="Calibri" w:eastAsia="Times New Roman" w:hAnsi="Calibri" w:cs="Times New Roman"/>
                <w:b/>
                <w:bCs/>
                <w:color w:val="FFFFFF"/>
                <w:lang w:eastAsia="tr-TR" w:bidi="ar-SA"/>
              </w:rPr>
              <w:br/>
              <w:t>(Number</w:t>
            </w:r>
            <w:r w:rsidRPr="00021A7D">
              <w:rPr>
                <w:rFonts w:ascii="Calibri" w:eastAsia="Times New Roman" w:hAnsi="Calibri" w:cs="Times New Roman"/>
                <w:b/>
                <w:bCs/>
                <w:color w:val="FFFFFF"/>
                <w:lang w:eastAsia="tr-TR" w:bidi="ar-SA"/>
              </w:rPr>
              <w:t>)</w:t>
            </w:r>
          </w:p>
        </w:tc>
      </w:tr>
      <w:tr w:rsidR="00857363" w:rsidRPr="001E2B59" w:rsidTr="004C7560">
        <w:trPr>
          <w:trHeight w:val="1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ADANA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27.785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4.310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11.842</w:t>
            </w:r>
          </w:p>
        </w:tc>
      </w:tr>
      <w:tr w:rsidR="00857363" w:rsidRPr="001E2B59" w:rsidTr="004C7560">
        <w:trPr>
          <w:trHeight w:val="14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ADIYAMAN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9.253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914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5.029</w:t>
            </w:r>
          </w:p>
        </w:tc>
      </w:tr>
      <w:tr w:rsidR="00857363" w:rsidRPr="001E2B59" w:rsidTr="004C7560">
        <w:trPr>
          <w:trHeight w:val="1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AFYONKARAHİSAR</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14.152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1.734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9.312</w:t>
            </w:r>
          </w:p>
        </w:tc>
      </w:tr>
      <w:tr w:rsidR="00857363" w:rsidRPr="001E2B59" w:rsidTr="004C7560">
        <w:trPr>
          <w:trHeight w:val="12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AĞRI</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12.982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545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2.495</w:t>
            </w:r>
          </w:p>
        </w:tc>
      </w:tr>
      <w:tr w:rsidR="00857363" w:rsidRPr="001E2B59" w:rsidTr="004C7560">
        <w:trPr>
          <w:trHeight w:val="111"/>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AKSARAY</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10.163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1.121</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6.427</w:t>
            </w:r>
          </w:p>
        </w:tc>
      </w:tr>
      <w:tr w:rsidR="00857363" w:rsidRPr="001E2B59" w:rsidTr="004C7560">
        <w:trPr>
          <w:trHeight w:val="256"/>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AMASYA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8.086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578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2.876</w:t>
            </w:r>
          </w:p>
        </w:tc>
      </w:tr>
      <w:tr w:rsidR="00857363" w:rsidRPr="001E2B59" w:rsidTr="004C7560">
        <w:trPr>
          <w:trHeight w:val="119"/>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ANKARA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60.157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10.697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18.045</w:t>
            </w:r>
          </w:p>
        </w:tc>
      </w:tr>
      <w:tr w:rsidR="00857363" w:rsidRPr="001E2B59" w:rsidTr="004C7560">
        <w:trPr>
          <w:trHeight w:val="25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ANTALYA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45.398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5.614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13.105</w:t>
            </w:r>
          </w:p>
        </w:tc>
      </w:tr>
      <w:tr w:rsidR="00857363" w:rsidRPr="001E2B59" w:rsidTr="004C7560">
        <w:trPr>
          <w:trHeight w:val="241"/>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ARDAHAN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4.773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904</w:t>
            </w:r>
          </w:p>
        </w:tc>
      </w:tr>
      <w:tr w:rsidR="00857363" w:rsidRPr="001E2B59" w:rsidTr="004C7560">
        <w:trPr>
          <w:trHeight w:val="2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ARTVİN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6.878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349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1.590</w:t>
            </w:r>
          </w:p>
        </w:tc>
      </w:tr>
      <w:tr w:rsidR="00857363" w:rsidRPr="001E2B59" w:rsidTr="004C7560">
        <w:trPr>
          <w:trHeight w:val="23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AYDIN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20.472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2.677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6.956</w:t>
            </w:r>
          </w:p>
        </w:tc>
      </w:tr>
      <w:tr w:rsidR="00857363" w:rsidRPr="001E2B59" w:rsidTr="004C7560">
        <w:trPr>
          <w:trHeight w:val="96"/>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BALIKESİR</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18.167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2.390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7.735</w:t>
            </w:r>
          </w:p>
        </w:tc>
      </w:tr>
      <w:tr w:rsidR="00857363" w:rsidRPr="001E2B59" w:rsidTr="004C7560">
        <w:trPr>
          <w:trHeight w:val="2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BARTIN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4.109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394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1.407</w:t>
            </w:r>
          </w:p>
        </w:tc>
      </w:tr>
      <w:tr w:rsidR="00857363" w:rsidRPr="001E2B59" w:rsidTr="004C7560">
        <w:trPr>
          <w:trHeight w:val="218"/>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BATMAN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5.953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924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3.898</w:t>
            </w:r>
          </w:p>
        </w:tc>
      </w:tr>
      <w:tr w:rsidR="00857363" w:rsidRPr="001E2B59" w:rsidTr="004C7560">
        <w:trPr>
          <w:trHeight w:val="208"/>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BAYBURT</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2.949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703</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BİLECİK</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3.987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851</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1.887</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BİNGÖL</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6.530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355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1.783</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BİTLİS</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7.416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485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2.585</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BOLU</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7.075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2.744</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BURDUR</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9.322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678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2.874</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BURSA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19.092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4.638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11.036</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ÇANAKKALE</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9.860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1.125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4.628</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ÇANKIRI</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6.469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422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1.810</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ÇORUM</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14.809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4.695</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DENİZLİ</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21.272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2.422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6.523</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DİYARBAKIR</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18.166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3.167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12.547</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DÜZCE</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5.558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2.029</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EDİRNE</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7.942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1.032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3.972</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ELAZIĞ</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12.035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1.146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4.034</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ERZİNCAN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6.978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2.078</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ERZURUM</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17.575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1.084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4.591</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ESKİŞEHİR</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12.229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2.154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7.090</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GAZİANTEP</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14.910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2.659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10.588</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GİRESUN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15.788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628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3.024</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GÜMÜŞHANE</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6.294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1.275</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HAKKARİ</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8.080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362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1.677</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HATAY</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18.152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3.612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10.599</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IĞDIR</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5.077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1.128</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ISPARTA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10.455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1.016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2.984</w:t>
            </w:r>
          </w:p>
        </w:tc>
      </w:tr>
      <w:tr w:rsidR="00857363" w:rsidRPr="001E2B59" w:rsidTr="004C7560">
        <w:trPr>
          <w:trHeight w:val="143"/>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lastRenderedPageBreak/>
              <w:t>İSTANBUL</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71.709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26.617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22.315</w:t>
            </w:r>
          </w:p>
        </w:tc>
      </w:tr>
      <w:tr w:rsidR="00857363" w:rsidRPr="001E2B59" w:rsidTr="004C7560">
        <w:trPr>
          <w:trHeight w:val="91"/>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İZMİR</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34.406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11.041</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19.847</w:t>
            </w:r>
          </w:p>
        </w:tc>
      </w:tr>
      <w:tr w:rsidR="00857363" w:rsidRPr="001E2B59" w:rsidTr="004C7560">
        <w:trPr>
          <w:trHeight w:val="9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KAHRAMANMARAŞ</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17.047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2.492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6.962</w:t>
            </w:r>
          </w:p>
        </w:tc>
      </w:tr>
      <w:tr w:rsidR="00857363" w:rsidRPr="001E2B59" w:rsidTr="004C7560">
        <w:trPr>
          <w:trHeight w:val="14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KARABÜK</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4.468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547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1.665</w:t>
            </w:r>
          </w:p>
        </w:tc>
      </w:tr>
      <w:tr w:rsidR="00857363" w:rsidRPr="001E2B59" w:rsidTr="004C7560">
        <w:trPr>
          <w:trHeight w:val="13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KARAMAN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6.681</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757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4.130</w:t>
            </w:r>
          </w:p>
        </w:tc>
      </w:tr>
      <w:tr w:rsidR="00857363" w:rsidRPr="001E2B59" w:rsidTr="004C7560">
        <w:trPr>
          <w:trHeight w:val="12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KARS</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6.292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381</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1.686</w:t>
            </w:r>
          </w:p>
        </w:tc>
      </w:tr>
      <w:tr w:rsidR="00857363" w:rsidRPr="001E2B59" w:rsidTr="004C7560">
        <w:trPr>
          <w:trHeight w:val="111"/>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KASTAMONU</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13.386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883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4.512</w:t>
            </w:r>
          </w:p>
        </w:tc>
      </w:tr>
      <w:tr w:rsidR="00857363" w:rsidRPr="001E2B59" w:rsidTr="004C7560">
        <w:trPr>
          <w:trHeight w:val="256"/>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KAYSERİ</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24.376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2.505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7.583</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KIRIKKALE</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11.336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1.487</w:t>
            </w:r>
          </w:p>
        </w:tc>
      </w:tr>
      <w:tr w:rsidR="00857363" w:rsidRPr="001E2B59" w:rsidTr="004C7560">
        <w:trPr>
          <w:trHeight w:val="242"/>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KIRKLARELİ</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6.164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2.268</w:t>
            </w:r>
          </w:p>
        </w:tc>
      </w:tr>
      <w:tr w:rsidR="00857363" w:rsidRPr="001E2B59" w:rsidTr="004C7560">
        <w:trPr>
          <w:trHeight w:val="19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KIRŞEHİR</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5.687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2.138</w:t>
            </w:r>
          </w:p>
        </w:tc>
      </w:tr>
      <w:tr w:rsidR="00857363" w:rsidRPr="001E2B59" w:rsidTr="004C7560">
        <w:trPr>
          <w:trHeight w:val="294"/>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KİLİS</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2.172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1.010</w:t>
            </w:r>
          </w:p>
        </w:tc>
      </w:tr>
      <w:tr w:rsidR="00857363" w:rsidRPr="001E2B59" w:rsidTr="004C7560">
        <w:trPr>
          <w:trHeight w:val="229"/>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KOCAELİ</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11.854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4.430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7.204</w:t>
            </w:r>
          </w:p>
        </w:tc>
      </w:tr>
      <w:tr w:rsidR="00857363" w:rsidRPr="001E2B59" w:rsidTr="004C7560">
        <w:trPr>
          <w:trHeight w:val="6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KONYA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46.273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6.423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29.959</w:t>
            </w:r>
          </w:p>
        </w:tc>
      </w:tr>
      <w:tr w:rsidR="00857363" w:rsidRPr="001E2B59" w:rsidTr="004C7560">
        <w:trPr>
          <w:trHeight w:val="138"/>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KÜTAHYA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9.020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967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3.200</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MALATYA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23.679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1.471</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5.339</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MANİSA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21.592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3.380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12.293</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MARDİN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11.368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2.208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11.607</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MERSİN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20.734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3.621</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9.392</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MUĞLA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25.962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3.068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8.144</w:t>
            </w:r>
          </w:p>
        </w:tc>
      </w:tr>
      <w:tr w:rsidR="00857363" w:rsidRPr="001E2B59" w:rsidTr="004C7560">
        <w:trPr>
          <w:trHeight w:val="11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MUŞ</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7.742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454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2.207</w:t>
            </w:r>
          </w:p>
        </w:tc>
      </w:tr>
      <w:tr w:rsidR="00857363" w:rsidRPr="001E2B59" w:rsidTr="004C7560">
        <w:trPr>
          <w:trHeight w:val="186"/>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NEVŞEHİR</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8.336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1.290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6.342</w:t>
            </w:r>
          </w:p>
        </w:tc>
      </w:tr>
      <w:tr w:rsidR="00857363" w:rsidRPr="001E2B59" w:rsidTr="004C7560">
        <w:trPr>
          <w:trHeight w:val="148"/>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NİĞDE</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9.157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1.148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5.521</w:t>
            </w:r>
          </w:p>
        </w:tc>
      </w:tr>
      <w:tr w:rsidR="00857363" w:rsidRPr="001E2B59" w:rsidTr="004C7560">
        <w:trPr>
          <w:trHeight w:val="238"/>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ORDU</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24.476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882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4.753</w:t>
            </w:r>
          </w:p>
        </w:tc>
      </w:tr>
      <w:tr w:rsidR="00857363" w:rsidRPr="001E2B59" w:rsidTr="004C7560">
        <w:trPr>
          <w:trHeight w:val="173"/>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OSMANİYE</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6.920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653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2.271</w:t>
            </w:r>
          </w:p>
        </w:tc>
      </w:tr>
      <w:tr w:rsidR="00857363" w:rsidRPr="001E2B59" w:rsidTr="004C7560">
        <w:trPr>
          <w:trHeight w:val="134"/>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RİZE</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9.225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583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2.258</w:t>
            </w:r>
          </w:p>
        </w:tc>
      </w:tr>
      <w:tr w:rsidR="00857363" w:rsidRPr="001E2B59" w:rsidTr="004C7560">
        <w:trPr>
          <w:trHeight w:val="82"/>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SAKARYA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12.297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1.859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4.829</w:t>
            </w:r>
          </w:p>
        </w:tc>
      </w:tr>
      <w:tr w:rsidR="00857363" w:rsidRPr="001E2B59" w:rsidTr="004C7560">
        <w:trPr>
          <w:trHeight w:val="172"/>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SAMSUN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27.783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1.950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7.360</w:t>
            </w:r>
          </w:p>
        </w:tc>
      </w:tr>
      <w:tr w:rsidR="00857363" w:rsidRPr="001E2B59" w:rsidTr="004C7560">
        <w:trPr>
          <w:trHeight w:val="12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SİİRT</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4.162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370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1.698</w:t>
            </w:r>
          </w:p>
        </w:tc>
      </w:tr>
      <w:tr w:rsidR="00857363" w:rsidRPr="001E2B59" w:rsidTr="004C7560">
        <w:trPr>
          <w:trHeight w:val="69"/>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SİNOP</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8.044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357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2.190</w:t>
            </w:r>
          </w:p>
        </w:tc>
      </w:tr>
      <w:tr w:rsidR="00857363" w:rsidRPr="001E2B59" w:rsidTr="004C7560">
        <w:trPr>
          <w:trHeight w:val="158"/>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SİVAS</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18.808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1.074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4.630</w:t>
            </w:r>
          </w:p>
        </w:tc>
      </w:tr>
      <w:tr w:rsidR="00857363" w:rsidRPr="001E2B59" w:rsidTr="004C7560">
        <w:trPr>
          <w:trHeight w:val="106"/>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ŞANLIURFA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29.636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4.644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28.760</w:t>
            </w:r>
          </w:p>
        </w:tc>
      </w:tr>
      <w:tr w:rsidR="00857363" w:rsidRPr="001E2B59" w:rsidTr="004C7560">
        <w:trPr>
          <w:trHeight w:val="196"/>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ŞIRNAK</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4.494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818</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3.576</w:t>
            </w:r>
          </w:p>
        </w:tc>
      </w:tr>
      <w:tr w:rsidR="00857363" w:rsidRPr="001E2B59" w:rsidTr="004C7560">
        <w:trPr>
          <w:trHeight w:val="144"/>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TEKİRDAĞ</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10.593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2.936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4.899</w:t>
            </w:r>
          </w:p>
        </w:tc>
      </w:tr>
      <w:tr w:rsidR="00857363" w:rsidRPr="001E2B59" w:rsidTr="004C7560">
        <w:trPr>
          <w:trHeight w:val="23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TOKAT</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13.496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711</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3.224</w:t>
            </w:r>
          </w:p>
        </w:tc>
      </w:tr>
      <w:tr w:rsidR="00857363" w:rsidRPr="001E2B59" w:rsidTr="004C7560">
        <w:trPr>
          <w:trHeight w:val="196"/>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TRABZON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20.830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1.187</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3.915</w:t>
            </w:r>
          </w:p>
        </w:tc>
      </w:tr>
      <w:tr w:rsidR="00857363" w:rsidRPr="001E2B59" w:rsidTr="004C7560">
        <w:trPr>
          <w:trHeight w:val="272"/>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TUNCELİ</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4.994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164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1.202</w:t>
            </w:r>
          </w:p>
        </w:tc>
      </w:tr>
      <w:tr w:rsidR="00857363" w:rsidRPr="001E2B59" w:rsidTr="004C7560">
        <w:trPr>
          <w:trHeight w:val="220"/>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UŞAK</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6.986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763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2.485</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VAN</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17.622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1.515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4.458</w:t>
            </w:r>
          </w:p>
        </w:tc>
      </w:tr>
      <w:tr w:rsidR="00857363" w:rsidRPr="001E2B59" w:rsidTr="004C7560">
        <w:trPr>
          <w:trHeight w:val="143"/>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YALOVA</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2.646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573</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1.190</w:t>
            </w:r>
          </w:p>
        </w:tc>
      </w:tr>
      <w:tr w:rsidR="00857363" w:rsidRPr="001E2B59" w:rsidTr="004C7560">
        <w:trPr>
          <w:trHeight w:val="133"/>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YOZGAT</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13.325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764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4.229</w:t>
            </w:r>
          </w:p>
        </w:tc>
      </w:tr>
      <w:tr w:rsidR="00857363" w:rsidRPr="001E2B59" w:rsidTr="004C7560">
        <w:trPr>
          <w:trHeight w:val="137"/>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color w:val="FFFFFF"/>
                <w:lang w:eastAsia="tr-TR" w:bidi="ar-SA"/>
              </w:rPr>
            </w:pPr>
            <w:r w:rsidRPr="001E2B59">
              <w:rPr>
                <w:rFonts w:ascii="Calibri" w:eastAsia="Times New Roman" w:hAnsi="Calibri" w:cs="Times New Roman"/>
                <w:color w:val="FFFFFF"/>
                <w:lang w:eastAsia="tr-TR" w:bidi="ar-SA"/>
              </w:rPr>
              <w:t>ZONGULDAK</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12.044</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1.065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1E2B59" w:rsidRDefault="00857363" w:rsidP="0099399A">
            <w:pPr>
              <w:spacing w:after="0" w:line="240" w:lineRule="auto"/>
              <w:jc w:val="both"/>
              <w:rPr>
                <w:rFonts w:ascii="Calibri" w:eastAsia="Times New Roman" w:hAnsi="Calibri" w:cs="Times New Roman"/>
                <w:color w:val="000000"/>
                <w:lang w:eastAsia="tr-TR" w:bidi="ar-SA"/>
              </w:rPr>
            </w:pPr>
            <w:r w:rsidRPr="001E2B59">
              <w:rPr>
                <w:rFonts w:ascii="Calibri" w:eastAsia="Times New Roman" w:hAnsi="Calibri" w:cs="Times New Roman"/>
                <w:color w:val="000000"/>
                <w:lang w:eastAsia="tr-TR" w:bidi="ar-SA"/>
              </w:rPr>
              <w:t>3.512</w:t>
            </w:r>
          </w:p>
        </w:tc>
      </w:tr>
      <w:tr w:rsidR="00857363" w:rsidRPr="001E2B59" w:rsidTr="00C14C79">
        <w:trPr>
          <w:trHeight w:val="315"/>
        </w:trPr>
        <w:tc>
          <w:tcPr>
            <w:tcW w:w="2709"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w:t>
            </w:r>
          </w:p>
        </w:tc>
        <w:tc>
          <w:tcPr>
            <w:tcW w:w="2126" w:type="dxa"/>
            <w:tcBorders>
              <w:top w:val="nil"/>
              <w:left w:val="nil"/>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1.164.170</w:t>
            </w:r>
          </w:p>
        </w:tc>
        <w:tc>
          <w:tcPr>
            <w:tcW w:w="2126" w:type="dxa"/>
            <w:tcBorders>
              <w:top w:val="nil"/>
              <w:left w:val="nil"/>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162.367</w:t>
            </w:r>
          </w:p>
        </w:tc>
        <w:tc>
          <w:tcPr>
            <w:tcW w:w="2126" w:type="dxa"/>
            <w:tcBorders>
              <w:top w:val="nil"/>
              <w:left w:val="nil"/>
              <w:bottom w:val="single" w:sz="8" w:space="0" w:color="auto"/>
              <w:right w:val="single" w:sz="8" w:space="0" w:color="auto"/>
            </w:tcBorders>
            <w:shd w:val="clear" w:color="000000" w:fill="FF5050"/>
            <w:noWrap/>
            <w:vAlign w:val="center"/>
            <w:hideMark/>
          </w:tcPr>
          <w:p w:rsidR="00857363" w:rsidRPr="001E2B59" w:rsidRDefault="00857363" w:rsidP="0099399A">
            <w:pPr>
              <w:spacing w:after="0" w:line="240" w:lineRule="auto"/>
              <w:jc w:val="both"/>
              <w:rPr>
                <w:rFonts w:ascii="Calibri" w:eastAsia="Times New Roman" w:hAnsi="Calibri" w:cs="Times New Roman"/>
                <w:b/>
                <w:bCs/>
                <w:color w:val="FFFFFF"/>
                <w:lang w:eastAsia="tr-TR" w:bidi="ar-SA"/>
              </w:rPr>
            </w:pPr>
            <w:r w:rsidRPr="001E2B59">
              <w:rPr>
                <w:rFonts w:ascii="Calibri" w:eastAsia="Times New Roman" w:hAnsi="Calibri" w:cs="Times New Roman"/>
                <w:b/>
                <w:bCs/>
                <w:color w:val="FFFFFF"/>
                <w:lang w:eastAsia="tr-TR" w:bidi="ar-SA"/>
              </w:rPr>
              <w:t>468.755</w:t>
            </w:r>
          </w:p>
        </w:tc>
      </w:tr>
    </w:tbl>
    <w:p w:rsidR="00E84EB3" w:rsidRPr="00E84EB3" w:rsidRDefault="00E84EB3" w:rsidP="0099399A">
      <w:pPr>
        <w:jc w:val="both"/>
      </w:pPr>
    </w:p>
    <w:p w:rsidR="00857363" w:rsidRPr="0033736D" w:rsidRDefault="00857363" w:rsidP="0099399A">
      <w:pPr>
        <w:pStyle w:val="BALIKLAR"/>
        <w:spacing w:line="360" w:lineRule="auto"/>
        <w:jc w:val="both"/>
        <w:rPr>
          <w:rFonts w:cs="Times New Roman"/>
        </w:rPr>
      </w:pPr>
      <w:bookmarkStart w:id="839" w:name="_Toc520822033"/>
      <w:bookmarkStart w:id="840" w:name="_Toc12528962"/>
      <w:r w:rsidRPr="0033736D">
        <w:rPr>
          <w:rFonts w:cs="Times New Roman"/>
        </w:rPr>
        <w:lastRenderedPageBreak/>
        <w:t>5.5 Quality Indicators</w:t>
      </w:r>
      <w:bookmarkStart w:id="841" w:name="_Toc450309978"/>
      <w:bookmarkStart w:id="842" w:name="_Toc483822854"/>
      <w:bookmarkEnd w:id="839"/>
      <w:bookmarkEnd w:id="840"/>
    </w:p>
    <w:p w:rsidR="004C7560" w:rsidRDefault="004C7560" w:rsidP="0099399A">
      <w:pPr>
        <w:spacing w:line="360" w:lineRule="auto"/>
        <w:jc w:val="both"/>
        <w:rPr>
          <w:rFonts w:ascii="Times New Roman" w:hAnsi="Times New Roman" w:cs="Times New Roman"/>
          <w:sz w:val="24"/>
          <w:szCs w:val="24"/>
        </w:rPr>
      </w:pPr>
    </w:p>
    <w:p w:rsidR="00857363" w:rsidRPr="0033736D" w:rsidRDefault="00857363" w:rsidP="0099399A">
      <w:pPr>
        <w:spacing w:line="360" w:lineRule="auto"/>
        <w:jc w:val="both"/>
        <w:rPr>
          <w:rFonts w:ascii="Times New Roman" w:hAnsi="Times New Roman" w:cs="Times New Roman"/>
          <w:sz w:val="24"/>
          <w:szCs w:val="24"/>
        </w:rPr>
      </w:pPr>
      <w:r w:rsidRPr="0033736D">
        <w:rPr>
          <w:rFonts w:ascii="Times New Roman" w:hAnsi="Times New Roman" w:cs="Times New Roman"/>
          <w:sz w:val="24"/>
          <w:szCs w:val="24"/>
        </w:rPr>
        <w:t>Data on the technical quality of the electricity provided by the distribution companies are compiled and the tables below show Customer Average Interruption Duration Index (CAIDI) and Customer Average Interruption Frequency Index (CAIFI).</w:t>
      </w:r>
    </w:p>
    <w:p w:rsidR="004C7560" w:rsidRDefault="004C7560" w:rsidP="00A64337">
      <w:pPr>
        <w:pStyle w:val="Balk1"/>
        <w:rPr>
          <w:rFonts w:eastAsiaTheme="minorEastAsia"/>
        </w:rPr>
      </w:pPr>
      <w:bookmarkStart w:id="843" w:name="_Toc494982855"/>
      <w:bookmarkStart w:id="844" w:name="_Toc514674274"/>
      <w:bookmarkStart w:id="845" w:name="_Toc520822070"/>
      <w:bookmarkStart w:id="846" w:name="_Toc10123949"/>
      <w:bookmarkStart w:id="847" w:name="_Toc10191450"/>
      <w:bookmarkEnd w:id="841"/>
      <w:bookmarkEnd w:id="842"/>
    </w:p>
    <w:p w:rsidR="00857363" w:rsidRPr="00E95A7D" w:rsidRDefault="00857363" w:rsidP="00A64337">
      <w:pPr>
        <w:pStyle w:val="Balk1"/>
      </w:pPr>
      <w:bookmarkStart w:id="848" w:name="_Toc12526322"/>
      <w:r w:rsidRPr="00E95A7D">
        <w:rPr>
          <w:rFonts w:eastAsiaTheme="minorEastAsia"/>
        </w:rPr>
        <w:t>Table</w:t>
      </w:r>
      <w:r>
        <w:rPr>
          <w:rFonts w:eastAsiaTheme="minorEastAsia"/>
        </w:rPr>
        <w:t xml:space="preserve"> 5</w:t>
      </w:r>
      <w:r w:rsidRPr="00E95A7D">
        <w:rPr>
          <w:rFonts w:eastAsiaTheme="minorEastAsia"/>
        </w:rPr>
        <w:t>.7:</w:t>
      </w:r>
      <w:r w:rsidRPr="00E95A7D">
        <w:t xml:space="preserve">  </w:t>
      </w:r>
      <w:r w:rsidRPr="002F4F82">
        <w:t>Reported and Unreported Customer Average Interruption Duration Ind</w:t>
      </w:r>
      <w:r>
        <w:t>ices of</w:t>
      </w:r>
      <w:r w:rsidRPr="002F4F82">
        <w:t xml:space="preserve"> </w:t>
      </w:r>
      <w:r>
        <w:t>Distribution Companies in 2018</w:t>
      </w:r>
      <w:r w:rsidRPr="002F4F82" w:rsidDel="002F4F82">
        <w:t xml:space="preserve"> </w:t>
      </w:r>
      <w:r w:rsidRPr="006A7BF6">
        <w:t>(min)</w:t>
      </w:r>
      <w:bookmarkEnd w:id="843"/>
      <w:bookmarkEnd w:id="844"/>
      <w:bookmarkEnd w:id="845"/>
      <w:bookmarkEnd w:id="846"/>
      <w:bookmarkEnd w:id="847"/>
      <w:bookmarkEnd w:id="848"/>
    </w:p>
    <w:tbl>
      <w:tblPr>
        <w:tblpPr w:leftFromText="141" w:rightFromText="141" w:vertAnchor="text" w:horzAnchor="margin" w:tblpY="132"/>
        <w:tblW w:w="9461" w:type="dxa"/>
        <w:tblCellMar>
          <w:left w:w="70" w:type="dxa"/>
          <w:right w:w="70" w:type="dxa"/>
        </w:tblCellMar>
        <w:tblLook w:val="04A0" w:firstRow="1" w:lastRow="0" w:firstColumn="1" w:lastColumn="0" w:noHBand="0" w:noVBand="1"/>
      </w:tblPr>
      <w:tblGrid>
        <w:gridCol w:w="1860"/>
        <w:gridCol w:w="995"/>
        <w:gridCol w:w="1211"/>
        <w:gridCol w:w="960"/>
        <w:gridCol w:w="995"/>
        <w:gridCol w:w="1220"/>
        <w:gridCol w:w="960"/>
        <w:gridCol w:w="1260"/>
      </w:tblGrid>
      <w:tr w:rsidR="00857363" w:rsidRPr="0050344F" w:rsidTr="00857363">
        <w:trPr>
          <w:trHeight w:val="315"/>
        </w:trPr>
        <w:tc>
          <w:tcPr>
            <w:tcW w:w="1860" w:type="dxa"/>
            <w:tcBorders>
              <w:top w:val="nil"/>
              <w:left w:val="nil"/>
              <w:bottom w:val="nil"/>
              <w:right w:val="nil"/>
            </w:tcBorders>
            <w:shd w:val="clear" w:color="auto" w:fill="auto"/>
            <w:noWrap/>
            <w:vAlign w:val="bottom"/>
            <w:hideMark/>
          </w:tcPr>
          <w:p w:rsidR="00857363" w:rsidRPr="0050344F" w:rsidRDefault="00857363" w:rsidP="00A64337">
            <w:pPr>
              <w:spacing w:after="0" w:line="240" w:lineRule="auto"/>
              <w:jc w:val="center"/>
              <w:rPr>
                <w:rFonts w:ascii="Arial" w:eastAsia="Times New Roman" w:hAnsi="Arial" w:cs="Arial"/>
                <w:color w:val="000000"/>
                <w:lang w:eastAsia="tr-TR" w:bidi="ar-SA"/>
              </w:rPr>
            </w:pPr>
          </w:p>
        </w:tc>
        <w:tc>
          <w:tcPr>
            <w:tcW w:w="3166" w:type="dxa"/>
            <w:gridSpan w:val="3"/>
            <w:tcBorders>
              <w:top w:val="single" w:sz="8" w:space="0" w:color="auto"/>
              <w:left w:val="single" w:sz="8" w:space="0" w:color="auto"/>
              <w:bottom w:val="single" w:sz="8" w:space="0" w:color="auto"/>
              <w:right w:val="single" w:sz="8" w:space="0" w:color="000000"/>
            </w:tcBorders>
            <w:shd w:val="clear" w:color="000000" w:fill="FF0000"/>
            <w:noWrap/>
            <w:vAlign w:val="center"/>
            <w:hideMark/>
          </w:tcPr>
          <w:p w:rsidR="00857363" w:rsidRPr="0050344F" w:rsidRDefault="00857363" w:rsidP="00A64337">
            <w:pPr>
              <w:spacing w:after="0" w:line="240" w:lineRule="auto"/>
              <w:jc w:val="center"/>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2017</w:t>
            </w:r>
          </w:p>
        </w:tc>
        <w:tc>
          <w:tcPr>
            <w:tcW w:w="3175" w:type="dxa"/>
            <w:gridSpan w:val="3"/>
            <w:tcBorders>
              <w:top w:val="single" w:sz="8" w:space="0" w:color="auto"/>
              <w:left w:val="nil"/>
              <w:bottom w:val="single" w:sz="8" w:space="0" w:color="auto"/>
              <w:right w:val="single" w:sz="8" w:space="0" w:color="000000"/>
            </w:tcBorders>
            <w:shd w:val="clear" w:color="000000" w:fill="FF0000"/>
            <w:noWrap/>
            <w:vAlign w:val="center"/>
            <w:hideMark/>
          </w:tcPr>
          <w:p w:rsidR="00857363" w:rsidRPr="00857363" w:rsidRDefault="00857363" w:rsidP="00A64337">
            <w:pPr>
              <w:spacing w:after="0" w:line="240" w:lineRule="auto"/>
              <w:jc w:val="center"/>
              <w:rPr>
                <w:rFonts w:ascii="Calibri" w:eastAsia="Times New Roman" w:hAnsi="Calibri" w:cs="Times New Roman"/>
                <w:b/>
                <w:bCs/>
                <w:color w:val="FFFFFF"/>
                <w:lang w:eastAsia="tr-TR" w:bidi="ar-SA"/>
              </w:rPr>
            </w:pPr>
            <w:r w:rsidRPr="00857363">
              <w:rPr>
                <w:rFonts w:ascii="Calibri" w:eastAsia="Times New Roman" w:hAnsi="Calibri" w:cs="Times New Roman"/>
                <w:b/>
                <w:bCs/>
                <w:color w:val="FFFFFF"/>
                <w:lang w:eastAsia="tr-TR" w:bidi="ar-SA"/>
              </w:rPr>
              <w:t>2018</w:t>
            </w:r>
          </w:p>
        </w:tc>
        <w:tc>
          <w:tcPr>
            <w:tcW w:w="12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857363" w:rsidRPr="00857363" w:rsidRDefault="00857363" w:rsidP="00A64337">
            <w:pPr>
              <w:spacing w:after="0" w:line="240" w:lineRule="auto"/>
              <w:jc w:val="center"/>
              <w:rPr>
                <w:rFonts w:ascii="Calibri" w:eastAsia="Times New Roman" w:hAnsi="Calibri" w:cs="Times New Roman"/>
                <w:b/>
                <w:bCs/>
                <w:color w:val="FFFFFF"/>
                <w:lang w:eastAsia="tr-TR" w:bidi="ar-SA"/>
              </w:rPr>
            </w:pPr>
            <w:r w:rsidRPr="00857363">
              <w:rPr>
                <w:rFonts w:ascii="Calibri" w:eastAsia="Times New Roman" w:hAnsi="Calibri" w:cs="Times New Roman"/>
                <w:b/>
                <w:bCs/>
                <w:color w:val="FFFFFF"/>
                <w:lang w:eastAsia="tr-TR" w:bidi="ar-SA"/>
              </w:rPr>
              <w:t>Change (%)</w:t>
            </w:r>
          </w:p>
        </w:tc>
      </w:tr>
      <w:tr w:rsidR="00857363" w:rsidRPr="0050344F" w:rsidTr="00857363">
        <w:trPr>
          <w:trHeight w:val="920"/>
        </w:trPr>
        <w:tc>
          <w:tcPr>
            <w:tcW w:w="1860" w:type="dxa"/>
            <w:tcBorders>
              <w:top w:val="single" w:sz="8" w:space="0" w:color="auto"/>
              <w:left w:val="single" w:sz="8" w:space="0" w:color="auto"/>
              <w:bottom w:val="nil"/>
              <w:right w:val="single" w:sz="8" w:space="0" w:color="auto"/>
            </w:tcBorders>
            <w:shd w:val="clear" w:color="000000" w:fill="FF0000"/>
            <w:noWrap/>
            <w:vAlign w:val="center"/>
            <w:hideMark/>
          </w:tcPr>
          <w:p w:rsidR="00857363" w:rsidRPr="0050344F"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DISTRIBUTION COMPAN</w:t>
            </w:r>
            <w:r w:rsidR="00EC40F4">
              <w:rPr>
                <w:rFonts w:ascii="Calibri" w:eastAsia="Times New Roman" w:hAnsi="Calibri" w:cs="Times New Roman"/>
                <w:b/>
                <w:bCs/>
                <w:color w:val="FFFFFF"/>
                <w:lang w:eastAsia="tr-TR" w:bidi="ar-SA"/>
              </w:rPr>
              <w:t>Y</w:t>
            </w:r>
          </w:p>
        </w:tc>
        <w:tc>
          <w:tcPr>
            <w:tcW w:w="995" w:type="dxa"/>
            <w:tcBorders>
              <w:top w:val="nil"/>
              <w:left w:val="nil"/>
              <w:bottom w:val="nil"/>
              <w:right w:val="single" w:sz="8" w:space="0" w:color="auto"/>
            </w:tcBorders>
            <w:shd w:val="clear" w:color="000000" w:fill="FF0000"/>
            <w:vAlign w:val="bottom"/>
            <w:hideMark/>
          </w:tcPr>
          <w:p w:rsidR="00857363"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Reported CAIDI</w:t>
            </w:r>
          </w:p>
          <w:p w:rsidR="00857363" w:rsidRPr="0050344F"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(min)</w:t>
            </w:r>
            <w:r w:rsidRPr="0050344F">
              <w:rPr>
                <w:rFonts w:ascii="Calibri" w:eastAsia="Times New Roman" w:hAnsi="Calibri" w:cs="Times New Roman"/>
                <w:b/>
                <w:bCs/>
                <w:color w:val="FFFFFF"/>
                <w:lang w:eastAsia="tr-TR" w:bidi="ar-SA"/>
              </w:rPr>
              <w:br/>
            </w:r>
          </w:p>
        </w:tc>
        <w:tc>
          <w:tcPr>
            <w:tcW w:w="1211" w:type="dxa"/>
            <w:tcBorders>
              <w:top w:val="nil"/>
              <w:left w:val="nil"/>
              <w:bottom w:val="nil"/>
              <w:right w:val="single" w:sz="8" w:space="0" w:color="auto"/>
            </w:tcBorders>
            <w:shd w:val="clear" w:color="000000" w:fill="FF0000"/>
            <w:vAlign w:val="center"/>
            <w:hideMark/>
          </w:tcPr>
          <w:p w:rsidR="00857363"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Unreported CAIDI</w:t>
            </w:r>
          </w:p>
          <w:p w:rsidR="00857363" w:rsidRPr="0050344F"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(min)</w:t>
            </w:r>
          </w:p>
        </w:tc>
        <w:tc>
          <w:tcPr>
            <w:tcW w:w="960" w:type="dxa"/>
            <w:tcBorders>
              <w:top w:val="nil"/>
              <w:left w:val="nil"/>
              <w:bottom w:val="nil"/>
              <w:right w:val="single" w:sz="8" w:space="0" w:color="auto"/>
            </w:tcBorders>
            <w:shd w:val="clear" w:color="000000" w:fill="FF0000"/>
            <w:vAlign w:val="center"/>
            <w:hideMark/>
          </w:tcPr>
          <w:p w:rsidR="00857363"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Total CAIDI</w:t>
            </w:r>
          </w:p>
          <w:p w:rsidR="00857363" w:rsidRPr="0050344F" w:rsidRDefault="00857363"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(min)</w:t>
            </w:r>
          </w:p>
        </w:tc>
        <w:tc>
          <w:tcPr>
            <w:tcW w:w="995" w:type="dxa"/>
            <w:tcBorders>
              <w:top w:val="nil"/>
              <w:left w:val="nil"/>
              <w:bottom w:val="nil"/>
              <w:right w:val="single" w:sz="8" w:space="0" w:color="auto"/>
            </w:tcBorders>
            <w:shd w:val="clear" w:color="000000" w:fill="FF0000"/>
            <w:vAlign w:val="center"/>
            <w:hideMark/>
          </w:tcPr>
          <w:p w:rsidR="00857363" w:rsidRPr="00857363" w:rsidRDefault="00857363" w:rsidP="00A64337">
            <w:pPr>
              <w:spacing w:after="0" w:line="240" w:lineRule="auto"/>
              <w:jc w:val="center"/>
              <w:rPr>
                <w:rFonts w:ascii="Calibri" w:eastAsia="Times New Roman" w:hAnsi="Calibri" w:cs="Times New Roman"/>
                <w:b/>
                <w:color w:val="FFFFFF" w:themeColor="background1"/>
                <w:highlight w:val="red"/>
                <w:lang w:eastAsia="tr-TR" w:bidi="ar-SA"/>
              </w:rPr>
            </w:pPr>
            <w:r w:rsidRPr="00857363">
              <w:rPr>
                <w:rFonts w:ascii="Calibri" w:eastAsia="Times New Roman" w:hAnsi="Calibri" w:cs="Times New Roman"/>
                <w:b/>
                <w:color w:val="FFFFFF" w:themeColor="background1"/>
                <w:highlight w:val="red"/>
                <w:lang w:eastAsia="tr-TR" w:bidi="ar-SA"/>
              </w:rPr>
              <w:t>Reported</w:t>
            </w:r>
            <w:r w:rsidRPr="00857363">
              <w:rPr>
                <w:rFonts w:ascii="Calibri" w:eastAsia="Times New Roman" w:hAnsi="Calibri" w:cs="Times New Roman"/>
                <w:b/>
                <w:color w:val="FFFFFF" w:themeColor="background1"/>
                <w:highlight w:val="red"/>
                <w:lang w:eastAsia="tr-TR" w:bidi="ar-SA"/>
              </w:rPr>
              <w:br/>
              <w:t>CAIDI (min)</w:t>
            </w:r>
          </w:p>
        </w:tc>
        <w:tc>
          <w:tcPr>
            <w:tcW w:w="1220" w:type="dxa"/>
            <w:tcBorders>
              <w:top w:val="nil"/>
              <w:left w:val="nil"/>
              <w:bottom w:val="nil"/>
              <w:right w:val="single" w:sz="8" w:space="0" w:color="auto"/>
            </w:tcBorders>
            <w:shd w:val="clear" w:color="000000" w:fill="FF0000"/>
            <w:vAlign w:val="center"/>
            <w:hideMark/>
          </w:tcPr>
          <w:p w:rsidR="00857363" w:rsidRPr="00857363" w:rsidRDefault="00857363" w:rsidP="00A64337">
            <w:pPr>
              <w:spacing w:after="0" w:line="240" w:lineRule="auto"/>
              <w:jc w:val="center"/>
              <w:rPr>
                <w:rFonts w:ascii="Calibri" w:eastAsia="Times New Roman" w:hAnsi="Calibri" w:cs="Times New Roman"/>
                <w:b/>
                <w:color w:val="FFFFFF" w:themeColor="background1"/>
                <w:highlight w:val="red"/>
                <w:lang w:eastAsia="tr-TR" w:bidi="ar-SA"/>
              </w:rPr>
            </w:pPr>
            <w:r w:rsidRPr="00857363">
              <w:rPr>
                <w:rFonts w:ascii="Calibri" w:eastAsia="Times New Roman" w:hAnsi="Calibri" w:cs="Times New Roman"/>
                <w:b/>
                <w:color w:val="FFFFFF" w:themeColor="background1"/>
                <w:highlight w:val="red"/>
                <w:lang w:eastAsia="tr-TR" w:bidi="ar-SA"/>
              </w:rPr>
              <w:t>Unreported</w:t>
            </w:r>
            <w:r w:rsidRPr="00857363">
              <w:rPr>
                <w:rFonts w:ascii="Calibri" w:eastAsia="Times New Roman" w:hAnsi="Calibri" w:cs="Times New Roman"/>
                <w:b/>
                <w:color w:val="FFFFFF" w:themeColor="background1"/>
                <w:highlight w:val="red"/>
                <w:lang w:eastAsia="tr-TR" w:bidi="ar-SA"/>
              </w:rPr>
              <w:br/>
              <w:t>CAIDI</w:t>
            </w:r>
          </w:p>
          <w:p w:rsidR="00857363" w:rsidRPr="00857363" w:rsidRDefault="00857363" w:rsidP="00A64337">
            <w:pPr>
              <w:spacing w:after="0" w:line="240" w:lineRule="auto"/>
              <w:jc w:val="center"/>
              <w:rPr>
                <w:rFonts w:ascii="Calibri" w:eastAsia="Times New Roman" w:hAnsi="Calibri" w:cs="Times New Roman"/>
                <w:b/>
                <w:color w:val="FFFFFF" w:themeColor="background1"/>
                <w:highlight w:val="red"/>
                <w:lang w:eastAsia="tr-TR" w:bidi="ar-SA"/>
              </w:rPr>
            </w:pPr>
            <w:r w:rsidRPr="00857363">
              <w:rPr>
                <w:rFonts w:ascii="Calibri" w:eastAsia="Times New Roman" w:hAnsi="Calibri" w:cs="Times New Roman"/>
                <w:b/>
                <w:color w:val="FFFFFF" w:themeColor="background1"/>
                <w:highlight w:val="red"/>
                <w:lang w:eastAsia="tr-TR" w:bidi="ar-SA"/>
              </w:rPr>
              <w:t>(min)</w:t>
            </w:r>
          </w:p>
        </w:tc>
        <w:tc>
          <w:tcPr>
            <w:tcW w:w="960" w:type="dxa"/>
            <w:tcBorders>
              <w:top w:val="nil"/>
              <w:left w:val="nil"/>
              <w:bottom w:val="nil"/>
              <w:right w:val="single" w:sz="8" w:space="0" w:color="auto"/>
            </w:tcBorders>
            <w:shd w:val="clear" w:color="000000" w:fill="FF0000"/>
            <w:vAlign w:val="center"/>
            <w:hideMark/>
          </w:tcPr>
          <w:p w:rsidR="00857363" w:rsidRPr="00857363" w:rsidRDefault="00857363" w:rsidP="00A64337">
            <w:pPr>
              <w:spacing w:after="0" w:line="240" w:lineRule="auto"/>
              <w:jc w:val="center"/>
              <w:rPr>
                <w:rFonts w:ascii="Calibri" w:eastAsia="Times New Roman" w:hAnsi="Calibri" w:cs="Times New Roman"/>
                <w:b/>
                <w:color w:val="FFFFFF" w:themeColor="background1"/>
                <w:highlight w:val="red"/>
                <w:lang w:eastAsia="tr-TR" w:bidi="ar-SA"/>
              </w:rPr>
            </w:pPr>
            <w:r w:rsidRPr="00857363">
              <w:rPr>
                <w:rFonts w:ascii="Calibri" w:eastAsia="Times New Roman" w:hAnsi="Calibri" w:cs="Times New Roman"/>
                <w:b/>
                <w:color w:val="FFFFFF" w:themeColor="background1"/>
                <w:highlight w:val="red"/>
                <w:lang w:eastAsia="tr-TR" w:bidi="ar-SA"/>
              </w:rPr>
              <w:t xml:space="preserve">Total </w:t>
            </w:r>
            <w:r w:rsidRPr="00857363">
              <w:rPr>
                <w:rFonts w:ascii="Calibri" w:eastAsia="Times New Roman" w:hAnsi="Calibri" w:cs="Times New Roman"/>
                <w:b/>
                <w:color w:val="FFFFFF" w:themeColor="background1"/>
                <w:highlight w:val="red"/>
                <w:lang w:eastAsia="tr-TR" w:bidi="ar-SA"/>
              </w:rPr>
              <w:br/>
              <w:t>CAIDI</w:t>
            </w:r>
          </w:p>
          <w:p w:rsidR="00857363" w:rsidRPr="00857363" w:rsidRDefault="00857363" w:rsidP="00A64337">
            <w:pPr>
              <w:spacing w:after="0" w:line="240" w:lineRule="auto"/>
              <w:jc w:val="center"/>
              <w:rPr>
                <w:rFonts w:ascii="Calibri" w:eastAsia="Times New Roman" w:hAnsi="Calibri" w:cs="Times New Roman"/>
                <w:b/>
                <w:color w:val="FFFFFF" w:themeColor="background1"/>
                <w:highlight w:val="red"/>
                <w:lang w:eastAsia="tr-TR" w:bidi="ar-SA"/>
              </w:rPr>
            </w:pPr>
            <w:r w:rsidRPr="00857363">
              <w:rPr>
                <w:rFonts w:ascii="Calibri" w:eastAsia="Times New Roman" w:hAnsi="Calibri" w:cs="Times New Roman"/>
                <w:b/>
                <w:color w:val="FFFFFF" w:themeColor="background1"/>
                <w:highlight w:val="red"/>
                <w:lang w:eastAsia="tr-TR" w:bidi="ar-SA"/>
              </w:rPr>
              <w:t>(min)</w:t>
            </w:r>
          </w:p>
        </w:tc>
        <w:tc>
          <w:tcPr>
            <w:tcW w:w="1260" w:type="dxa"/>
            <w:vMerge/>
            <w:tcBorders>
              <w:top w:val="single" w:sz="8" w:space="0" w:color="auto"/>
              <w:left w:val="single" w:sz="8" w:space="0" w:color="auto"/>
              <w:bottom w:val="nil"/>
              <w:right w:val="single" w:sz="8" w:space="0" w:color="auto"/>
            </w:tcBorders>
            <w:vAlign w:val="center"/>
            <w:hideMark/>
          </w:tcPr>
          <w:p w:rsidR="00857363" w:rsidRPr="00857363" w:rsidRDefault="00857363" w:rsidP="00A64337">
            <w:pPr>
              <w:spacing w:after="0" w:line="240" w:lineRule="auto"/>
              <w:jc w:val="center"/>
              <w:rPr>
                <w:rFonts w:ascii="Calibri" w:eastAsia="Times New Roman" w:hAnsi="Calibri" w:cs="Times New Roman"/>
                <w:b/>
                <w:bCs/>
                <w:color w:val="FFFFFF"/>
                <w:lang w:eastAsia="tr-TR" w:bidi="ar-SA"/>
              </w:rPr>
            </w:pP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VANGÖLÜ</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658,4</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5.952,9</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6.611,3</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934,5</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9.196,9</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10.131,3</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53,24</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BOĞAZİÇİ</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215,1</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1.129,4</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1.344,5</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240,3</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3.767,5</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4.007,7</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198,09</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FIRAT</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212,6</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1.666,8</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1.879,4</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199,1</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2.281,8</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2.480,9</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32,00</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ULUDAĞ</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473,7</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500,1</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973,8</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628,5</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1.538,6</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2.167,1</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122,55</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MERAM</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1.064,8</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1.330,8</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2.395,6</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832,3</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1.063,2</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1.895,5</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-20,88</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TOROSLAR</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577,3</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1.384,5</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1.961,8</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571,9</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1.238,0</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1.809,9</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-7,74</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TRAKYA</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548,0</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1.470,3</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2.018,3</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556,0</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1.205,3</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1.761,4</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-12,73</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SAKARYA</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508,7</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1.247,1</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1.755,9</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415,4</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1.295,7</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1.711,1</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-2,55</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AKEDAŞ</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435,9</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616,3</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1.052,3</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635,4</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882,3</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1.517,6</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44,23</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GDZ</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410,5</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1.203,2</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1.613,7</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384,1</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1.125,7</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1.509,8</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-6,44</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ÇORUH</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242,8</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850,5</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1.093,2</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326,7</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1.106,1</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1.432,8</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31,06</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ARAS</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269,6</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2.562,5</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2.832,1</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250,3</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1.086,2</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1.336,5</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-52,81</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YEŞİLIRMAK</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477,9</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746,3</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1.224,2</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591,3</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729,8</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1.321,0</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7,91</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ÇAMLIBEL</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506,0</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960,4</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1.466,3</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478,1</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823,5</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1.301,6</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-11,23</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BAŞKENT</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205,2</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363,8</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569,1</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325,5</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961,1</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1.286,6</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126,08</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DİCLE</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10,9</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1.691,8</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1.702,7</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429,8</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842,0</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1.271,9</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-25,30</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OSMANGAZİ</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274,2</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473,2</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747,4</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291,2</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779,6</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1.070,8</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43,26</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ADM</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432,8</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691,5</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1.124,2</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277,1</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770,5</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1.047,7</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-6,81</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AKDENİZ</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302,3</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785,3</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1.087,7</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313,5</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688,1</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1.001,6</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-7,91</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 xml:space="preserve">KAYSERİ </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210,7</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203,4</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414,1</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329,5</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258,8</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588,3</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42,08</w:t>
            </w:r>
          </w:p>
        </w:tc>
      </w:tr>
      <w:tr w:rsidR="00857363" w:rsidRPr="0050344F" w:rsidTr="00857363">
        <w:trPr>
          <w:trHeight w:val="315"/>
        </w:trPr>
        <w:tc>
          <w:tcPr>
            <w:tcW w:w="1860"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A64337">
            <w:pPr>
              <w:spacing w:after="0" w:line="240" w:lineRule="auto"/>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 xml:space="preserve">İSTANBUL AN. </w:t>
            </w:r>
            <w:r w:rsidR="00A64337">
              <w:rPr>
                <w:rFonts w:ascii="Calibri" w:eastAsia="Times New Roman" w:hAnsi="Calibri" w:cs="Times New Roman"/>
                <w:b/>
                <w:bCs/>
                <w:color w:val="FFFFFF"/>
                <w:lang w:eastAsia="tr-TR" w:bidi="ar-SA"/>
              </w:rPr>
              <w:t>SİDE</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178,6</w:t>
            </w:r>
          </w:p>
        </w:tc>
        <w:tc>
          <w:tcPr>
            <w:tcW w:w="1211"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377,5</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556,2</w:t>
            </w:r>
          </w:p>
        </w:tc>
        <w:tc>
          <w:tcPr>
            <w:tcW w:w="995"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183,6</w:t>
            </w:r>
          </w:p>
        </w:tc>
        <w:tc>
          <w:tcPr>
            <w:tcW w:w="122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232,2</w:t>
            </w:r>
          </w:p>
        </w:tc>
        <w:tc>
          <w:tcPr>
            <w:tcW w:w="9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415,8</w:t>
            </w:r>
          </w:p>
        </w:tc>
        <w:tc>
          <w:tcPr>
            <w:tcW w:w="1260"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-25,24</w:t>
            </w:r>
          </w:p>
        </w:tc>
      </w:tr>
      <w:tr w:rsidR="00857363" w:rsidRPr="0050344F" w:rsidTr="00857363">
        <w:trPr>
          <w:trHeight w:val="300"/>
        </w:trPr>
        <w:tc>
          <w:tcPr>
            <w:tcW w:w="1860" w:type="dxa"/>
            <w:tcBorders>
              <w:top w:val="nil"/>
              <w:left w:val="nil"/>
              <w:bottom w:val="nil"/>
              <w:right w:val="nil"/>
            </w:tcBorders>
            <w:shd w:val="clear" w:color="auto" w:fill="auto"/>
            <w:noWrap/>
            <w:vAlign w:val="bottom"/>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p>
        </w:tc>
        <w:tc>
          <w:tcPr>
            <w:tcW w:w="995" w:type="dxa"/>
            <w:tcBorders>
              <w:top w:val="nil"/>
              <w:left w:val="nil"/>
              <w:bottom w:val="nil"/>
              <w:right w:val="nil"/>
            </w:tcBorders>
            <w:shd w:val="clear" w:color="auto" w:fill="auto"/>
            <w:noWrap/>
            <w:vAlign w:val="bottom"/>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p>
        </w:tc>
        <w:tc>
          <w:tcPr>
            <w:tcW w:w="1211" w:type="dxa"/>
            <w:tcBorders>
              <w:top w:val="nil"/>
              <w:left w:val="nil"/>
              <w:bottom w:val="nil"/>
              <w:right w:val="nil"/>
            </w:tcBorders>
            <w:shd w:val="clear" w:color="auto" w:fill="auto"/>
            <w:noWrap/>
            <w:vAlign w:val="bottom"/>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p>
        </w:tc>
        <w:tc>
          <w:tcPr>
            <w:tcW w:w="960" w:type="dxa"/>
            <w:tcBorders>
              <w:top w:val="nil"/>
              <w:left w:val="nil"/>
              <w:bottom w:val="nil"/>
              <w:right w:val="nil"/>
            </w:tcBorders>
            <w:shd w:val="clear" w:color="auto" w:fill="auto"/>
            <w:noWrap/>
            <w:vAlign w:val="bottom"/>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p>
        </w:tc>
        <w:tc>
          <w:tcPr>
            <w:tcW w:w="995" w:type="dxa"/>
            <w:tcBorders>
              <w:top w:val="nil"/>
              <w:left w:val="nil"/>
              <w:bottom w:val="nil"/>
              <w:right w:val="nil"/>
            </w:tcBorders>
            <w:shd w:val="clear" w:color="auto" w:fill="auto"/>
            <w:noWrap/>
            <w:vAlign w:val="bottom"/>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p>
        </w:tc>
        <w:tc>
          <w:tcPr>
            <w:tcW w:w="1220" w:type="dxa"/>
            <w:tcBorders>
              <w:top w:val="nil"/>
              <w:left w:val="nil"/>
              <w:bottom w:val="nil"/>
              <w:right w:val="nil"/>
            </w:tcBorders>
            <w:shd w:val="clear" w:color="auto" w:fill="auto"/>
            <w:noWrap/>
            <w:vAlign w:val="bottom"/>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p>
        </w:tc>
        <w:tc>
          <w:tcPr>
            <w:tcW w:w="960" w:type="dxa"/>
            <w:tcBorders>
              <w:top w:val="nil"/>
              <w:left w:val="nil"/>
              <w:bottom w:val="nil"/>
              <w:right w:val="nil"/>
            </w:tcBorders>
            <w:shd w:val="clear" w:color="auto" w:fill="auto"/>
            <w:noWrap/>
            <w:vAlign w:val="bottom"/>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p>
        </w:tc>
        <w:tc>
          <w:tcPr>
            <w:tcW w:w="1260" w:type="dxa"/>
            <w:tcBorders>
              <w:top w:val="nil"/>
              <w:left w:val="nil"/>
              <w:bottom w:val="nil"/>
              <w:right w:val="nil"/>
            </w:tcBorders>
            <w:shd w:val="clear" w:color="auto" w:fill="auto"/>
            <w:noWrap/>
            <w:vAlign w:val="bottom"/>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p>
        </w:tc>
      </w:tr>
    </w:tbl>
    <w:p w:rsidR="00B37ACD" w:rsidRDefault="00B37ACD" w:rsidP="0099399A">
      <w:pPr>
        <w:pStyle w:val="Balk2"/>
        <w:jc w:val="both"/>
      </w:pPr>
    </w:p>
    <w:p w:rsidR="00857363" w:rsidRPr="0033736D" w:rsidRDefault="00857363" w:rsidP="0099399A">
      <w:pPr>
        <w:spacing w:line="360" w:lineRule="auto"/>
        <w:jc w:val="both"/>
        <w:rPr>
          <w:rFonts w:ascii="Times New Roman" w:hAnsi="Times New Roman" w:cs="Times New Roman"/>
          <w:sz w:val="24"/>
          <w:szCs w:val="24"/>
        </w:rPr>
      </w:pPr>
      <w:r w:rsidRPr="0033736D">
        <w:rPr>
          <w:rFonts w:ascii="Times New Roman" w:hAnsi="Times New Roman" w:cs="Times New Roman"/>
          <w:sz w:val="24"/>
          <w:szCs w:val="24"/>
        </w:rPr>
        <w:t xml:space="preserve">The table above shows the reported, unreported and total Customer Average Interruption Duration Index in 2017 and 2018. While the first three regions were Meram, Vangölü and </w:t>
      </w:r>
      <w:r w:rsidR="00C05688">
        <w:rPr>
          <w:rFonts w:ascii="Times New Roman" w:hAnsi="Times New Roman" w:cs="Times New Roman"/>
          <w:sz w:val="24"/>
          <w:szCs w:val="24"/>
        </w:rPr>
        <w:t>Akedaş</w:t>
      </w:r>
      <w:r w:rsidRPr="0033736D">
        <w:rPr>
          <w:rFonts w:ascii="Times New Roman" w:hAnsi="Times New Roman" w:cs="Times New Roman"/>
          <w:sz w:val="24"/>
          <w:szCs w:val="24"/>
        </w:rPr>
        <w:t xml:space="preserve"> regions according to reported interruptions, Vangölü, </w:t>
      </w:r>
      <w:r w:rsidR="00C05688">
        <w:rPr>
          <w:rFonts w:ascii="Times New Roman" w:hAnsi="Times New Roman" w:cs="Times New Roman"/>
          <w:sz w:val="24"/>
          <w:szCs w:val="24"/>
        </w:rPr>
        <w:t>Boğaziçi</w:t>
      </w:r>
      <w:r w:rsidRPr="0033736D">
        <w:rPr>
          <w:rFonts w:ascii="Times New Roman" w:hAnsi="Times New Roman" w:cs="Times New Roman"/>
          <w:sz w:val="24"/>
          <w:szCs w:val="24"/>
        </w:rPr>
        <w:t xml:space="preserve"> and </w:t>
      </w:r>
      <w:r w:rsidR="00C05688">
        <w:rPr>
          <w:rFonts w:ascii="Times New Roman" w:hAnsi="Times New Roman" w:cs="Times New Roman"/>
          <w:sz w:val="24"/>
          <w:szCs w:val="24"/>
        </w:rPr>
        <w:t xml:space="preserve">Fırat </w:t>
      </w:r>
      <w:r w:rsidRPr="0033736D">
        <w:rPr>
          <w:rFonts w:ascii="Times New Roman" w:hAnsi="Times New Roman" w:cs="Times New Roman"/>
          <w:sz w:val="24"/>
          <w:szCs w:val="24"/>
        </w:rPr>
        <w:t xml:space="preserve">regions were the first three regarding unreported interruptions.  </w:t>
      </w:r>
    </w:p>
    <w:p w:rsidR="00857363" w:rsidRPr="0033736D" w:rsidRDefault="00857363" w:rsidP="0099399A">
      <w:pPr>
        <w:spacing w:line="360" w:lineRule="auto"/>
        <w:jc w:val="both"/>
        <w:rPr>
          <w:rFonts w:ascii="Times New Roman" w:hAnsi="Times New Roman" w:cs="Times New Roman"/>
          <w:sz w:val="24"/>
          <w:szCs w:val="24"/>
        </w:rPr>
      </w:pPr>
      <w:bookmarkStart w:id="849" w:name="_Toc450309979"/>
      <w:bookmarkStart w:id="850" w:name="_Toc483822855"/>
      <w:r w:rsidRPr="0033736D">
        <w:rPr>
          <w:rFonts w:ascii="Times New Roman" w:hAnsi="Times New Roman" w:cs="Times New Roman"/>
          <w:sz w:val="24"/>
          <w:szCs w:val="24"/>
        </w:rPr>
        <w:t xml:space="preserve">The highest Customer Average Interruption Duration Index was observed in Vangölü region with </w:t>
      </w:r>
      <w:r w:rsidR="00C05688">
        <w:rPr>
          <w:rFonts w:ascii="Times New Roman" w:hAnsi="Times New Roman" w:cs="Times New Roman"/>
          <w:sz w:val="24"/>
          <w:szCs w:val="24"/>
        </w:rPr>
        <w:t>10.131</w:t>
      </w:r>
      <w:r w:rsidRPr="0033736D">
        <w:rPr>
          <w:rFonts w:ascii="Times New Roman" w:hAnsi="Times New Roman" w:cs="Times New Roman"/>
          <w:sz w:val="24"/>
          <w:szCs w:val="24"/>
        </w:rPr>
        <w:t>,</w:t>
      </w:r>
      <w:r w:rsidR="00C05688">
        <w:rPr>
          <w:rFonts w:ascii="Times New Roman" w:hAnsi="Times New Roman" w:cs="Times New Roman"/>
          <w:sz w:val="24"/>
          <w:szCs w:val="24"/>
        </w:rPr>
        <w:t>3 minutes and Boğaziçi region with 4.007,7</w:t>
      </w:r>
      <w:r w:rsidRPr="0033736D">
        <w:rPr>
          <w:rFonts w:ascii="Times New Roman" w:hAnsi="Times New Roman" w:cs="Times New Roman"/>
          <w:sz w:val="24"/>
          <w:szCs w:val="24"/>
        </w:rPr>
        <w:t xml:space="preserve"> minutes. </w:t>
      </w:r>
    </w:p>
    <w:p w:rsidR="004C7560" w:rsidRDefault="004C7560" w:rsidP="00C15D06">
      <w:pPr>
        <w:pStyle w:val="Balk1"/>
        <w:rPr>
          <w:rFonts w:eastAsiaTheme="minorEastAsia"/>
        </w:rPr>
      </w:pPr>
      <w:bookmarkStart w:id="851" w:name="_Toc494982856"/>
      <w:bookmarkStart w:id="852" w:name="_Toc514674275"/>
      <w:bookmarkStart w:id="853" w:name="_Toc520822071"/>
      <w:bookmarkStart w:id="854" w:name="_Toc10123950"/>
      <w:bookmarkStart w:id="855" w:name="_Toc10191451"/>
      <w:bookmarkEnd w:id="849"/>
      <w:bookmarkEnd w:id="850"/>
    </w:p>
    <w:p w:rsidR="00857363" w:rsidRPr="00E95A7D" w:rsidRDefault="00857363" w:rsidP="00C15D06">
      <w:pPr>
        <w:pStyle w:val="Balk1"/>
      </w:pPr>
      <w:bookmarkStart w:id="856" w:name="_Toc12526323"/>
      <w:r w:rsidRPr="00E95A7D">
        <w:rPr>
          <w:rFonts w:eastAsiaTheme="minorEastAsia"/>
        </w:rPr>
        <w:t>Table 5.8:</w:t>
      </w:r>
      <w:r w:rsidRPr="00705074">
        <w:t xml:space="preserve"> Customer Average Interruption Duration Ind</w:t>
      </w:r>
      <w:r>
        <w:t xml:space="preserve">ices of </w:t>
      </w:r>
      <w:r w:rsidRPr="00705074">
        <w:t>Distribution Companies</w:t>
      </w:r>
      <w:r w:rsidRPr="00705074" w:rsidDel="00705074">
        <w:t xml:space="preserve"> </w:t>
      </w:r>
      <w:r>
        <w:t>by reason in 2018</w:t>
      </w:r>
      <w:r w:rsidRPr="0037086D">
        <w:t xml:space="preserve"> </w:t>
      </w:r>
      <w:r>
        <w:t>(min)</w:t>
      </w:r>
      <w:bookmarkEnd w:id="851"/>
      <w:bookmarkEnd w:id="852"/>
      <w:bookmarkEnd w:id="853"/>
      <w:bookmarkEnd w:id="854"/>
      <w:bookmarkEnd w:id="855"/>
      <w:bookmarkEnd w:id="856"/>
    </w:p>
    <w:p w:rsidR="00B37ACD" w:rsidRDefault="00B37ACD" w:rsidP="0099399A">
      <w:pPr>
        <w:jc w:val="both"/>
      </w:pPr>
    </w:p>
    <w:tbl>
      <w:tblPr>
        <w:tblW w:w="9229" w:type="dxa"/>
        <w:tblInd w:w="55" w:type="dxa"/>
        <w:tblCellMar>
          <w:left w:w="70" w:type="dxa"/>
          <w:right w:w="70" w:type="dxa"/>
        </w:tblCellMar>
        <w:tblLook w:val="04A0" w:firstRow="1" w:lastRow="0" w:firstColumn="1" w:lastColumn="0" w:noHBand="0" w:noVBand="1"/>
      </w:tblPr>
      <w:tblGrid>
        <w:gridCol w:w="2425"/>
        <w:gridCol w:w="992"/>
        <w:gridCol w:w="993"/>
        <w:gridCol w:w="1417"/>
        <w:gridCol w:w="2126"/>
        <w:gridCol w:w="1276"/>
      </w:tblGrid>
      <w:tr w:rsidR="00857363" w:rsidRPr="0050344F" w:rsidTr="00C14C79">
        <w:trPr>
          <w:trHeight w:val="788"/>
        </w:trPr>
        <w:tc>
          <w:tcPr>
            <w:tcW w:w="24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857363" w:rsidRPr="00DE0519" w:rsidRDefault="00857363" w:rsidP="0099399A">
            <w:pPr>
              <w:spacing w:after="0" w:line="240" w:lineRule="auto"/>
              <w:jc w:val="both"/>
              <w:rPr>
                <w:rFonts w:ascii="Calibri" w:eastAsia="Times New Roman" w:hAnsi="Calibri" w:cs="Times New Roman"/>
                <w:b/>
                <w:bCs/>
                <w:color w:val="FFFFFF"/>
                <w:sz w:val="24"/>
                <w:szCs w:val="24"/>
                <w:lang w:eastAsia="tr-TR" w:bidi="ar-SA"/>
              </w:rPr>
            </w:pPr>
            <w:r>
              <w:rPr>
                <w:rFonts w:ascii="Calibri" w:eastAsia="Times New Roman" w:hAnsi="Calibri" w:cs="Times New Roman"/>
                <w:b/>
                <w:bCs/>
                <w:color w:val="FFFFFF"/>
                <w:sz w:val="24"/>
                <w:szCs w:val="24"/>
                <w:lang w:eastAsia="tr-TR" w:bidi="ar-SA"/>
              </w:rPr>
              <w:t>DISTRIBUTION COMPAN</w:t>
            </w:r>
            <w:r w:rsidR="00EC40F4">
              <w:rPr>
                <w:rFonts w:ascii="Calibri" w:eastAsia="Times New Roman" w:hAnsi="Calibri" w:cs="Times New Roman"/>
                <w:b/>
                <w:bCs/>
                <w:color w:val="FFFFFF"/>
                <w:sz w:val="24"/>
                <w:szCs w:val="24"/>
                <w:lang w:eastAsia="tr-TR" w:bidi="ar-SA"/>
              </w:rPr>
              <w:t>Y</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rsidR="00857363" w:rsidRPr="00DE0519" w:rsidRDefault="00857363" w:rsidP="0099399A">
            <w:pPr>
              <w:spacing w:after="0" w:line="240" w:lineRule="auto"/>
              <w:jc w:val="both"/>
              <w:rPr>
                <w:rFonts w:ascii="Calibri" w:eastAsia="Times New Roman" w:hAnsi="Calibri" w:cs="Times New Roman"/>
                <w:b/>
                <w:bCs/>
                <w:color w:val="FFFFFF"/>
                <w:sz w:val="24"/>
                <w:szCs w:val="24"/>
                <w:lang w:eastAsia="tr-TR" w:bidi="ar-SA"/>
              </w:rPr>
            </w:pPr>
            <w:r>
              <w:rPr>
                <w:rFonts w:ascii="Calibri" w:eastAsia="Times New Roman" w:hAnsi="Calibri" w:cs="Times New Roman"/>
                <w:b/>
                <w:bCs/>
                <w:color w:val="FFFFFF"/>
                <w:sz w:val="24"/>
                <w:szCs w:val="24"/>
                <w:lang w:eastAsia="tr-TR" w:bidi="ar-SA"/>
              </w:rPr>
              <w:t>External</w:t>
            </w:r>
          </w:p>
        </w:tc>
        <w:tc>
          <w:tcPr>
            <w:tcW w:w="993" w:type="dxa"/>
            <w:tcBorders>
              <w:top w:val="single" w:sz="8" w:space="0" w:color="auto"/>
              <w:left w:val="nil"/>
              <w:bottom w:val="single" w:sz="8" w:space="0" w:color="auto"/>
              <w:right w:val="single" w:sz="8" w:space="0" w:color="auto"/>
            </w:tcBorders>
            <w:shd w:val="clear" w:color="000000" w:fill="FF0000"/>
            <w:noWrap/>
            <w:vAlign w:val="center"/>
            <w:hideMark/>
          </w:tcPr>
          <w:p w:rsidR="00857363" w:rsidRPr="00DE0519" w:rsidRDefault="00857363" w:rsidP="0099399A">
            <w:pPr>
              <w:spacing w:after="0" w:line="240" w:lineRule="auto"/>
              <w:jc w:val="both"/>
              <w:rPr>
                <w:rFonts w:ascii="Calibri" w:eastAsia="Times New Roman" w:hAnsi="Calibri" w:cs="Times New Roman"/>
                <w:b/>
                <w:bCs/>
                <w:color w:val="FFFFFF"/>
                <w:sz w:val="24"/>
                <w:szCs w:val="24"/>
                <w:lang w:eastAsia="tr-TR" w:bidi="ar-SA"/>
              </w:rPr>
            </w:pPr>
            <w:r>
              <w:rPr>
                <w:rFonts w:ascii="Calibri" w:eastAsia="Times New Roman" w:hAnsi="Calibri" w:cs="Times New Roman"/>
                <w:b/>
                <w:bCs/>
                <w:color w:val="FFFFFF"/>
                <w:sz w:val="24"/>
                <w:szCs w:val="24"/>
                <w:lang w:eastAsia="tr-TR" w:bidi="ar-SA"/>
              </w:rPr>
              <w:t>Security</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rsidR="00857363" w:rsidRPr="00DE0519" w:rsidRDefault="00857363" w:rsidP="0099399A">
            <w:pPr>
              <w:spacing w:after="0" w:line="240" w:lineRule="auto"/>
              <w:jc w:val="both"/>
              <w:rPr>
                <w:rFonts w:ascii="Calibri" w:eastAsia="Times New Roman" w:hAnsi="Calibri" w:cs="Times New Roman"/>
                <w:b/>
                <w:bCs/>
                <w:color w:val="FFFFFF"/>
                <w:sz w:val="24"/>
                <w:szCs w:val="24"/>
                <w:lang w:eastAsia="tr-TR" w:bidi="ar-SA"/>
              </w:rPr>
            </w:pPr>
            <w:r>
              <w:rPr>
                <w:rFonts w:ascii="Calibri" w:eastAsia="Times New Roman" w:hAnsi="Calibri" w:cs="Times New Roman"/>
                <w:b/>
                <w:bCs/>
                <w:color w:val="FFFFFF"/>
                <w:sz w:val="24"/>
                <w:szCs w:val="24"/>
                <w:lang w:eastAsia="tr-TR" w:bidi="ar-SA"/>
              </w:rPr>
              <w:t>Force Major</w:t>
            </w:r>
          </w:p>
        </w:tc>
        <w:tc>
          <w:tcPr>
            <w:tcW w:w="2126" w:type="dxa"/>
            <w:tcBorders>
              <w:top w:val="single" w:sz="8" w:space="0" w:color="auto"/>
              <w:left w:val="nil"/>
              <w:bottom w:val="single" w:sz="8" w:space="0" w:color="auto"/>
              <w:right w:val="single" w:sz="8" w:space="0" w:color="auto"/>
            </w:tcBorders>
            <w:shd w:val="clear" w:color="000000" w:fill="FF0000"/>
            <w:noWrap/>
            <w:vAlign w:val="center"/>
            <w:hideMark/>
          </w:tcPr>
          <w:p w:rsidR="00857363" w:rsidRPr="00DE0519" w:rsidRDefault="00857363" w:rsidP="0099399A">
            <w:pPr>
              <w:spacing w:after="0" w:line="240" w:lineRule="auto"/>
              <w:jc w:val="both"/>
              <w:rPr>
                <w:rFonts w:ascii="Calibri" w:eastAsia="Times New Roman" w:hAnsi="Calibri" w:cs="Times New Roman"/>
                <w:b/>
                <w:bCs/>
                <w:color w:val="FFFFFF"/>
                <w:sz w:val="24"/>
                <w:szCs w:val="24"/>
                <w:lang w:eastAsia="tr-TR" w:bidi="ar-SA"/>
              </w:rPr>
            </w:pPr>
            <w:r>
              <w:rPr>
                <w:rFonts w:ascii="Calibri" w:eastAsia="Times New Roman" w:hAnsi="Calibri" w:cs="Times New Roman"/>
                <w:b/>
                <w:bCs/>
                <w:color w:val="FFFFFF"/>
                <w:sz w:val="24"/>
                <w:szCs w:val="24"/>
                <w:lang w:eastAsia="tr-TR" w:bidi="ar-SA"/>
              </w:rPr>
              <w:t>Network Operator</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857363" w:rsidRPr="00DE0519" w:rsidRDefault="00857363" w:rsidP="0099399A">
            <w:pPr>
              <w:spacing w:after="0" w:line="240" w:lineRule="auto"/>
              <w:jc w:val="both"/>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To</w:t>
            </w:r>
            <w:r>
              <w:rPr>
                <w:rFonts w:ascii="Calibri" w:eastAsia="Times New Roman" w:hAnsi="Calibri" w:cs="Times New Roman"/>
                <w:b/>
                <w:bCs/>
                <w:color w:val="FFFFFF"/>
                <w:sz w:val="24"/>
                <w:szCs w:val="24"/>
                <w:lang w:eastAsia="tr-TR" w:bidi="ar-SA"/>
              </w:rPr>
              <w:t>tal</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VANGÖLÜ</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10.131,3</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10.131,3</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BOĞAZİÇİ</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48,3</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43,9</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3.915,5</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4.007,7</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FIRAT</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13,3</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2.463,2</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2.480,9</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ULUDAĞ</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91,9</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21,3</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2.054,0</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2.167,1</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MERAM</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91,2</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4,2</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18,9</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1.781,2</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1.895,5</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TOROSLAR</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35,7</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49,2</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1.725,1</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1.809,9</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TRAKYA</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11,1</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16,3</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0,6</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1.733,3</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1.761,4</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SAKARYA</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47,6</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9,5</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1.654,0</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1.711,1</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AKEDAŞ</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21,4</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51,0</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1.436,3</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1.517,6</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GDZ</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14,8</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1.493,7</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1.509,8</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ÇORUH</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16,8</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0,1</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1.415,9</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1.432,8</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ARAS</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3,0</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0,3</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546,0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787,2</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1.336,5</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YEŞİLIRMAK</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32,1</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13,6</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5,5</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1.269,8</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1.321,0</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ÇAMLIBEL</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2,0</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1.298,5</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1.301,6</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BAŞKENT</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55,0</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65,6</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1.166,0</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1.286,6</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DİCLE</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8,0</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0,2</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1.263,6</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1.271,9</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OSMANGAZİ</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10,4</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0,6</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1.059,7</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1.070,8</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ADM</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28,7</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9,9</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1.009,1</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1.047,7</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AKDENİZ</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24,0</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30,3</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947,3</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1.001,6</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99399A">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KAYSERİ VE CİVARI</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44,0</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0,5</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1,2</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542,6</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588,3</w:t>
            </w:r>
          </w:p>
        </w:tc>
      </w:tr>
      <w:tr w:rsidR="00857363" w:rsidRPr="0050344F" w:rsidTr="00C14C79">
        <w:trPr>
          <w:trHeight w:val="315"/>
        </w:trPr>
        <w:tc>
          <w:tcPr>
            <w:tcW w:w="2425" w:type="dxa"/>
            <w:tcBorders>
              <w:top w:val="nil"/>
              <w:left w:val="single" w:sz="8" w:space="0" w:color="auto"/>
              <w:bottom w:val="single" w:sz="8" w:space="0" w:color="auto"/>
              <w:right w:val="single" w:sz="8" w:space="0" w:color="auto"/>
            </w:tcBorders>
            <w:shd w:val="clear" w:color="000000" w:fill="FF5050"/>
            <w:noWrap/>
            <w:vAlign w:val="center"/>
            <w:hideMark/>
          </w:tcPr>
          <w:p w:rsidR="00857363" w:rsidRPr="0050344F" w:rsidRDefault="00857363" w:rsidP="00A64337">
            <w:pPr>
              <w:spacing w:after="0" w:line="240" w:lineRule="auto"/>
              <w:jc w:val="both"/>
              <w:rPr>
                <w:rFonts w:ascii="Calibri" w:eastAsia="Times New Roman" w:hAnsi="Calibri" w:cs="Times New Roman"/>
                <w:b/>
                <w:bCs/>
                <w:color w:val="FFFFFF"/>
                <w:lang w:eastAsia="tr-TR" w:bidi="ar-SA"/>
              </w:rPr>
            </w:pPr>
            <w:r w:rsidRPr="0050344F">
              <w:rPr>
                <w:rFonts w:ascii="Calibri" w:eastAsia="Times New Roman" w:hAnsi="Calibri" w:cs="Times New Roman"/>
                <w:b/>
                <w:bCs/>
                <w:color w:val="FFFFFF"/>
                <w:lang w:eastAsia="tr-TR" w:bidi="ar-SA"/>
              </w:rPr>
              <w:t xml:space="preserve">İSTANBUL </w:t>
            </w:r>
            <w:r w:rsidR="00A64337">
              <w:rPr>
                <w:rFonts w:ascii="Calibri" w:eastAsia="Times New Roman" w:hAnsi="Calibri" w:cs="Times New Roman"/>
                <w:b/>
                <w:bCs/>
                <w:color w:val="FFFFFF"/>
                <w:lang w:eastAsia="tr-TR" w:bidi="ar-SA"/>
              </w:rPr>
              <w:t>ANT.SİDE</w:t>
            </w:r>
          </w:p>
        </w:tc>
        <w:tc>
          <w:tcPr>
            <w:tcW w:w="992"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17,1</w:t>
            </w:r>
          </w:p>
        </w:tc>
        <w:tc>
          <w:tcPr>
            <w:tcW w:w="993"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5,8</w:t>
            </w:r>
          </w:p>
        </w:tc>
        <w:tc>
          <w:tcPr>
            <w:tcW w:w="1417"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0,0</w:t>
            </w:r>
          </w:p>
        </w:tc>
        <w:tc>
          <w:tcPr>
            <w:tcW w:w="212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393,0</w:t>
            </w:r>
          </w:p>
        </w:tc>
        <w:tc>
          <w:tcPr>
            <w:tcW w:w="1276" w:type="dxa"/>
            <w:tcBorders>
              <w:top w:val="nil"/>
              <w:left w:val="nil"/>
              <w:bottom w:val="single" w:sz="8" w:space="0" w:color="auto"/>
              <w:right w:val="single" w:sz="8" w:space="0" w:color="auto"/>
            </w:tcBorders>
            <w:shd w:val="clear" w:color="auto" w:fill="auto"/>
            <w:noWrap/>
            <w:vAlign w:val="center"/>
            <w:hideMark/>
          </w:tcPr>
          <w:p w:rsidR="00857363" w:rsidRPr="0050344F" w:rsidRDefault="00857363" w:rsidP="0099399A">
            <w:pPr>
              <w:spacing w:after="0" w:line="240" w:lineRule="auto"/>
              <w:jc w:val="both"/>
              <w:rPr>
                <w:rFonts w:ascii="Calibri" w:eastAsia="Times New Roman" w:hAnsi="Calibri" w:cs="Times New Roman"/>
                <w:color w:val="000000"/>
                <w:lang w:eastAsia="tr-TR" w:bidi="ar-SA"/>
              </w:rPr>
            </w:pPr>
            <w:r w:rsidRPr="0050344F">
              <w:rPr>
                <w:rFonts w:ascii="Calibri" w:eastAsia="Times New Roman" w:hAnsi="Calibri" w:cs="Times New Roman"/>
                <w:color w:val="000000"/>
                <w:lang w:eastAsia="tr-TR" w:bidi="ar-SA"/>
              </w:rPr>
              <w:t>415,8</w:t>
            </w:r>
          </w:p>
        </w:tc>
      </w:tr>
    </w:tbl>
    <w:p w:rsidR="00B37ACD" w:rsidRDefault="00B37ACD" w:rsidP="0099399A">
      <w:pPr>
        <w:jc w:val="both"/>
      </w:pPr>
    </w:p>
    <w:p w:rsidR="00B37ACD" w:rsidRDefault="00B37ACD" w:rsidP="0099399A">
      <w:pPr>
        <w:jc w:val="both"/>
      </w:pPr>
    </w:p>
    <w:p w:rsidR="00857363" w:rsidRPr="002152E5" w:rsidRDefault="00857363" w:rsidP="0099399A">
      <w:pPr>
        <w:spacing w:line="360" w:lineRule="auto"/>
        <w:jc w:val="both"/>
        <w:rPr>
          <w:rFonts w:ascii="Times New Roman" w:hAnsi="Times New Roman" w:cs="Times New Roman"/>
          <w:sz w:val="24"/>
          <w:szCs w:val="24"/>
        </w:rPr>
      </w:pPr>
      <w:r w:rsidRPr="002152E5">
        <w:rPr>
          <w:rFonts w:ascii="Times New Roman" w:hAnsi="Times New Roman" w:cs="Times New Roman"/>
          <w:sz w:val="24"/>
          <w:szCs w:val="24"/>
        </w:rPr>
        <w:lastRenderedPageBreak/>
        <w:t>The table above shows the distribution of CAIDI according to the reasons. It seems that the highest interruption duration was caused by the network operator.</w:t>
      </w:r>
    </w:p>
    <w:p w:rsidR="00857363" w:rsidRPr="002152E5" w:rsidRDefault="00857363" w:rsidP="0099399A">
      <w:pPr>
        <w:spacing w:line="360" w:lineRule="auto"/>
        <w:jc w:val="both"/>
        <w:rPr>
          <w:rFonts w:ascii="Times New Roman" w:hAnsi="Times New Roman" w:cs="Times New Roman"/>
          <w:sz w:val="24"/>
          <w:szCs w:val="24"/>
        </w:rPr>
      </w:pPr>
      <w:r w:rsidRPr="002152E5">
        <w:rPr>
          <w:rFonts w:ascii="Times New Roman" w:hAnsi="Times New Roman" w:cs="Times New Roman"/>
          <w:sz w:val="24"/>
          <w:szCs w:val="24"/>
        </w:rPr>
        <w:t>The following table shows the average interruption frequency of distribution companies. The highest Customer Average Interruption Duration was 78,4 per customer in the Vangölü region, followed by the Sakarya region with 37,7 (Customer/Year).</w:t>
      </w:r>
      <w:bookmarkStart w:id="857" w:name="_Toc450309980"/>
    </w:p>
    <w:p w:rsidR="004C7560" w:rsidRDefault="004C7560" w:rsidP="00A64337">
      <w:pPr>
        <w:pStyle w:val="Balk1"/>
        <w:rPr>
          <w:rFonts w:eastAsiaTheme="minorEastAsia"/>
        </w:rPr>
      </w:pPr>
      <w:bookmarkStart w:id="858" w:name="_Toc494982857"/>
      <w:bookmarkStart w:id="859" w:name="_Toc514674276"/>
      <w:bookmarkStart w:id="860" w:name="_Toc520822072"/>
      <w:bookmarkStart w:id="861" w:name="_Toc10123951"/>
      <w:bookmarkStart w:id="862" w:name="_Toc10191452"/>
    </w:p>
    <w:p w:rsidR="00857363" w:rsidRPr="00E95A7D" w:rsidRDefault="00857363" w:rsidP="00A64337">
      <w:pPr>
        <w:pStyle w:val="Balk1"/>
      </w:pPr>
      <w:bookmarkStart w:id="863" w:name="_Toc12526324"/>
      <w:r w:rsidRPr="00E95A7D">
        <w:rPr>
          <w:rFonts w:eastAsiaTheme="minorEastAsia"/>
        </w:rPr>
        <w:t>Table</w:t>
      </w:r>
      <w:r>
        <w:rPr>
          <w:rFonts w:eastAsiaTheme="minorEastAsia"/>
        </w:rPr>
        <w:t xml:space="preserve"> 5</w:t>
      </w:r>
      <w:r w:rsidRPr="00E95A7D">
        <w:rPr>
          <w:rFonts w:eastAsiaTheme="minorEastAsia"/>
        </w:rPr>
        <w:t>.9:</w:t>
      </w:r>
      <w:r w:rsidRPr="00E95A7D">
        <w:t xml:space="preserve">  </w:t>
      </w:r>
      <w:r w:rsidRPr="00705074">
        <w:t>Customer Average Interruption Frequency Ind</w:t>
      </w:r>
      <w:r>
        <w:t>ices of</w:t>
      </w:r>
      <w:r w:rsidRPr="00705074">
        <w:t xml:space="preserve"> </w:t>
      </w:r>
      <w:r>
        <w:t>Distribution Companies</w:t>
      </w:r>
      <w:r w:rsidRPr="00705074">
        <w:t xml:space="preserve"> </w:t>
      </w:r>
      <w:r>
        <w:t>in 2017 and 2018</w:t>
      </w:r>
      <w:r w:rsidRPr="005832E5">
        <w:t xml:space="preserve"> (Number/Year)</w:t>
      </w:r>
      <w:bookmarkEnd w:id="858"/>
      <w:bookmarkEnd w:id="859"/>
      <w:bookmarkEnd w:id="860"/>
      <w:bookmarkEnd w:id="861"/>
      <w:bookmarkEnd w:id="862"/>
      <w:bookmarkEnd w:id="863"/>
    </w:p>
    <w:tbl>
      <w:tblPr>
        <w:tblW w:w="9771" w:type="dxa"/>
        <w:tblInd w:w="55" w:type="dxa"/>
        <w:tblCellMar>
          <w:left w:w="70" w:type="dxa"/>
          <w:right w:w="70" w:type="dxa"/>
        </w:tblCellMar>
        <w:tblLook w:val="04A0" w:firstRow="1" w:lastRow="0" w:firstColumn="1" w:lastColumn="0" w:noHBand="0" w:noVBand="1"/>
      </w:tblPr>
      <w:tblGrid>
        <w:gridCol w:w="1660"/>
        <w:gridCol w:w="1043"/>
        <w:gridCol w:w="1211"/>
        <w:gridCol w:w="635"/>
        <w:gridCol w:w="876"/>
        <w:gridCol w:w="1043"/>
        <w:gridCol w:w="1211"/>
        <w:gridCol w:w="635"/>
        <w:gridCol w:w="876"/>
        <w:gridCol w:w="869"/>
      </w:tblGrid>
      <w:tr w:rsidR="00EC40F4" w:rsidRPr="00EA7456" w:rsidTr="00EC40F4">
        <w:trPr>
          <w:trHeight w:val="424"/>
        </w:trPr>
        <w:tc>
          <w:tcPr>
            <w:tcW w:w="1660" w:type="dxa"/>
            <w:vMerge w:val="restart"/>
            <w:tcBorders>
              <w:top w:val="nil"/>
              <w:left w:val="nil"/>
              <w:bottom w:val="single" w:sz="8" w:space="0" w:color="000000"/>
              <w:right w:val="single" w:sz="8" w:space="0" w:color="auto"/>
            </w:tcBorders>
            <w:shd w:val="clear" w:color="000000" w:fill="FF0000"/>
            <w:vAlign w:val="center"/>
            <w:hideMark/>
          </w:tcPr>
          <w:p w:rsidR="00EC40F4" w:rsidRPr="00EA7456" w:rsidRDefault="00EC40F4" w:rsidP="00A64337">
            <w:pPr>
              <w:spacing w:after="0" w:line="240" w:lineRule="auto"/>
              <w:jc w:val="center"/>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DISTRIBUTION COMPANY</w:t>
            </w:r>
          </w:p>
        </w:tc>
        <w:tc>
          <w:tcPr>
            <w:tcW w:w="3621"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EC40F4" w:rsidRPr="00DE0519" w:rsidRDefault="00EC40F4" w:rsidP="00A64337">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2017</w:t>
            </w:r>
          </w:p>
        </w:tc>
        <w:tc>
          <w:tcPr>
            <w:tcW w:w="3621" w:type="dxa"/>
            <w:gridSpan w:val="4"/>
            <w:tcBorders>
              <w:top w:val="single" w:sz="8" w:space="0" w:color="auto"/>
              <w:left w:val="nil"/>
              <w:bottom w:val="single" w:sz="8" w:space="0" w:color="auto"/>
              <w:right w:val="single" w:sz="8" w:space="0" w:color="000000"/>
            </w:tcBorders>
            <w:shd w:val="clear" w:color="000000" w:fill="FF0000"/>
            <w:noWrap/>
            <w:vAlign w:val="center"/>
            <w:hideMark/>
          </w:tcPr>
          <w:p w:rsidR="00EC40F4" w:rsidRPr="00DE0519" w:rsidRDefault="00EC40F4" w:rsidP="00A64337">
            <w:pPr>
              <w:spacing w:after="0" w:line="240" w:lineRule="auto"/>
              <w:jc w:val="center"/>
              <w:rPr>
                <w:rFonts w:ascii="Calibri" w:eastAsia="Times New Roman" w:hAnsi="Calibri" w:cs="Times New Roman"/>
                <w:b/>
                <w:bCs/>
                <w:color w:val="FFFFFF"/>
                <w:sz w:val="24"/>
                <w:szCs w:val="24"/>
                <w:lang w:eastAsia="tr-TR" w:bidi="ar-SA"/>
              </w:rPr>
            </w:pPr>
            <w:r w:rsidRPr="00DE0519">
              <w:rPr>
                <w:rFonts w:ascii="Calibri" w:eastAsia="Times New Roman" w:hAnsi="Calibri" w:cs="Times New Roman"/>
                <w:b/>
                <w:bCs/>
                <w:color w:val="FFFFFF"/>
                <w:sz w:val="24"/>
                <w:szCs w:val="24"/>
                <w:lang w:eastAsia="tr-TR" w:bidi="ar-SA"/>
              </w:rPr>
              <w:t>2018</w:t>
            </w:r>
          </w:p>
        </w:tc>
        <w:tc>
          <w:tcPr>
            <w:tcW w:w="869"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Change</w:t>
            </w:r>
            <w:r w:rsidRPr="00EA7456">
              <w:rPr>
                <w:rFonts w:ascii="Calibri" w:eastAsia="Times New Roman" w:hAnsi="Calibri" w:cs="Times New Roman"/>
                <w:b/>
                <w:bCs/>
                <w:color w:val="FFFFFF"/>
                <w:lang w:eastAsia="tr-TR" w:bidi="ar-SA"/>
              </w:rPr>
              <w:t xml:space="preserve"> (%)</w:t>
            </w:r>
          </w:p>
        </w:tc>
      </w:tr>
      <w:tr w:rsidR="00EC40F4" w:rsidRPr="00EA7456" w:rsidTr="00EC40F4">
        <w:trPr>
          <w:trHeight w:val="531"/>
        </w:trPr>
        <w:tc>
          <w:tcPr>
            <w:tcW w:w="1660" w:type="dxa"/>
            <w:vMerge/>
            <w:tcBorders>
              <w:top w:val="nil"/>
              <w:left w:val="nil"/>
              <w:bottom w:val="single" w:sz="8" w:space="0" w:color="000000"/>
              <w:right w:val="single" w:sz="8" w:space="0" w:color="auto"/>
            </w:tcBorders>
            <w:vAlign w:val="center"/>
            <w:hideMark/>
          </w:tcPr>
          <w:p w:rsidR="00EC40F4" w:rsidRPr="00EA7456" w:rsidRDefault="00EC40F4" w:rsidP="00A64337">
            <w:pPr>
              <w:spacing w:after="0" w:line="240" w:lineRule="auto"/>
              <w:jc w:val="center"/>
              <w:rPr>
                <w:rFonts w:ascii="Calibri" w:eastAsia="Times New Roman" w:hAnsi="Calibri" w:cs="Times New Roman"/>
                <w:b/>
                <w:bCs/>
                <w:color w:val="FFFFFF"/>
                <w:lang w:eastAsia="tr-TR" w:bidi="ar-SA"/>
              </w:rPr>
            </w:pPr>
          </w:p>
        </w:tc>
        <w:tc>
          <w:tcPr>
            <w:tcW w:w="1043" w:type="dxa"/>
            <w:tcBorders>
              <w:top w:val="nil"/>
              <w:left w:val="nil"/>
              <w:bottom w:val="single" w:sz="8" w:space="0" w:color="auto"/>
              <w:right w:val="single" w:sz="8" w:space="0" w:color="auto"/>
            </w:tcBorders>
            <w:shd w:val="clear" w:color="000000" w:fill="FF0000"/>
            <w:noWrap/>
            <w:vAlign w:val="bottom"/>
            <w:hideMark/>
          </w:tcPr>
          <w:p w:rsidR="00EC40F4" w:rsidRPr="001C77FE" w:rsidRDefault="00EC40F4" w:rsidP="00A64337">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Reported</w:t>
            </w:r>
          </w:p>
        </w:tc>
        <w:tc>
          <w:tcPr>
            <w:tcW w:w="1191" w:type="dxa"/>
            <w:tcBorders>
              <w:top w:val="nil"/>
              <w:left w:val="nil"/>
              <w:bottom w:val="single" w:sz="8" w:space="0" w:color="auto"/>
              <w:right w:val="single" w:sz="8" w:space="0" w:color="auto"/>
            </w:tcBorders>
            <w:shd w:val="clear" w:color="000000" w:fill="FF0000"/>
            <w:noWrap/>
            <w:vAlign w:val="bottom"/>
            <w:hideMark/>
          </w:tcPr>
          <w:p w:rsidR="00EC40F4" w:rsidRPr="001C77FE" w:rsidRDefault="00EC40F4" w:rsidP="00A64337">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Unreported</w:t>
            </w:r>
          </w:p>
        </w:tc>
        <w:tc>
          <w:tcPr>
            <w:tcW w:w="511" w:type="dxa"/>
            <w:tcBorders>
              <w:top w:val="nil"/>
              <w:left w:val="nil"/>
              <w:bottom w:val="single" w:sz="8" w:space="0" w:color="auto"/>
              <w:right w:val="single" w:sz="8" w:space="0" w:color="auto"/>
            </w:tcBorders>
            <w:shd w:val="clear" w:color="000000" w:fill="FF0000"/>
            <w:noWrap/>
            <w:vAlign w:val="bottom"/>
            <w:hideMark/>
          </w:tcPr>
          <w:p w:rsidR="00EC40F4" w:rsidRPr="001C77FE" w:rsidRDefault="00EC40F4" w:rsidP="00A64337">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Short</w:t>
            </w:r>
          </w:p>
        </w:tc>
        <w:tc>
          <w:tcPr>
            <w:tcW w:w="876" w:type="dxa"/>
            <w:tcBorders>
              <w:top w:val="nil"/>
              <w:left w:val="nil"/>
              <w:bottom w:val="single" w:sz="8" w:space="0" w:color="auto"/>
              <w:right w:val="single" w:sz="8" w:space="0" w:color="auto"/>
            </w:tcBorders>
            <w:shd w:val="clear" w:color="000000" w:fill="FF0000"/>
            <w:noWrap/>
            <w:vAlign w:val="bottom"/>
            <w:hideMark/>
          </w:tcPr>
          <w:p w:rsidR="00EC40F4" w:rsidRPr="001C77FE" w:rsidRDefault="00EC40F4" w:rsidP="00A64337">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Total</w:t>
            </w:r>
          </w:p>
        </w:tc>
        <w:tc>
          <w:tcPr>
            <w:tcW w:w="1043" w:type="dxa"/>
            <w:tcBorders>
              <w:top w:val="nil"/>
              <w:left w:val="nil"/>
              <w:bottom w:val="single" w:sz="8" w:space="0" w:color="auto"/>
              <w:right w:val="single" w:sz="8" w:space="0" w:color="auto"/>
            </w:tcBorders>
            <w:shd w:val="clear" w:color="000000" w:fill="FF0000"/>
            <w:noWrap/>
            <w:vAlign w:val="bottom"/>
            <w:hideMark/>
          </w:tcPr>
          <w:p w:rsidR="00EC40F4" w:rsidRPr="001C77FE" w:rsidRDefault="00EC40F4" w:rsidP="00A64337">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Reported</w:t>
            </w:r>
          </w:p>
        </w:tc>
        <w:tc>
          <w:tcPr>
            <w:tcW w:w="1191" w:type="dxa"/>
            <w:tcBorders>
              <w:top w:val="nil"/>
              <w:left w:val="nil"/>
              <w:bottom w:val="single" w:sz="8" w:space="0" w:color="auto"/>
              <w:right w:val="single" w:sz="8" w:space="0" w:color="auto"/>
            </w:tcBorders>
            <w:shd w:val="clear" w:color="000000" w:fill="FF0000"/>
            <w:noWrap/>
            <w:vAlign w:val="bottom"/>
            <w:hideMark/>
          </w:tcPr>
          <w:p w:rsidR="00EC40F4" w:rsidRPr="001C77FE" w:rsidRDefault="00EC40F4" w:rsidP="00A64337">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Unreported</w:t>
            </w:r>
          </w:p>
        </w:tc>
        <w:tc>
          <w:tcPr>
            <w:tcW w:w="511" w:type="dxa"/>
            <w:tcBorders>
              <w:top w:val="nil"/>
              <w:left w:val="nil"/>
              <w:bottom w:val="single" w:sz="8" w:space="0" w:color="auto"/>
              <w:right w:val="single" w:sz="8" w:space="0" w:color="auto"/>
            </w:tcBorders>
            <w:shd w:val="clear" w:color="000000" w:fill="FF0000"/>
            <w:noWrap/>
            <w:vAlign w:val="bottom"/>
            <w:hideMark/>
          </w:tcPr>
          <w:p w:rsidR="00EC40F4" w:rsidRPr="001C77FE" w:rsidRDefault="00EC40F4" w:rsidP="00A64337">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Short</w:t>
            </w:r>
          </w:p>
        </w:tc>
        <w:tc>
          <w:tcPr>
            <w:tcW w:w="876" w:type="dxa"/>
            <w:tcBorders>
              <w:top w:val="nil"/>
              <w:left w:val="nil"/>
              <w:bottom w:val="single" w:sz="8" w:space="0" w:color="auto"/>
              <w:right w:val="single" w:sz="8" w:space="0" w:color="auto"/>
            </w:tcBorders>
            <w:shd w:val="clear" w:color="000000" w:fill="FF0000"/>
            <w:noWrap/>
            <w:vAlign w:val="bottom"/>
            <w:hideMark/>
          </w:tcPr>
          <w:p w:rsidR="00EC40F4" w:rsidRPr="001C77FE" w:rsidRDefault="00EC40F4" w:rsidP="00A64337">
            <w:pPr>
              <w:spacing w:after="0" w:line="240" w:lineRule="auto"/>
              <w:jc w:val="center"/>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Total</w:t>
            </w:r>
          </w:p>
        </w:tc>
        <w:tc>
          <w:tcPr>
            <w:tcW w:w="869" w:type="dxa"/>
            <w:vMerge/>
            <w:tcBorders>
              <w:top w:val="single" w:sz="8" w:space="0" w:color="auto"/>
              <w:left w:val="single" w:sz="8" w:space="0" w:color="auto"/>
              <w:bottom w:val="single" w:sz="8" w:space="0" w:color="000000"/>
              <w:right w:val="single" w:sz="8" w:space="0" w:color="auto"/>
            </w:tcBorders>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VANGÖLÜ</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50,1</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0,4</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52,2</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2,9</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75,0</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78,4</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50,13</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SAKARYA</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2,7</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30,1</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3,6</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36,3</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2,3</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31,6</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3,8</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37,7</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3,70</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DİCLE</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0,2</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30,9</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31,1</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2,9</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28,4</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3,5</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34,8</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12,03</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BOĞAZİÇİ</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0,8</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11,8</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12,6</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0,9</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27,7</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4,5</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33,1</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163,01</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AKEDAŞ</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3,4</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11,6</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2,6</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17,5</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4,5</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23,8</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4,8</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33,0</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88,48</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ULUDAĞ</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5,0</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7,3</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2,9</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17,0</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3,9</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23,8</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226,94</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TRAKYA</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2,0</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19,7</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4,7</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26,4</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2,0</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16,4</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3,2</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21,6</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-18,23</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ADM</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13,3</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15,1</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16,8</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19,7</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30,84</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OSMANGAZİ</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13,0</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14,2</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17,3</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0,2</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18,9</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32,61</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GDZ</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13,9</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15,8</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15,7</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17,9</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13,62</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ÇAMLIBEL</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12,2</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0,3</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14,4</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11,1</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4,7</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17,5</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21,73</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FIRAT</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0,7</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9,0</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9,7</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0,9</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15,6</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0,2</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16,7</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71,94</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MERAM</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4,4</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12,4</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0,0</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16,8</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4,3</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11,8</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16,1</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-3,77</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YEŞİLIRMAK</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2,2</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12,0</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0,4</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14,6</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2,4</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11,7</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0,8</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14,9</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2,39</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 xml:space="preserve">KAYSERİ </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4,0</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2,9</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8,6</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2,2</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5,4</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6,4</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14,0</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62,68</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ÇORUH</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9,3</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11,0</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1,4</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10,3</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12,9</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17,13</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AKDENİZ</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10,4</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0,5</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11,9</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9,4</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11,7</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-2,15</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BAŞKENT</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0,7</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3,8</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4,7</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9,4</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0,3</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10,8</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130,94</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99399A">
            <w:pPr>
              <w:spacing w:after="0" w:line="240" w:lineRule="auto"/>
              <w:jc w:val="both"/>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TOROSLAR</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10,5</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12,2</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1,6</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8,3</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10,0</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-17,89</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EC40F4" w:rsidP="00A64337">
            <w:pPr>
              <w:spacing w:after="0" w:line="240" w:lineRule="auto"/>
              <w:rPr>
                <w:rFonts w:ascii="Calibri" w:eastAsia="Times New Roman" w:hAnsi="Calibri" w:cs="Times New Roman"/>
                <w:b/>
                <w:bCs/>
                <w:color w:val="FFFFFF"/>
                <w:lang w:eastAsia="tr-TR" w:bidi="ar-SA"/>
              </w:rPr>
            </w:pPr>
            <w:r w:rsidRPr="00EA7456">
              <w:rPr>
                <w:rFonts w:ascii="Calibri" w:eastAsia="Times New Roman" w:hAnsi="Calibri" w:cs="Times New Roman"/>
                <w:b/>
                <w:bCs/>
                <w:color w:val="FFFFFF"/>
                <w:lang w:eastAsia="tr-TR" w:bidi="ar-SA"/>
              </w:rPr>
              <w:t>ARAS</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0,9</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17,5</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18,5</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0,8</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9,0</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10,0</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-46,17</w:t>
            </w:r>
          </w:p>
        </w:tc>
      </w:tr>
      <w:tr w:rsidR="00EC40F4" w:rsidRPr="00EA7456" w:rsidTr="00EC40F4">
        <w:trPr>
          <w:trHeight w:val="315"/>
        </w:trPr>
        <w:tc>
          <w:tcPr>
            <w:tcW w:w="1660"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EA7456" w:rsidRDefault="00A64337" w:rsidP="00A64337">
            <w:pPr>
              <w:spacing w:after="0" w:line="240" w:lineRule="auto"/>
              <w:rPr>
                <w:rFonts w:ascii="Calibri" w:eastAsia="Times New Roman" w:hAnsi="Calibri" w:cs="Times New Roman"/>
                <w:b/>
                <w:bCs/>
                <w:color w:val="FFFFFF"/>
                <w:lang w:eastAsia="tr-TR" w:bidi="ar-SA"/>
              </w:rPr>
            </w:pPr>
            <w:r>
              <w:rPr>
                <w:rFonts w:ascii="Calibri" w:eastAsia="Times New Roman" w:hAnsi="Calibri" w:cs="Times New Roman"/>
                <w:b/>
                <w:bCs/>
                <w:color w:val="FFFFFF"/>
                <w:lang w:eastAsia="tr-TR" w:bidi="ar-SA"/>
              </w:rPr>
              <w:t>İSTANBUL ANT. SİDE</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0,6</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3,9</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4,6</w:t>
            </w:r>
          </w:p>
        </w:tc>
        <w:tc>
          <w:tcPr>
            <w:tcW w:w="1043"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0,8</w:t>
            </w:r>
          </w:p>
        </w:tc>
        <w:tc>
          <w:tcPr>
            <w:tcW w:w="119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3,2</w:t>
            </w:r>
          </w:p>
        </w:tc>
        <w:tc>
          <w:tcPr>
            <w:tcW w:w="511"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0,1</w:t>
            </w:r>
          </w:p>
        </w:tc>
        <w:tc>
          <w:tcPr>
            <w:tcW w:w="876"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4,1</w:t>
            </w:r>
          </w:p>
        </w:tc>
        <w:tc>
          <w:tcPr>
            <w:tcW w:w="869" w:type="dxa"/>
            <w:tcBorders>
              <w:top w:val="nil"/>
              <w:left w:val="nil"/>
              <w:bottom w:val="single" w:sz="8" w:space="0" w:color="auto"/>
              <w:right w:val="single" w:sz="8" w:space="0" w:color="auto"/>
            </w:tcBorders>
            <w:shd w:val="clear" w:color="auto" w:fill="auto"/>
            <w:noWrap/>
            <w:vAlign w:val="center"/>
            <w:hideMark/>
          </w:tcPr>
          <w:p w:rsidR="00EC40F4" w:rsidRPr="00EA7456" w:rsidRDefault="00EC40F4" w:rsidP="0099399A">
            <w:pPr>
              <w:spacing w:after="0" w:line="240" w:lineRule="auto"/>
              <w:jc w:val="both"/>
              <w:rPr>
                <w:rFonts w:ascii="Calibri" w:eastAsia="Times New Roman" w:hAnsi="Calibri" w:cs="Times New Roman"/>
                <w:color w:val="000000"/>
                <w:lang w:eastAsia="tr-TR" w:bidi="ar-SA"/>
              </w:rPr>
            </w:pPr>
            <w:r w:rsidRPr="00EA7456">
              <w:rPr>
                <w:rFonts w:ascii="Calibri" w:eastAsia="Times New Roman" w:hAnsi="Calibri" w:cs="Times New Roman"/>
                <w:color w:val="000000"/>
                <w:lang w:eastAsia="tr-TR" w:bidi="ar-SA"/>
              </w:rPr>
              <w:t>-11,70</w:t>
            </w:r>
          </w:p>
        </w:tc>
      </w:tr>
    </w:tbl>
    <w:p w:rsidR="00857363" w:rsidRPr="00313C0C" w:rsidRDefault="00857363" w:rsidP="0099399A">
      <w:pPr>
        <w:spacing w:line="360" w:lineRule="auto"/>
        <w:jc w:val="both"/>
        <w:rPr>
          <w:rFonts w:asciiTheme="minorHAnsi" w:hAnsiTheme="minorHAnsi" w:cstheme="minorHAnsi"/>
          <w:sz w:val="24"/>
          <w:szCs w:val="24"/>
        </w:rPr>
      </w:pPr>
    </w:p>
    <w:bookmarkEnd w:id="857"/>
    <w:p w:rsidR="00B37ACD" w:rsidRDefault="00B37ACD" w:rsidP="0099399A">
      <w:pPr>
        <w:jc w:val="both"/>
      </w:pPr>
    </w:p>
    <w:p w:rsidR="00EC40F4" w:rsidRDefault="00EC40F4" w:rsidP="00A64337">
      <w:pPr>
        <w:pStyle w:val="Balk1"/>
      </w:pPr>
      <w:bookmarkStart w:id="864" w:name="_Toc520822073"/>
      <w:bookmarkStart w:id="865" w:name="_Toc10123952"/>
      <w:bookmarkStart w:id="866" w:name="_Toc10191453"/>
      <w:bookmarkStart w:id="867" w:name="_Toc12526325"/>
      <w:r w:rsidRPr="00E95A7D">
        <w:rPr>
          <w:rFonts w:eastAsiaTheme="minorEastAsia"/>
        </w:rPr>
        <w:lastRenderedPageBreak/>
        <w:t>Table</w:t>
      </w:r>
      <w:r>
        <w:rPr>
          <w:rFonts w:eastAsiaTheme="minorEastAsia"/>
        </w:rPr>
        <w:t xml:space="preserve"> 5</w:t>
      </w:r>
      <w:r w:rsidRPr="00E95A7D">
        <w:rPr>
          <w:rFonts w:eastAsiaTheme="minorEastAsia"/>
        </w:rPr>
        <w:t>.10:</w:t>
      </w:r>
      <w:r>
        <w:t xml:space="preserve"> </w:t>
      </w:r>
      <w:r w:rsidRPr="00494E72">
        <w:t>Distribution Companies’ Customer Average Interruption Frequency Ind</w:t>
      </w:r>
      <w:r>
        <w:t xml:space="preserve">ices of </w:t>
      </w:r>
      <w:r w:rsidRPr="00494E72">
        <w:t xml:space="preserve">Distribution Companies by Reason </w:t>
      </w:r>
      <w:r w:rsidRPr="004F5652">
        <w:t xml:space="preserve">in </w:t>
      </w:r>
      <w:r>
        <w:t>2018</w:t>
      </w:r>
      <w:r w:rsidRPr="005832E5">
        <w:t xml:space="preserve"> (Number/Year)</w:t>
      </w:r>
      <w:bookmarkEnd w:id="864"/>
      <w:bookmarkEnd w:id="865"/>
      <w:bookmarkEnd w:id="866"/>
      <w:bookmarkEnd w:id="867"/>
    </w:p>
    <w:tbl>
      <w:tblPr>
        <w:tblW w:w="9031" w:type="dxa"/>
        <w:tblInd w:w="55" w:type="dxa"/>
        <w:tblCellMar>
          <w:left w:w="70" w:type="dxa"/>
          <w:right w:w="70" w:type="dxa"/>
        </w:tblCellMar>
        <w:tblLook w:val="04A0" w:firstRow="1" w:lastRow="0" w:firstColumn="1" w:lastColumn="0" w:noHBand="0" w:noVBand="1"/>
      </w:tblPr>
      <w:tblGrid>
        <w:gridCol w:w="2567"/>
        <w:gridCol w:w="992"/>
        <w:gridCol w:w="1018"/>
        <w:gridCol w:w="851"/>
        <w:gridCol w:w="1134"/>
        <w:gridCol w:w="1193"/>
        <w:gridCol w:w="1276"/>
      </w:tblGrid>
      <w:tr w:rsidR="00EC40F4" w:rsidRPr="00D8029A" w:rsidTr="00EC40F4">
        <w:trPr>
          <w:trHeight w:val="836"/>
        </w:trPr>
        <w:tc>
          <w:tcPr>
            <w:tcW w:w="2567" w:type="dxa"/>
            <w:tcBorders>
              <w:top w:val="single" w:sz="8" w:space="0" w:color="auto"/>
              <w:left w:val="single" w:sz="8" w:space="0" w:color="auto"/>
              <w:bottom w:val="nil"/>
              <w:right w:val="single" w:sz="8" w:space="0" w:color="auto"/>
            </w:tcBorders>
            <w:shd w:val="clear" w:color="000000" w:fill="FF0000"/>
            <w:noWrap/>
            <w:vAlign w:val="center"/>
            <w:hideMark/>
          </w:tcPr>
          <w:p w:rsidR="00EC40F4" w:rsidRPr="00DE0519" w:rsidRDefault="00EC40F4" w:rsidP="0099399A">
            <w:pPr>
              <w:spacing w:after="0" w:line="240" w:lineRule="auto"/>
              <w:jc w:val="both"/>
              <w:rPr>
                <w:rFonts w:ascii="Calibri" w:eastAsia="Times New Roman" w:hAnsi="Calibri" w:cs="Times New Roman"/>
                <w:b/>
                <w:bCs/>
                <w:color w:val="FFFFFF"/>
                <w:sz w:val="24"/>
                <w:szCs w:val="24"/>
                <w:lang w:eastAsia="tr-TR" w:bidi="ar-SA"/>
              </w:rPr>
            </w:pPr>
            <w:r>
              <w:rPr>
                <w:rFonts w:ascii="Calibri" w:eastAsia="Times New Roman" w:hAnsi="Calibri" w:cs="Times New Roman"/>
                <w:b/>
                <w:bCs/>
                <w:color w:val="FFFFFF"/>
                <w:sz w:val="24"/>
                <w:szCs w:val="24"/>
                <w:lang w:eastAsia="tr-TR" w:bidi="ar-SA"/>
              </w:rPr>
              <w:t>DISTRIBUTION COMPANY</w:t>
            </w:r>
          </w:p>
        </w:tc>
        <w:tc>
          <w:tcPr>
            <w:tcW w:w="992" w:type="dxa"/>
            <w:tcBorders>
              <w:top w:val="single" w:sz="8" w:space="0" w:color="auto"/>
              <w:left w:val="nil"/>
              <w:bottom w:val="nil"/>
              <w:right w:val="single" w:sz="8" w:space="0" w:color="auto"/>
            </w:tcBorders>
            <w:shd w:val="clear" w:color="000000" w:fill="FF0000"/>
            <w:noWrap/>
            <w:vAlign w:val="center"/>
            <w:hideMark/>
          </w:tcPr>
          <w:p w:rsidR="00EC40F4" w:rsidRPr="001C77FE" w:rsidRDefault="00EC40F4" w:rsidP="0099399A">
            <w:pPr>
              <w:spacing w:after="0" w:line="240" w:lineRule="auto"/>
              <w:jc w:val="both"/>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External</w:t>
            </w:r>
          </w:p>
        </w:tc>
        <w:tc>
          <w:tcPr>
            <w:tcW w:w="1018" w:type="dxa"/>
            <w:tcBorders>
              <w:top w:val="single" w:sz="8" w:space="0" w:color="auto"/>
              <w:left w:val="nil"/>
              <w:bottom w:val="nil"/>
              <w:right w:val="single" w:sz="8" w:space="0" w:color="auto"/>
            </w:tcBorders>
            <w:shd w:val="clear" w:color="000000" w:fill="FF0000"/>
            <w:noWrap/>
            <w:vAlign w:val="center"/>
            <w:hideMark/>
          </w:tcPr>
          <w:p w:rsidR="00EC40F4" w:rsidRPr="001C77FE" w:rsidRDefault="00EC40F4" w:rsidP="0099399A">
            <w:pPr>
              <w:spacing w:after="0" w:line="240" w:lineRule="auto"/>
              <w:jc w:val="both"/>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Security</w:t>
            </w:r>
          </w:p>
        </w:tc>
        <w:tc>
          <w:tcPr>
            <w:tcW w:w="851" w:type="dxa"/>
            <w:tcBorders>
              <w:top w:val="single" w:sz="8" w:space="0" w:color="auto"/>
              <w:left w:val="nil"/>
              <w:bottom w:val="nil"/>
              <w:right w:val="single" w:sz="8" w:space="0" w:color="auto"/>
            </w:tcBorders>
            <w:shd w:val="clear" w:color="000000" w:fill="FF0000"/>
            <w:noWrap/>
            <w:vAlign w:val="center"/>
            <w:hideMark/>
          </w:tcPr>
          <w:p w:rsidR="00EC40F4" w:rsidRPr="001C77FE" w:rsidRDefault="00EC40F4" w:rsidP="0099399A">
            <w:pPr>
              <w:spacing w:after="0" w:line="240" w:lineRule="auto"/>
              <w:jc w:val="both"/>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Short</w:t>
            </w:r>
          </w:p>
        </w:tc>
        <w:tc>
          <w:tcPr>
            <w:tcW w:w="1134" w:type="dxa"/>
            <w:tcBorders>
              <w:top w:val="single" w:sz="8" w:space="0" w:color="auto"/>
              <w:left w:val="nil"/>
              <w:bottom w:val="nil"/>
              <w:right w:val="single" w:sz="8" w:space="0" w:color="auto"/>
            </w:tcBorders>
            <w:shd w:val="clear" w:color="000000" w:fill="FF0000"/>
            <w:vAlign w:val="center"/>
            <w:hideMark/>
          </w:tcPr>
          <w:p w:rsidR="00EC40F4" w:rsidRPr="001C77FE" w:rsidRDefault="00EC40F4" w:rsidP="0099399A">
            <w:pPr>
              <w:spacing w:after="0" w:line="240" w:lineRule="auto"/>
              <w:jc w:val="both"/>
              <w:rPr>
                <w:rFonts w:ascii="Calibri" w:eastAsia="Times New Roman" w:hAnsi="Calibri" w:cs="Times New Roman"/>
                <w:b/>
                <w:bCs/>
                <w:color w:val="FFFFFF" w:themeColor="background1"/>
                <w:lang w:eastAsia="tr-TR" w:bidi="ar-SA"/>
              </w:rPr>
            </w:pPr>
            <w:r w:rsidRPr="00FF1FE1">
              <w:rPr>
                <w:rFonts w:ascii="Calibri" w:eastAsia="Times New Roman" w:hAnsi="Calibri" w:cs="Times New Roman"/>
                <w:b/>
                <w:bCs/>
                <w:color w:val="FFFFFF" w:themeColor="background1"/>
                <w:lang w:eastAsia="tr-TR" w:bidi="ar-SA"/>
              </w:rPr>
              <w:t>Force Majeure</w:t>
            </w:r>
            <w:r w:rsidRPr="00494E72">
              <w:rPr>
                <w:rFonts w:ascii="Calibri" w:eastAsia="Times New Roman" w:hAnsi="Calibri" w:cs="Times New Roman"/>
                <w:b/>
                <w:bCs/>
                <w:color w:val="FFFFFF" w:themeColor="background1"/>
                <w:lang w:eastAsia="tr-TR" w:bidi="ar-SA"/>
              </w:rPr>
              <w:t xml:space="preserve"> </w:t>
            </w:r>
          </w:p>
        </w:tc>
        <w:tc>
          <w:tcPr>
            <w:tcW w:w="1193" w:type="dxa"/>
            <w:tcBorders>
              <w:top w:val="single" w:sz="8" w:space="0" w:color="auto"/>
              <w:left w:val="nil"/>
              <w:bottom w:val="nil"/>
              <w:right w:val="single" w:sz="8" w:space="0" w:color="auto"/>
            </w:tcBorders>
            <w:shd w:val="clear" w:color="000000" w:fill="FF0000"/>
            <w:vAlign w:val="center"/>
            <w:hideMark/>
          </w:tcPr>
          <w:p w:rsidR="00EC40F4" w:rsidRPr="001C77FE" w:rsidRDefault="00EC40F4" w:rsidP="0099399A">
            <w:pPr>
              <w:spacing w:after="0" w:line="240" w:lineRule="auto"/>
              <w:jc w:val="both"/>
              <w:rPr>
                <w:rFonts w:ascii="Calibri" w:eastAsia="Times New Roman" w:hAnsi="Calibri" w:cs="Times New Roman"/>
                <w:b/>
                <w:bCs/>
                <w:color w:val="FFFFFF" w:themeColor="background1"/>
                <w:lang w:eastAsia="tr-TR" w:bidi="ar-SA"/>
              </w:rPr>
            </w:pPr>
            <w:r>
              <w:rPr>
                <w:rFonts w:ascii="Calibri" w:eastAsia="Times New Roman" w:hAnsi="Calibri" w:cs="Times New Roman"/>
                <w:b/>
                <w:bCs/>
                <w:color w:val="FFFFFF" w:themeColor="background1"/>
                <w:lang w:eastAsia="tr-TR" w:bidi="ar-SA"/>
              </w:rPr>
              <w:t>Network Operator</w:t>
            </w:r>
          </w:p>
        </w:tc>
        <w:tc>
          <w:tcPr>
            <w:tcW w:w="1276" w:type="dxa"/>
            <w:tcBorders>
              <w:top w:val="single" w:sz="8" w:space="0" w:color="auto"/>
              <w:left w:val="nil"/>
              <w:bottom w:val="nil"/>
              <w:right w:val="single" w:sz="8" w:space="0" w:color="auto"/>
            </w:tcBorders>
            <w:shd w:val="clear" w:color="000000" w:fill="FF0000"/>
            <w:noWrap/>
            <w:vAlign w:val="center"/>
            <w:hideMark/>
          </w:tcPr>
          <w:p w:rsidR="00EC40F4" w:rsidRPr="001C77FE" w:rsidRDefault="00EC40F4" w:rsidP="0099399A">
            <w:pPr>
              <w:spacing w:after="0" w:line="240" w:lineRule="auto"/>
              <w:jc w:val="both"/>
              <w:rPr>
                <w:rFonts w:ascii="Calibri" w:eastAsia="Times New Roman" w:hAnsi="Calibri" w:cs="Times New Roman"/>
                <w:b/>
                <w:bCs/>
                <w:color w:val="FFFFFF" w:themeColor="background1"/>
                <w:lang w:eastAsia="tr-TR" w:bidi="ar-SA"/>
              </w:rPr>
            </w:pPr>
            <w:r w:rsidRPr="001C77FE">
              <w:rPr>
                <w:rFonts w:ascii="Calibri" w:eastAsia="Times New Roman" w:hAnsi="Calibri" w:cs="Times New Roman"/>
                <w:b/>
                <w:bCs/>
                <w:color w:val="FFFFFF" w:themeColor="background1"/>
                <w:lang w:eastAsia="tr-TR" w:bidi="ar-SA"/>
              </w:rPr>
              <w:t>T</w:t>
            </w:r>
            <w:r>
              <w:rPr>
                <w:rFonts w:ascii="Calibri" w:eastAsia="Times New Roman" w:hAnsi="Calibri" w:cs="Times New Roman"/>
                <w:b/>
                <w:bCs/>
                <w:color w:val="FFFFFF" w:themeColor="background1"/>
                <w:lang w:eastAsia="tr-TR" w:bidi="ar-SA"/>
              </w:rPr>
              <w:t>otal</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VANGÖLÜ</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0,5</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77,9</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78,4</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SAKARYA</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0,8</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3,8</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32,9</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37,7</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DİCLE</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3,5</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31,2</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34,8</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BOĞAZİÇİ</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4,5</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28,0</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33,1</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AKEDAŞ</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4,8</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27,6</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33,0</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ULUDAĞ</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0,6</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3,9</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19,3</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23,8</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TRAKYA</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3,2</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18,3</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21,6</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ADM</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17,5</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19,7</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OSMANGAZİ</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18,5</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18,9</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GDZ</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0,5</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17,2</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17,9</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ÇAMLIBEL</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4,7</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12,8</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17,5</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FIRAT</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16,4</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16,7</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MERAM</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0,9</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15,0</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16,1</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YEŞİLIRMAK</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0,5</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0,8</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13,4</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14,9</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 xml:space="preserve">KAYSERİ </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0,8</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6,4</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6,8</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14,0</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ÇORUH</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1,2</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11,5</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12,9</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AKDENİZ</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0,3</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1,2</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10,0</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11,7</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BAŞKENT</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0,4</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0,4</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0,3</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9,7</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10,8</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TOROSLAR</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0,4</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9,4</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10,0</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99399A">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ARAS</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3,4</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6,4</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10,0</w:t>
            </w:r>
          </w:p>
        </w:tc>
      </w:tr>
      <w:tr w:rsidR="00EC40F4" w:rsidRPr="00D8029A" w:rsidTr="00EC40F4">
        <w:trPr>
          <w:trHeight w:val="315"/>
        </w:trPr>
        <w:tc>
          <w:tcPr>
            <w:tcW w:w="2567"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D8029A" w:rsidRDefault="00EC40F4" w:rsidP="00A64337">
            <w:pPr>
              <w:spacing w:after="0" w:line="240" w:lineRule="auto"/>
              <w:jc w:val="both"/>
              <w:rPr>
                <w:rFonts w:ascii="Calibri" w:eastAsia="Times New Roman" w:hAnsi="Calibri" w:cs="Times New Roman"/>
                <w:b/>
                <w:bCs/>
                <w:color w:val="FFFFFF"/>
                <w:lang w:eastAsia="tr-TR" w:bidi="ar-SA"/>
              </w:rPr>
            </w:pPr>
            <w:r w:rsidRPr="00D8029A">
              <w:rPr>
                <w:rFonts w:ascii="Calibri" w:eastAsia="Times New Roman" w:hAnsi="Calibri" w:cs="Times New Roman"/>
                <w:b/>
                <w:bCs/>
                <w:color w:val="FFFFFF"/>
                <w:lang w:eastAsia="tr-TR" w:bidi="ar-SA"/>
              </w:rPr>
              <w:t>İSTANBUL AN</w:t>
            </w:r>
            <w:r w:rsidR="00A64337">
              <w:rPr>
                <w:rFonts w:ascii="Calibri" w:eastAsia="Times New Roman" w:hAnsi="Calibri" w:cs="Times New Roman"/>
                <w:b/>
                <w:bCs/>
                <w:color w:val="FFFFFF"/>
                <w:lang w:eastAsia="tr-TR" w:bidi="ar-SA"/>
              </w:rPr>
              <w:t>T</w:t>
            </w:r>
            <w:r w:rsidRPr="00D8029A">
              <w:rPr>
                <w:rFonts w:ascii="Calibri" w:eastAsia="Times New Roman" w:hAnsi="Calibri" w:cs="Times New Roman"/>
                <w:b/>
                <w:bCs/>
                <w:color w:val="FFFFFF"/>
                <w:lang w:eastAsia="tr-TR" w:bidi="ar-SA"/>
              </w:rPr>
              <w:t xml:space="preserve">. </w:t>
            </w:r>
            <w:r w:rsidR="00A64337">
              <w:rPr>
                <w:rFonts w:ascii="Calibri" w:eastAsia="Times New Roman" w:hAnsi="Calibri" w:cs="Times New Roman"/>
                <w:b/>
                <w:bCs/>
                <w:color w:val="FFFFFF"/>
                <w:lang w:eastAsia="tr-TR" w:bidi="ar-SA"/>
              </w:rPr>
              <w:t>SİDE</w:t>
            </w:r>
          </w:p>
        </w:tc>
        <w:tc>
          <w:tcPr>
            <w:tcW w:w="992"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0,2</w:t>
            </w:r>
          </w:p>
        </w:tc>
        <w:tc>
          <w:tcPr>
            <w:tcW w:w="1018"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851"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0,1</w:t>
            </w:r>
          </w:p>
        </w:tc>
        <w:tc>
          <w:tcPr>
            <w:tcW w:w="1134"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0,0</w:t>
            </w:r>
          </w:p>
        </w:tc>
        <w:tc>
          <w:tcPr>
            <w:tcW w:w="1193"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3,7</w:t>
            </w:r>
          </w:p>
        </w:tc>
        <w:tc>
          <w:tcPr>
            <w:tcW w:w="1276" w:type="dxa"/>
            <w:tcBorders>
              <w:top w:val="nil"/>
              <w:left w:val="nil"/>
              <w:bottom w:val="single" w:sz="8" w:space="0" w:color="auto"/>
              <w:right w:val="single" w:sz="8" w:space="0" w:color="auto"/>
            </w:tcBorders>
            <w:shd w:val="clear" w:color="auto" w:fill="auto"/>
            <w:noWrap/>
            <w:vAlign w:val="center"/>
            <w:hideMark/>
          </w:tcPr>
          <w:p w:rsidR="00EC40F4" w:rsidRPr="00D8029A" w:rsidRDefault="00EC40F4" w:rsidP="0099399A">
            <w:pPr>
              <w:spacing w:after="0" w:line="240" w:lineRule="auto"/>
              <w:jc w:val="both"/>
              <w:rPr>
                <w:rFonts w:ascii="Calibri" w:eastAsia="Times New Roman" w:hAnsi="Calibri" w:cs="Times New Roman"/>
                <w:color w:val="000000"/>
                <w:lang w:eastAsia="tr-TR" w:bidi="ar-SA"/>
              </w:rPr>
            </w:pPr>
            <w:r w:rsidRPr="00D8029A">
              <w:rPr>
                <w:rFonts w:ascii="Calibri" w:eastAsia="Times New Roman" w:hAnsi="Calibri" w:cs="Times New Roman"/>
                <w:color w:val="000000"/>
                <w:lang w:eastAsia="tr-TR" w:bidi="ar-SA"/>
              </w:rPr>
              <w:t>4,1</w:t>
            </w:r>
          </w:p>
        </w:tc>
      </w:tr>
    </w:tbl>
    <w:p w:rsidR="00EC40F4" w:rsidRPr="002152E5" w:rsidRDefault="00EC40F4" w:rsidP="0099399A">
      <w:pPr>
        <w:jc w:val="both"/>
        <w:rPr>
          <w:rFonts w:ascii="Times New Roman" w:hAnsi="Times New Roman" w:cs="Times New Roman"/>
        </w:rPr>
      </w:pPr>
    </w:p>
    <w:p w:rsidR="00EC40F4" w:rsidRPr="002152E5" w:rsidRDefault="00EC40F4" w:rsidP="0099399A">
      <w:pPr>
        <w:pStyle w:val="BALIKLAR"/>
        <w:spacing w:line="360" w:lineRule="auto"/>
        <w:jc w:val="both"/>
        <w:rPr>
          <w:rFonts w:cs="Times New Roman"/>
        </w:rPr>
      </w:pPr>
      <w:bookmarkStart w:id="868" w:name="_Toc520822034"/>
      <w:bookmarkStart w:id="869" w:name="_Toc12528963"/>
      <w:r w:rsidRPr="002152E5">
        <w:rPr>
          <w:rFonts w:cs="Times New Roman"/>
        </w:rPr>
        <w:t>5.6 Investment Amount of Distribution Companies</w:t>
      </w:r>
      <w:bookmarkEnd w:id="868"/>
      <w:bookmarkEnd w:id="869"/>
    </w:p>
    <w:p w:rsidR="00EC40F4" w:rsidRPr="002152E5" w:rsidRDefault="00EC40F4" w:rsidP="0099399A">
      <w:pPr>
        <w:spacing w:line="360" w:lineRule="auto"/>
        <w:jc w:val="both"/>
        <w:rPr>
          <w:rFonts w:ascii="Times New Roman" w:hAnsi="Times New Roman" w:cs="Times New Roman"/>
          <w:sz w:val="24"/>
          <w:szCs w:val="24"/>
        </w:rPr>
      </w:pPr>
      <w:r w:rsidRPr="002152E5">
        <w:rPr>
          <w:rFonts w:ascii="Times New Roman" w:hAnsi="Times New Roman" w:cs="Times New Roman"/>
          <w:sz w:val="24"/>
          <w:szCs w:val="24"/>
        </w:rPr>
        <w:t>With the decision of the Board 24/11/2015</w:t>
      </w:r>
      <w:r w:rsidR="004F08BE" w:rsidRPr="004F08BE">
        <w:rPr>
          <w:rFonts w:ascii="Times New Roman" w:hAnsi="Times New Roman" w:cs="Times New Roman"/>
          <w:sz w:val="24"/>
          <w:szCs w:val="24"/>
        </w:rPr>
        <w:t xml:space="preserve"> </w:t>
      </w:r>
      <w:r w:rsidR="004F08BE" w:rsidRPr="002152E5">
        <w:rPr>
          <w:rFonts w:ascii="Times New Roman" w:hAnsi="Times New Roman" w:cs="Times New Roman"/>
          <w:sz w:val="24"/>
          <w:szCs w:val="24"/>
        </w:rPr>
        <w:t>dated</w:t>
      </w:r>
      <w:r w:rsidRPr="002152E5">
        <w:rPr>
          <w:rFonts w:ascii="Times New Roman" w:hAnsi="Times New Roman" w:cs="Times New Roman"/>
          <w:sz w:val="24"/>
          <w:szCs w:val="24"/>
        </w:rPr>
        <w:t xml:space="preserve"> and 5885/7</w:t>
      </w:r>
      <w:r w:rsidR="004F08BE" w:rsidRPr="004F08BE">
        <w:rPr>
          <w:rFonts w:ascii="Times New Roman" w:hAnsi="Times New Roman" w:cs="Times New Roman"/>
          <w:sz w:val="24"/>
          <w:szCs w:val="24"/>
        </w:rPr>
        <w:t xml:space="preserve"> </w:t>
      </w:r>
      <w:r w:rsidR="004F08BE" w:rsidRPr="002152E5">
        <w:rPr>
          <w:rFonts w:ascii="Times New Roman" w:hAnsi="Times New Roman" w:cs="Times New Roman"/>
          <w:sz w:val="24"/>
          <w:szCs w:val="24"/>
        </w:rPr>
        <w:t>numbered</w:t>
      </w:r>
      <w:r w:rsidRPr="002152E5">
        <w:rPr>
          <w:rFonts w:ascii="Times New Roman" w:hAnsi="Times New Roman" w:cs="Times New Roman"/>
          <w:sz w:val="24"/>
          <w:szCs w:val="24"/>
        </w:rPr>
        <w:t xml:space="preserve">, the "Procedures and Principles for Investments in Electricity Market Distribution System" were approved and entered into force. </w:t>
      </w:r>
    </w:p>
    <w:p w:rsidR="00EC40F4" w:rsidRPr="002152E5" w:rsidRDefault="00EC40F4" w:rsidP="0099399A">
      <w:pPr>
        <w:spacing w:line="360" w:lineRule="auto"/>
        <w:jc w:val="both"/>
        <w:rPr>
          <w:rFonts w:ascii="Times New Roman" w:hAnsi="Times New Roman" w:cs="Times New Roman"/>
          <w:sz w:val="24"/>
          <w:szCs w:val="24"/>
        </w:rPr>
      </w:pPr>
      <w:r w:rsidRPr="002152E5">
        <w:rPr>
          <w:rFonts w:ascii="Times New Roman" w:hAnsi="Times New Roman" w:cs="Times New Roman"/>
          <w:sz w:val="24"/>
          <w:szCs w:val="24"/>
        </w:rPr>
        <w:t xml:space="preserve">Electricity distribution companies started on 01/01/2016 with the Board </w:t>
      </w:r>
      <w:r w:rsidR="007D2386">
        <w:rPr>
          <w:rFonts w:ascii="Times New Roman" w:hAnsi="Times New Roman" w:cs="Times New Roman"/>
          <w:sz w:val="24"/>
          <w:szCs w:val="24"/>
        </w:rPr>
        <w:t>Resolution</w:t>
      </w:r>
      <w:r w:rsidRPr="002152E5">
        <w:rPr>
          <w:rFonts w:ascii="Times New Roman" w:hAnsi="Times New Roman" w:cs="Times New Roman"/>
          <w:sz w:val="24"/>
          <w:szCs w:val="24"/>
        </w:rPr>
        <w:t xml:space="preserve"> 18/11/2015 </w:t>
      </w:r>
      <w:r w:rsidR="004F08BE" w:rsidRPr="002152E5">
        <w:rPr>
          <w:rFonts w:ascii="Times New Roman" w:hAnsi="Times New Roman" w:cs="Times New Roman"/>
          <w:sz w:val="24"/>
          <w:szCs w:val="24"/>
        </w:rPr>
        <w:t xml:space="preserve">dated </w:t>
      </w:r>
      <w:r w:rsidRPr="002152E5">
        <w:rPr>
          <w:rFonts w:ascii="Times New Roman" w:hAnsi="Times New Roman" w:cs="Times New Roman"/>
          <w:sz w:val="24"/>
          <w:szCs w:val="24"/>
        </w:rPr>
        <w:t>and 5875/9</w:t>
      </w:r>
      <w:r w:rsidR="004F08BE" w:rsidRPr="004F08BE">
        <w:rPr>
          <w:rFonts w:ascii="Times New Roman" w:hAnsi="Times New Roman" w:cs="Times New Roman"/>
          <w:sz w:val="24"/>
          <w:szCs w:val="24"/>
        </w:rPr>
        <w:t xml:space="preserve"> </w:t>
      </w:r>
      <w:r w:rsidR="004F08BE" w:rsidRPr="002152E5">
        <w:rPr>
          <w:rFonts w:ascii="Times New Roman" w:hAnsi="Times New Roman" w:cs="Times New Roman"/>
          <w:sz w:val="24"/>
          <w:szCs w:val="24"/>
        </w:rPr>
        <w:t>numbered</w:t>
      </w:r>
      <w:r w:rsidRPr="002152E5">
        <w:rPr>
          <w:rFonts w:ascii="Times New Roman" w:hAnsi="Times New Roman" w:cs="Times New Roman"/>
          <w:sz w:val="24"/>
          <w:szCs w:val="24"/>
        </w:rPr>
        <w:t>. It was decided to set the Real Reasonable Rate of Return to be taken into consideration during the implementation period as 12,66 % (real and pre-tax) and the Adjusted Real Reasonable Rate of Return as 11,91 % (real and pre-tax).</w:t>
      </w:r>
    </w:p>
    <w:p w:rsidR="00EC40F4" w:rsidRPr="002152E5" w:rsidRDefault="00EC40F4" w:rsidP="0099399A">
      <w:pPr>
        <w:spacing w:line="360" w:lineRule="auto"/>
        <w:jc w:val="both"/>
        <w:rPr>
          <w:rFonts w:ascii="Times New Roman" w:hAnsi="Times New Roman" w:cs="Times New Roman"/>
          <w:sz w:val="24"/>
          <w:szCs w:val="24"/>
        </w:rPr>
      </w:pPr>
      <w:r w:rsidRPr="002152E5">
        <w:rPr>
          <w:rFonts w:ascii="Times New Roman" w:hAnsi="Times New Roman" w:cs="Times New Roman"/>
          <w:sz w:val="24"/>
          <w:szCs w:val="24"/>
        </w:rPr>
        <w:t>With the Board Decision 18/11/2015</w:t>
      </w:r>
      <w:r w:rsidR="004F08BE" w:rsidRPr="004F08BE">
        <w:rPr>
          <w:rFonts w:ascii="Times New Roman" w:hAnsi="Times New Roman" w:cs="Times New Roman"/>
          <w:sz w:val="24"/>
          <w:szCs w:val="24"/>
        </w:rPr>
        <w:t xml:space="preserve"> </w:t>
      </w:r>
      <w:r w:rsidR="004F08BE" w:rsidRPr="002152E5">
        <w:rPr>
          <w:rFonts w:ascii="Times New Roman" w:hAnsi="Times New Roman" w:cs="Times New Roman"/>
          <w:sz w:val="24"/>
          <w:szCs w:val="24"/>
        </w:rPr>
        <w:t>dated</w:t>
      </w:r>
      <w:r w:rsidRPr="002152E5">
        <w:rPr>
          <w:rFonts w:ascii="Times New Roman" w:hAnsi="Times New Roman" w:cs="Times New Roman"/>
          <w:sz w:val="24"/>
          <w:szCs w:val="24"/>
        </w:rPr>
        <w:t xml:space="preserve"> and 5875/6</w:t>
      </w:r>
      <w:r w:rsidR="004F08BE" w:rsidRPr="004F08BE">
        <w:rPr>
          <w:rFonts w:ascii="Times New Roman" w:hAnsi="Times New Roman" w:cs="Times New Roman"/>
          <w:sz w:val="24"/>
          <w:szCs w:val="24"/>
        </w:rPr>
        <w:t xml:space="preserve"> </w:t>
      </w:r>
      <w:r w:rsidR="004F08BE" w:rsidRPr="002152E5">
        <w:rPr>
          <w:rFonts w:ascii="Times New Roman" w:hAnsi="Times New Roman" w:cs="Times New Roman"/>
          <w:sz w:val="24"/>
          <w:szCs w:val="24"/>
        </w:rPr>
        <w:t>numbered</w:t>
      </w:r>
      <w:r w:rsidRPr="002152E5">
        <w:rPr>
          <w:rFonts w:ascii="Times New Roman" w:hAnsi="Times New Roman" w:cs="Times New Roman"/>
          <w:sz w:val="24"/>
          <w:szCs w:val="24"/>
        </w:rPr>
        <w:t>, the period of redemption for distribution companies and investments in the third implementation period was determined as 10 years.</w:t>
      </w:r>
      <w:bookmarkStart w:id="870" w:name="_Toc450309982"/>
    </w:p>
    <w:p w:rsidR="00EC40F4" w:rsidRPr="002152E5" w:rsidRDefault="00EC40F4" w:rsidP="0099399A">
      <w:pPr>
        <w:spacing w:line="360" w:lineRule="auto"/>
        <w:jc w:val="both"/>
        <w:rPr>
          <w:rFonts w:ascii="Times New Roman" w:hAnsi="Times New Roman" w:cs="Times New Roman"/>
          <w:sz w:val="24"/>
          <w:szCs w:val="24"/>
        </w:rPr>
      </w:pPr>
      <w:r w:rsidRPr="002152E5">
        <w:rPr>
          <w:rFonts w:ascii="Times New Roman" w:hAnsi="Times New Roman" w:cs="Times New Roman"/>
          <w:sz w:val="24"/>
          <w:szCs w:val="24"/>
        </w:rPr>
        <w:lastRenderedPageBreak/>
        <w:t>The following table provides information about the amount of investment made by the Distribution Companies.</w:t>
      </w:r>
    </w:p>
    <w:p w:rsidR="00EC40F4" w:rsidRDefault="00EC40F4" w:rsidP="0099399A">
      <w:pPr>
        <w:pStyle w:val="Balk1"/>
        <w:jc w:val="both"/>
      </w:pPr>
      <w:bookmarkStart w:id="871" w:name="_Toc494982859"/>
      <w:bookmarkStart w:id="872" w:name="_Toc514674278"/>
      <w:bookmarkStart w:id="873" w:name="_Toc520822074"/>
      <w:bookmarkStart w:id="874" w:name="_Toc10123954"/>
      <w:bookmarkStart w:id="875" w:name="_Toc10191454"/>
      <w:bookmarkStart w:id="876" w:name="_Toc12526327"/>
      <w:bookmarkEnd w:id="870"/>
      <w:r>
        <w:rPr>
          <w:rFonts w:eastAsiaTheme="minorEastAsia"/>
        </w:rPr>
        <w:t>T</w:t>
      </w:r>
      <w:r w:rsidRPr="00E95A7D">
        <w:rPr>
          <w:rFonts w:eastAsiaTheme="minorEastAsia"/>
        </w:rPr>
        <w:t>able</w:t>
      </w:r>
      <w:r>
        <w:rPr>
          <w:rFonts w:eastAsiaTheme="minorEastAsia"/>
        </w:rPr>
        <w:t xml:space="preserve"> </w:t>
      </w:r>
      <w:r>
        <w:rPr>
          <w:rFonts w:eastAsiaTheme="minorEastAsia"/>
          <w:caps/>
        </w:rPr>
        <w:t>5</w:t>
      </w:r>
      <w:r w:rsidRPr="00E95A7D">
        <w:rPr>
          <w:rFonts w:eastAsiaTheme="minorEastAsia"/>
          <w:caps/>
        </w:rPr>
        <w:t>.11:</w:t>
      </w:r>
      <w:r w:rsidRPr="00E95A7D">
        <w:rPr>
          <w:caps/>
        </w:rPr>
        <w:t xml:space="preserve"> </w:t>
      </w:r>
      <w:r>
        <w:t>List</w:t>
      </w:r>
      <w:r w:rsidRPr="004F5652">
        <w:t xml:space="preserve"> of Distribution Investment</w:t>
      </w:r>
      <w:r>
        <w:t>s Comparison in 2017-2018 (TL-%)</w:t>
      </w:r>
      <w:bookmarkEnd w:id="871"/>
      <w:bookmarkEnd w:id="872"/>
      <w:bookmarkEnd w:id="873"/>
      <w:bookmarkEnd w:id="874"/>
      <w:bookmarkEnd w:id="875"/>
      <w:bookmarkEnd w:id="876"/>
    </w:p>
    <w:tbl>
      <w:tblPr>
        <w:tblW w:w="8662" w:type="dxa"/>
        <w:tblInd w:w="55" w:type="dxa"/>
        <w:tblCellMar>
          <w:left w:w="70" w:type="dxa"/>
          <w:right w:w="70" w:type="dxa"/>
        </w:tblCellMar>
        <w:tblLook w:val="04A0" w:firstRow="1" w:lastRow="0" w:firstColumn="1" w:lastColumn="0" w:noHBand="0" w:noVBand="1"/>
      </w:tblPr>
      <w:tblGrid>
        <w:gridCol w:w="2992"/>
        <w:gridCol w:w="1843"/>
        <w:gridCol w:w="1701"/>
        <w:gridCol w:w="2126"/>
      </w:tblGrid>
      <w:tr w:rsidR="00EC40F4" w:rsidRPr="00B403C2" w:rsidTr="00C14C79">
        <w:trPr>
          <w:trHeight w:val="647"/>
        </w:trPr>
        <w:tc>
          <w:tcPr>
            <w:tcW w:w="2992" w:type="dxa"/>
            <w:tcBorders>
              <w:top w:val="single" w:sz="8" w:space="0" w:color="auto"/>
              <w:left w:val="single" w:sz="8" w:space="0" w:color="auto"/>
              <w:bottom w:val="nil"/>
              <w:right w:val="single" w:sz="8" w:space="0" w:color="auto"/>
            </w:tcBorders>
            <w:shd w:val="clear" w:color="000000" w:fill="FF000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DISTRIBUTION COMPANY</w:t>
            </w:r>
          </w:p>
        </w:tc>
        <w:tc>
          <w:tcPr>
            <w:tcW w:w="1843" w:type="dxa"/>
            <w:tcBorders>
              <w:top w:val="single" w:sz="8" w:space="0" w:color="auto"/>
              <w:left w:val="nil"/>
              <w:bottom w:val="nil"/>
              <w:right w:val="single" w:sz="8" w:space="0" w:color="auto"/>
            </w:tcBorders>
            <w:shd w:val="clear" w:color="000000" w:fill="FF0000"/>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2017</w:t>
            </w:r>
          </w:p>
        </w:tc>
        <w:tc>
          <w:tcPr>
            <w:tcW w:w="1701" w:type="dxa"/>
            <w:tcBorders>
              <w:top w:val="single" w:sz="8" w:space="0" w:color="auto"/>
              <w:left w:val="nil"/>
              <w:bottom w:val="nil"/>
              <w:right w:val="single" w:sz="8" w:space="0" w:color="auto"/>
            </w:tcBorders>
            <w:shd w:val="clear" w:color="000000" w:fill="FF0000"/>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2018</w:t>
            </w:r>
          </w:p>
        </w:tc>
        <w:tc>
          <w:tcPr>
            <w:tcW w:w="2126" w:type="dxa"/>
            <w:tcBorders>
              <w:top w:val="single" w:sz="8" w:space="0" w:color="auto"/>
              <w:left w:val="nil"/>
              <w:bottom w:val="nil"/>
              <w:right w:val="single" w:sz="8" w:space="0" w:color="auto"/>
            </w:tcBorders>
            <w:shd w:val="clear" w:color="000000" w:fill="FF0000"/>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br/>
              <w:t xml:space="preserve">2017-2018 </w:t>
            </w:r>
            <w:r w:rsidR="007D2386">
              <w:rPr>
                <w:rFonts w:ascii="Times New Roman" w:eastAsia="Times New Roman" w:hAnsi="Times New Roman" w:cs="Times New Roman"/>
                <w:b/>
                <w:bCs/>
                <w:color w:val="FFFFFF"/>
                <w:lang w:eastAsia="tr-TR" w:bidi="ar-SA"/>
              </w:rPr>
              <w:t xml:space="preserve">Change </w:t>
            </w:r>
            <w:r w:rsidRPr="00B403C2">
              <w:rPr>
                <w:rFonts w:ascii="Times New Roman" w:eastAsia="Times New Roman" w:hAnsi="Times New Roman" w:cs="Times New Roman"/>
                <w:b/>
                <w:bCs/>
                <w:color w:val="FFFFFF"/>
                <w:lang w:eastAsia="tr-TR" w:bidi="ar-SA"/>
              </w:rPr>
              <w:br/>
              <w:t>(%)</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ADM</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303,7</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183,8</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-39,5</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AKDENİZ</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237,1</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156,6</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-34,0</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AKEDAŞ</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169,6</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79,5</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-53,2</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ARAS</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224,6</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140,0</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-37,6</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A64337">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İSTANBUL A</w:t>
            </w:r>
            <w:r w:rsidR="00A64337">
              <w:rPr>
                <w:rFonts w:ascii="Times New Roman" w:eastAsia="Times New Roman" w:hAnsi="Times New Roman" w:cs="Times New Roman"/>
                <w:b/>
                <w:bCs/>
                <w:color w:val="FFFFFF"/>
                <w:lang w:eastAsia="tr-TR" w:bidi="ar-SA"/>
              </w:rPr>
              <w:t>NT</w:t>
            </w:r>
            <w:r w:rsidRPr="00B403C2">
              <w:rPr>
                <w:rFonts w:ascii="Times New Roman" w:eastAsia="Times New Roman" w:hAnsi="Times New Roman" w:cs="Times New Roman"/>
                <w:b/>
                <w:bCs/>
                <w:color w:val="FFFFFF"/>
                <w:lang w:eastAsia="tr-TR" w:bidi="ar-SA"/>
              </w:rPr>
              <w:t>.</w:t>
            </w:r>
            <w:r w:rsidR="00A64337">
              <w:rPr>
                <w:rFonts w:ascii="Times New Roman" w:eastAsia="Times New Roman" w:hAnsi="Times New Roman" w:cs="Times New Roman"/>
                <w:b/>
                <w:bCs/>
                <w:color w:val="FFFFFF"/>
                <w:lang w:eastAsia="tr-TR" w:bidi="ar-SA"/>
              </w:rPr>
              <w:t>S</w:t>
            </w:r>
            <w:r w:rsidRPr="00B403C2">
              <w:rPr>
                <w:rFonts w:ascii="Times New Roman" w:eastAsia="Times New Roman" w:hAnsi="Times New Roman" w:cs="Times New Roman"/>
                <w:b/>
                <w:bCs/>
                <w:color w:val="FFFFFF"/>
                <w:lang w:eastAsia="tr-TR" w:bidi="ar-SA"/>
              </w:rPr>
              <w:t>.EDAŞ</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296,5</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234,7</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-20,8</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BAŞKENT</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699,9</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621,1</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-11,3</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BOĞAZİÇİ</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449,5</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384,0</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-14,6</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ÇAMLIBEL</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147,0</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111,9</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-23,9</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ÇORUH</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208,1</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142,6</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-31,5</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DİCLE</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457,5</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277,2</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-39,4</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FIRAT</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187,7</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144,4</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-23,1</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GDZ</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420,1</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254,2</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-39,5</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KAYSERİ</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188,9</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154,0</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-18,5</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MERAM</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346,7</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332,3</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-4,2</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OSMANGAZİ</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492,3</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54,8</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-88,9</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SAKARYA</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168,6</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151,6</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-10,1</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TOROSLAR</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811,9</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737,8</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-9,1</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TRAKYA</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172,1</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79,7</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-53,7</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ULUDAĞ</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276,0</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270,9</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-1,8</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VANGÖLÜ</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179,8</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122,5</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-31,8</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YEŞİLIRMAK</w:t>
            </w:r>
          </w:p>
        </w:tc>
        <w:tc>
          <w:tcPr>
            <w:tcW w:w="1843"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406,6</w:t>
            </w:r>
          </w:p>
        </w:tc>
        <w:tc>
          <w:tcPr>
            <w:tcW w:w="1701"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275,4</w:t>
            </w:r>
          </w:p>
        </w:tc>
        <w:tc>
          <w:tcPr>
            <w:tcW w:w="2126" w:type="dxa"/>
            <w:tcBorders>
              <w:top w:val="nil"/>
              <w:left w:val="nil"/>
              <w:bottom w:val="single" w:sz="8" w:space="0" w:color="auto"/>
              <w:right w:val="single" w:sz="8" w:space="0" w:color="auto"/>
            </w:tcBorders>
            <w:shd w:val="clear" w:color="auto" w:fill="auto"/>
            <w:noWrap/>
            <w:vAlign w:val="center"/>
            <w:hideMark/>
          </w:tcPr>
          <w:p w:rsidR="00EC40F4" w:rsidRPr="00B403C2" w:rsidRDefault="00EC40F4" w:rsidP="0099399A">
            <w:pPr>
              <w:spacing w:after="0" w:line="240" w:lineRule="auto"/>
              <w:jc w:val="both"/>
              <w:rPr>
                <w:rFonts w:ascii="Times New Roman" w:eastAsia="Times New Roman" w:hAnsi="Times New Roman" w:cs="Times New Roman"/>
                <w:color w:val="000000"/>
                <w:lang w:eastAsia="tr-TR" w:bidi="ar-SA"/>
              </w:rPr>
            </w:pPr>
            <w:r w:rsidRPr="00B403C2">
              <w:rPr>
                <w:rFonts w:ascii="Times New Roman" w:eastAsia="Times New Roman" w:hAnsi="Times New Roman" w:cs="Times New Roman"/>
                <w:color w:val="000000"/>
                <w:lang w:eastAsia="tr-TR" w:bidi="ar-SA"/>
              </w:rPr>
              <w:t>-32,3</w:t>
            </w:r>
          </w:p>
        </w:tc>
      </w:tr>
      <w:tr w:rsidR="00EC40F4" w:rsidRPr="00B403C2" w:rsidTr="00C14C79">
        <w:trPr>
          <w:trHeight w:val="315"/>
        </w:trPr>
        <w:tc>
          <w:tcPr>
            <w:tcW w:w="2992" w:type="dxa"/>
            <w:tcBorders>
              <w:top w:val="nil"/>
              <w:left w:val="single" w:sz="8" w:space="0" w:color="auto"/>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Pr>
                <w:rFonts w:ascii="Times New Roman" w:eastAsia="Times New Roman" w:hAnsi="Times New Roman" w:cs="Times New Roman"/>
                <w:b/>
                <w:bCs/>
                <w:color w:val="FFFFFF"/>
                <w:lang w:eastAsia="tr-TR" w:bidi="ar-SA"/>
              </w:rPr>
              <w:t>Total</w:t>
            </w:r>
          </w:p>
        </w:tc>
        <w:tc>
          <w:tcPr>
            <w:tcW w:w="1843" w:type="dxa"/>
            <w:tcBorders>
              <w:top w:val="nil"/>
              <w:left w:val="nil"/>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6.844,3</w:t>
            </w:r>
          </w:p>
        </w:tc>
        <w:tc>
          <w:tcPr>
            <w:tcW w:w="1701" w:type="dxa"/>
            <w:tcBorders>
              <w:top w:val="nil"/>
              <w:left w:val="nil"/>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4.908,9</w:t>
            </w:r>
          </w:p>
        </w:tc>
        <w:tc>
          <w:tcPr>
            <w:tcW w:w="2126" w:type="dxa"/>
            <w:tcBorders>
              <w:top w:val="nil"/>
              <w:left w:val="nil"/>
              <w:bottom w:val="single" w:sz="8" w:space="0" w:color="auto"/>
              <w:right w:val="single" w:sz="8" w:space="0" w:color="auto"/>
            </w:tcBorders>
            <w:shd w:val="clear" w:color="000000" w:fill="FF5050"/>
            <w:noWrap/>
            <w:vAlign w:val="center"/>
            <w:hideMark/>
          </w:tcPr>
          <w:p w:rsidR="00EC40F4" w:rsidRPr="00B403C2" w:rsidRDefault="00EC40F4" w:rsidP="0099399A">
            <w:pPr>
              <w:spacing w:after="0" w:line="240" w:lineRule="auto"/>
              <w:jc w:val="both"/>
              <w:rPr>
                <w:rFonts w:ascii="Times New Roman" w:eastAsia="Times New Roman" w:hAnsi="Times New Roman" w:cs="Times New Roman"/>
                <w:b/>
                <w:bCs/>
                <w:color w:val="FFFFFF"/>
                <w:lang w:eastAsia="tr-TR" w:bidi="ar-SA"/>
              </w:rPr>
            </w:pPr>
            <w:r w:rsidRPr="00B403C2">
              <w:rPr>
                <w:rFonts w:ascii="Times New Roman" w:eastAsia="Times New Roman" w:hAnsi="Times New Roman" w:cs="Times New Roman"/>
                <w:b/>
                <w:bCs/>
                <w:color w:val="FFFFFF"/>
                <w:lang w:eastAsia="tr-TR" w:bidi="ar-SA"/>
              </w:rPr>
              <w:t>-28,3</w:t>
            </w:r>
          </w:p>
        </w:tc>
      </w:tr>
    </w:tbl>
    <w:p w:rsidR="004B1854" w:rsidRDefault="004B1854" w:rsidP="0099399A">
      <w:pPr>
        <w:spacing w:after="0" w:line="240" w:lineRule="auto"/>
        <w:jc w:val="both"/>
        <w:rPr>
          <w:rFonts w:ascii="Times New Roman" w:hAnsi="Times New Roman" w:cs="Times New Roman"/>
          <w:color w:val="212121"/>
          <w:sz w:val="20"/>
          <w:szCs w:val="20"/>
          <w:shd w:val="clear" w:color="auto" w:fill="FFFFFF"/>
        </w:rPr>
      </w:pPr>
      <w:r w:rsidRPr="00746B0E">
        <w:rPr>
          <w:rFonts w:ascii="Times New Roman" w:hAnsi="Times New Roman" w:cs="Times New Roman"/>
          <w:color w:val="212121"/>
          <w:sz w:val="20"/>
          <w:szCs w:val="20"/>
          <w:shd w:val="clear" w:color="auto" w:fill="FFFFFF"/>
        </w:rPr>
        <w:t>*The unit price is calculated according to the June CPI: 357,44</w:t>
      </w:r>
    </w:p>
    <w:p w:rsidR="004B1854" w:rsidRPr="00746B0E" w:rsidRDefault="004B1854" w:rsidP="0099399A">
      <w:pPr>
        <w:spacing w:after="0" w:line="240" w:lineRule="auto"/>
        <w:jc w:val="both"/>
        <w:rPr>
          <w:rFonts w:ascii="Times New Roman" w:hAnsi="Times New Roman" w:cs="Times New Roman"/>
          <w:color w:val="212121"/>
          <w:sz w:val="20"/>
          <w:szCs w:val="20"/>
          <w:shd w:val="clear" w:color="auto" w:fill="FFFFFF"/>
        </w:rPr>
      </w:pPr>
      <w:r w:rsidRPr="00746B0E">
        <w:rPr>
          <w:rFonts w:ascii="Times New Roman" w:hAnsi="Times New Roman" w:cs="Times New Roman"/>
          <w:color w:val="212121"/>
          <w:sz w:val="20"/>
          <w:szCs w:val="20"/>
          <w:shd w:val="clear" w:color="auto" w:fill="FFFFFF"/>
        </w:rPr>
        <w:t>**</w:t>
      </w:r>
      <w:r w:rsidRPr="00746B0E">
        <w:rPr>
          <w:rFonts w:ascii="Times New Roman" w:eastAsia="Times New Roman" w:hAnsi="Times New Roman" w:cs="Times New Roman"/>
          <w:color w:val="212121"/>
          <w:sz w:val="20"/>
          <w:szCs w:val="20"/>
          <w:lang w:val="en" w:eastAsia="tr-TR"/>
        </w:rPr>
        <w:t xml:space="preserve"> Investments starting in the II.  </w:t>
      </w:r>
      <w:r>
        <w:rPr>
          <w:rFonts w:ascii="Times New Roman" w:eastAsia="Times New Roman" w:hAnsi="Times New Roman" w:cs="Times New Roman"/>
          <w:color w:val="212121"/>
          <w:sz w:val="20"/>
          <w:szCs w:val="20"/>
          <w:lang w:val="en" w:eastAsia="tr-TR"/>
        </w:rPr>
        <w:t>Implementation P</w:t>
      </w:r>
      <w:r w:rsidRPr="00746B0E">
        <w:rPr>
          <w:rFonts w:ascii="Times New Roman" w:eastAsia="Times New Roman" w:hAnsi="Times New Roman" w:cs="Times New Roman"/>
          <w:color w:val="212121"/>
          <w:sz w:val="20"/>
          <w:szCs w:val="20"/>
          <w:lang w:val="en" w:eastAsia="tr-TR"/>
        </w:rPr>
        <w:t>eriod and c</w:t>
      </w:r>
      <w:r>
        <w:rPr>
          <w:rFonts w:ascii="Times New Roman" w:eastAsia="Times New Roman" w:hAnsi="Times New Roman" w:cs="Times New Roman"/>
          <w:color w:val="212121"/>
          <w:sz w:val="20"/>
          <w:szCs w:val="20"/>
          <w:lang w:val="en" w:eastAsia="tr-TR"/>
        </w:rPr>
        <w:t>omplemented in</w:t>
      </w:r>
      <w:r w:rsidRPr="00746B0E">
        <w:rPr>
          <w:rFonts w:ascii="Times New Roman" w:eastAsia="Times New Roman" w:hAnsi="Times New Roman" w:cs="Times New Roman"/>
          <w:color w:val="212121"/>
          <w:sz w:val="20"/>
          <w:szCs w:val="20"/>
          <w:lang w:val="en" w:eastAsia="tr-TR"/>
        </w:rPr>
        <w:t xml:space="preserve"> the III. </w:t>
      </w:r>
      <w:r>
        <w:rPr>
          <w:rFonts w:ascii="Times New Roman" w:eastAsia="Times New Roman" w:hAnsi="Times New Roman" w:cs="Times New Roman"/>
          <w:color w:val="212121"/>
          <w:sz w:val="20"/>
          <w:szCs w:val="20"/>
          <w:lang w:val="en" w:eastAsia="tr-TR"/>
        </w:rPr>
        <w:t>I</w:t>
      </w:r>
      <w:r w:rsidRPr="00746B0E">
        <w:rPr>
          <w:rFonts w:ascii="Times New Roman" w:eastAsia="Times New Roman" w:hAnsi="Times New Roman" w:cs="Times New Roman"/>
          <w:color w:val="212121"/>
          <w:sz w:val="20"/>
          <w:szCs w:val="20"/>
          <w:lang w:val="en" w:eastAsia="tr-TR"/>
        </w:rPr>
        <w:t>mplementation</w:t>
      </w:r>
      <w:r>
        <w:rPr>
          <w:rFonts w:ascii="Times New Roman" w:eastAsia="Times New Roman" w:hAnsi="Times New Roman" w:cs="Times New Roman"/>
          <w:color w:val="212121"/>
          <w:sz w:val="20"/>
          <w:szCs w:val="20"/>
          <w:lang w:val="en" w:eastAsia="tr-TR"/>
        </w:rPr>
        <w:t xml:space="preserve"> P</w:t>
      </w:r>
      <w:r w:rsidRPr="00746B0E">
        <w:rPr>
          <w:rFonts w:ascii="Times New Roman" w:eastAsia="Times New Roman" w:hAnsi="Times New Roman" w:cs="Times New Roman"/>
          <w:color w:val="212121"/>
          <w:sz w:val="20"/>
          <w:szCs w:val="20"/>
          <w:lang w:val="en" w:eastAsia="tr-TR"/>
        </w:rPr>
        <w:t>eriod are included.</w:t>
      </w:r>
    </w:p>
    <w:p w:rsidR="004B1854" w:rsidRPr="00746B0E" w:rsidRDefault="004B1854" w:rsidP="0099399A">
      <w:pPr>
        <w:pStyle w:val="HTMLncedenBiimlendirilmi"/>
        <w:shd w:val="clear" w:color="auto" w:fill="FFFFFF"/>
        <w:jc w:val="both"/>
        <w:rPr>
          <w:rFonts w:ascii="Times New Roman" w:eastAsia="Times New Roman" w:hAnsi="Times New Roman" w:cs="Times New Roman"/>
          <w:color w:val="212121"/>
          <w:lang w:val="tr-TR" w:eastAsia="tr-TR"/>
        </w:rPr>
      </w:pPr>
      <w:r w:rsidRPr="00746B0E">
        <w:rPr>
          <w:rFonts w:ascii="Times New Roman" w:hAnsi="Times New Roman" w:cs="Times New Roman"/>
        </w:rPr>
        <w:t>***</w:t>
      </w:r>
      <w:r w:rsidRPr="00746B0E">
        <w:rPr>
          <w:rFonts w:ascii="Times New Roman" w:eastAsia="Times New Roman" w:hAnsi="Times New Roman" w:cs="Times New Roman"/>
          <w:b/>
          <w:color w:val="212121"/>
          <w:lang w:val="en" w:eastAsia="tr-TR"/>
        </w:rPr>
        <w:t xml:space="preserve"> </w:t>
      </w:r>
      <w:r w:rsidRPr="00746B0E">
        <w:rPr>
          <w:rFonts w:ascii="Times New Roman" w:eastAsia="Times New Roman" w:hAnsi="Times New Roman" w:cs="Times New Roman"/>
          <w:color w:val="212121"/>
          <w:lang w:val="en" w:eastAsia="tr-TR"/>
        </w:rPr>
        <w:t>The tables are prepared on the basis of the declarations made by the companies via the notification system.</w:t>
      </w:r>
    </w:p>
    <w:p w:rsidR="003D4A95" w:rsidRDefault="00EC40F4" w:rsidP="0099399A">
      <w:pPr>
        <w:spacing w:line="360" w:lineRule="auto"/>
        <w:jc w:val="both"/>
        <w:rPr>
          <w:rFonts w:ascii="Times New Roman" w:hAnsi="Times New Roman" w:cs="Times New Roman"/>
          <w:color w:val="212121"/>
          <w:sz w:val="24"/>
          <w:szCs w:val="24"/>
          <w:shd w:val="clear" w:color="auto" w:fill="FFFFFF"/>
        </w:rPr>
      </w:pPr>
      <w:r w:rsidRPr="002152E5">
        <w:rPr>
          <w:rFonts w:ascii="Times New Roman" w:hAnsi="Times New Roman" w:cs="Times New Roman"/>
          <w:sz w:val="24"/>
          <w:szCs w:val="24"/>
        </w:rPr>
        <w:br/>
      </w:r>
      <w:r w:rsidRPr="002152E5">
        <w:rPr>
          <w:rFonts w:ascii="Times New Roman" w:hAnsi="Times New Roman" w:cs="Times New Roman"/>
          <w:color w:val="212121"/>
          <w:sz w:val="24"/>
          <w:szCs w:val="24"/>
          <w:shd w:val="clear" w:color="auto" w:fill="FFFFFF"/>
        </w:rPr>
        <w:t>In 2018, total investme</w:t>
      </w:r>
      <w:r w:rsidR="007D2386">
        <w:rPr>
          <w:rFonts w:ascii="Times New Roman" w:hAnsi="Times New Roman" w:cs="Times New Roman"/>
          <w:color w:val="212121"/>
          <w:sz w:val="24"/>
          <w:szCs w:val="24"/>
          <w:shd w:val="clear" w:color="auto" w:fill="FFFFFF"/>
        </w:rPr>
        <w:t>nt realized as 4,</w:t>
      </w:r>
      <w:r w:rsidRPr="002152E5">
        <w:rPr>
          <w:rFonts w:ascii="Times New Roman" w:hAnsi="Times New Roman" w:cs="Times New Roman"/>
          <w:color w:val="212121"/>
          <w:sz w:val="24"/>
          <w:szCs w:val="24"/>
          <w:shd w:val="clear" w:color="auto" w:fill="FFFFFF"/>
        </w:rPr>
        <w:t xml:space="preserve">91 billion TL (at current prices) with a decrease of 28.3% compared to 2017. The highest investment expenditure for the year 2018 was in the </w:t>
      </w:r>
      <w:r w:rsidR="007D2386">
        <w:rPr>
          <w:rFonts w:ascii="Times New Roman" w:hAnsi="Times New Roman" w:cs="Times New Roman"/>
          <w:color w:val="212121"/>
          <w:sz w:val="24"/>
          <w:szCs w:val="24"/>
          <w:shd w:val="clear" w:color="auto" w:fill="FFFFFF"/>
        </w:rPr>
        <w:t>Başkent</w:t>
      </w:r>
      <w:r w:rsidRPr="002152E5">
        <w:rPr>
          <w:rFonts w:ascii="Times New Roman" w:hAnsi="Times New Roman" w:cs="Times New Roman"/>
          <w:color w:val="212121"/>
          <w:sz w:val="24"/>
          <w:szCs w:val="24"/>
          <w:shd w:val="clear" w:color="auto" w:fill="FFFFFF"/>
        </w:rPr>
        <w:t xml:space="preserve"> regions with 621,1 Million TL and in Toroslar with 737,8 Million TL.</w:t>
      </w:r>
    </w:p>
    <w:p w:rsidR="00A64337" w:rsidRDefault="00A64337" w:rsidP="0099399A">
      <w:pPr>
        <w:spacing w:line="360" w:lineRule="auto"/>
        <w:jc w:val="both"/>
        <w:rPr>
          <w:rFonts w:ascii="Times New Roman" w:hAnsi="Times New Roman" w:cs="Times New Roman"/>
          <w:color w:val="212121"/>
          <w:sz w:val="24"/>
          <w:szCs w:val="24"/>
          <w:shd w:val="clear" w:color="auto" w:fill="FFFFFF"/>
        </w:rPr>
      </w:pPr>
    </w:p>
    <w:p w:rsidR="00A64337" w:rsidRDefault="00A64337" w:rsidP="0099399A">
      <w:pPr>
        <w:spacing w:line="360" w:lineRule="auto"/>
        <w:jc w:val="both"/>
        <w:rPr>
          <w:rFonts w:ascii="Times New Roman" w:hAnsi="Times New Roman" w:cs="Times New Roman"/>
          <w:color w:val="212121"/>
          <w:sz w:val="24"/>
          <w:szCs w:val="24"/>
          <w:shd w:val="clear" w:color="auto" w:fill="FFFFFF"/>
        </w:rPr>
      </w:pPr>
    </w:p>
    <w:p w:rsidR="00A64337" w:rsidRDefault="00A64337" w:rsidP="00A64337">
      <w:pPr>
        <w:pStyle w:val="Balk2"/>
        <w:rPr>
          <w:rFonts w:eastAsia="Times New Roman"/>
          <w:lang w:val="en" w:eastAsia="tr-TR" w:bidi="ar-SA"/>
        </w:rPr>
      </w:pPr>
      <w:bookmarkStart w:id="877" w:name="_Toc10123955"/>
      <w:bookmarkStart w:id="878" w:name="_Toc12526328"/>
      <w:bookmarkStart w:id="879" w:name="_Toc12535914"/>
      <w:r>
        <w:rPr>
          <w:rFonts w:eastAsia="Times New Roman"/>
          <w:lang w:val="en" w:eastAsia="tr-TR" w:bidi="ar-SA"/>
        </w:rPr>
        <w:lastRenderedPageBreak/>
        <w:t xml:space="preserve">Figure 5.6 </w:t>
      </w:r>
      <w:r w:rsidRPr="00EC40F4">
        <w:rPr>
          <w:rFonts w:eastAsia="Times New Roman"/>
          <w:lang w:val="en" w:eastAsia="tr-TR" w:bidi="ar-SA"/>
        </w:rPr>
        <w:t>Investment Amounts</w:t>
      </w:r>
      <w:r>
        <w:rPr>
          <w:rFonts w:eastAsia="Times New Roman"/>
          <w:lang w:val="en" w:eastAsia="tr-TR" w:bidi="ar-SA"/>
        </w:rPr>
        <w:t xml:space="preserve"> of Dıstribution Companies in 2018</w:t>
      </w:r>
      <w:r w:rsidRPr="00EC40F4">
        <w:rPr>
          <w:rFonts w:eastAsia="Times New Roman"/>
          <w:lang w:val="en" w:eastAsia="tr-TR" w:bidi="ar-SA"/>
        </w:rPr>
        <w:t>(Current Prices-TL)</w:t>
      </w:r>
      <w:bookmarkEnd w:id="878"/>
      <w:bookmarkEnd w:id="879"/>
    </w:p>
    <w:bookmarkEnd w:id="877"/>
    <w:p w:rsidR="00B37ACD" w:rsidRDefault="003D4A95" w:rsidP="00A64337">
      <w:pPr>
        <w:jc w:val="center"/>
      </w:pPr>
      <w:r>
        <w:rPr>
          <w:noProof/>
          <w:lang w:bidi="ar-SA"/>
        </w:rPr>
        <w:drawing>
          <wp:inline distT="0" distB="0" distL="0" distR="0" wp14:anchorId="64DEF748" wp14:editId="58C1673C">
            <wp:extent cx="5514975" cy="2838450"/>
            <wp:effectExtent l="0" t="0" r="9525"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19501" cy="2840779"/>
                    </a:xfrm>
                    <a:prstGeom prst="rect">
                      <a:avLst/>
                    </a:prstGeom>
                    <a:noFill/>
                  </pic:spPr>
                </pic:pic>
              </a:graphicData>
            </a:graphic>
          </wp:inline>
        </w:drawing>
      </w:r>
    </w:p>
    <w:p w:rsidR="00B37ACD" w:rsidRPr="004B1854" w:rsidRDefault="003D4A95" w:rsidP="009939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tr-TR" w:eastAsia="tr-TR" w:bidi="ar-SA"/>
        </w:rPr>
      </w:pPr>
      <w:r w:rsidRPr="003D4A95">
        <w:rPr>
          <w:rFonts w:ascii="Times New Roman" w:eastAsia="Times New Roman" w:hAnsi="Times New Roman" w:cs="Times New Roman"/>
          <w:color w:val="212121"/>
          <w:sz w:val="24"/>
          <w:szCs w:val="24"/>
          <w:lang w:val="en" w:eastAsia="tr-TR" w:bidi="ar-SA"/>
        </w:rPr>
        <w:t>The investment expenditures realized according to the type of investment in 2018 are shown in the table below. The majority of investments are network investments.</w:t>
      </w:r>
    </w:p>
    <w:p w:rsidR="003D4A95" w:rsidRPr="006F4EAB" w:rsidRDefault="00B942F5" w:rsidP="0099399A">
      <w:pPr>
        <w:pStyle w:val="Balk1"/>
        <w:jc w:val="both"/>
        <w:rPr>
          <w:rFonts w:eastAsiaTheme="minorEastAsia"/>
        </w:rPr>
      </w:pPr>
      <w:bookmarkStart w:id="880" w:name="_Toc520822075"/>
      <w:bookmarkStart w:id="881" w:name="_Toc10123956"/>
      <w:bookmarkStart w:id="882" w:name="_Toc10191455"/>
      <w:bookmarkStart w:id="883" w:name="_Toc12526329"/>
      <w:r w:rsidRPr="006F4EAB">
        <w:rPr>
          <w:rFonts w:eastAsiaTheme="minorEastAsia"/>
        </w:rPr>
        <w:t>Table</w:t>
      </w:r>
      <w:r w:rsidR="003D4A95" w:rsidRPr="006F4EAB">
        <w:rPr>
          <w:rFonts w:eastAsiaTheme="minorEastAsia"/>
        </w:rPr>
        <w:t xml:space="preserve"> </w:t>
      </w:r>
      <w:r w:rsidR="003D4A95" w:rsidRPr="006F4EAB">
        <w:rPr>
          <w:rFonts w:eastAsiaTheme="minorEastAsia"/>
          <w:caps/>
        </w:rPr>
        <w:fldChar w:fldCharType="begin"/>
      </w:r>
      <w:r w:rsidR="003D4A95" w:rsidRPr="006F4EAB">
        <w:rPr>
          <w:rFonts w:eastAsiaTheme="minorEastAsia"/>
          <w:caps/>
        </w:rPr>
        <w:instrText xml:space="preserve"> STYLEREF 1 \s </w:instrText>
      </w:r>
      <w:r w:rsidR="003D4A95" w:rsidRPr="006F4EAB">
        <w:rPr>
          <w:rFonts w:eastAsiaTheme="minorEastAsia"/>
          <w:caps/>
        </w:rPr>
        <w:fldChar w:fldCharType="separate"/>
      </w:r>
      <w:r w:rsidR="003D4A95" w:rsidRPr="006F4EAB">
        <w:rPr>
          <w:rFonts w:eastAsiaTheme="minorEastAsia"/>
        </w:rPr>
        <w:t>5</w:t>
      </w:r>
      <w:r w:rsidR="003D4A95" w:rsidRPr="006F4EAB">
        <w:rPr>
          <w:rFonts w:eastAsiaTheme="minorEastAsia"/>
          <w:caps/>
        </w:rPr>
        <w:fldChar w:fldCharType="end"/>
      </w:r>
      <w:r w:rsidR="003D4A95" w:rsidRPr="006F4EAB">
        <w:rPr>
          <w:rFonts w:eastAsiaTheme="minorEastAsia"/>
        </w:rPr>
        <w:t>.12: Investment Amounts of Distribution Companies</w:t>
      </w:r>
      <w:r w:rsidR="003143BB">
        <w:rPr>
          <w:rFonts w:eastAsiaTheme="minorEastAsia"/>
        </w:rPr>
        <w:t xml:space="preserve"> by Investment Type</w:t>
      </w:r>
      <w:r w:rsidR="003D4A95" w:rsidRPr="006F4EAB">
        <w:rPr>
          <w:rFonts w:eastAsiaTheme="minorEastAsia"/>
        </w:rPr>
        <w:t xml:space="preserve"> in 2018 (Current Prices-million TL)</w:t>
      </w:r>
      <w:bookmarkEnd w:id="880"/>
      <w:bookmarkEnd w:id="881"/>
      <w:bookmarkEnd w:id="882"/>
      <w:bookmarkEnd w:id="883"/>
    </w:p>
    <w:tbl>
      <w:tblPr>
        <w:tblW w:w="9087" w:type="dxa"/>
        <w:jc w:val="center"/>
        <w:tblCellMar>
          <w:left w:w="70" w:type="dxa"/>
          <w:right w:w="70" w:type="dxa"/>
        </w:tblCellMar>
        <w:tblLook w:val="04A0" w:firstRow="1" w:lastRow="0" w:firstColumn="1" w:lastColumn="0" w:noHBand="0" w:noVBand="1"/>
      </w:tblPr>
      <w:tblGrid>
        <w:gridCol w:w="1858"/>
        <w:gridCol w:w="3613"/>
        <w:gridCol w:w="3616"/>
      </w:tblGrid>
      <w:tr w:rsidR="003D4A95" w:rsidRPr="00CD458E" w:rsidTr="004B1854">
        <w:trPr>
          <w:trHeight w:val="585"/>
          <w:jc w:val="center"/>
        </w:trPr>
        <w:tc>
          <w:tcPr>
            <w:tcW w:w="18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3D4A95" w:rsidRPr="000647C0" w:rsidRDefault="003D4A95" w:rsidP="00A64337">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Distribution Company</w:t>
            </w:r>
          </w:p>
        </w:tc>
        <w:tc>
          <w:tcPr>
            <w:tcW w:w="3613" w:type="dxa"/>
            <w:tcBorders>
              <w:top w:val="single" w:sz="8" w:space="0" w:color="auto"/>
              <w:left w:val="nil"/>
              <w:bottom w:val="single" w:sz="8" w:space="0" w:color="auto"/>
              <w:right w:val="single" w:sz="8" w:space="0" w:color="auto"/>
            </w:tcBorders>
            <w:shd w:val="clear" w:color="000000" w:fill="FF0000"/>
            <w:vAlign w:val="center"/>
          </w:tcPr>
          <w:p w:rsidR="003D4A95" w:rsidRPr="000647C0" w:rsidRDefault="003D4A95" w:rsidP="00A64337">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bCs/>
                <w:color w:val="FFFFFF"/>
                <w:sz w:val="24"/>
                <w:szCs w:val="24"/>
                <w:lang w:eastAsia="tr-TR" w:bidi="ar-SA"/>
              </w:rPr>
              <w:t>Investment Type</w:t>
            </w:r>
          </w:p>
        </w:tc>
        <w:tc>
          <w:tcPr>
            <w:tcW w:w="3616"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3D4A95" w:rsidRPr="000647C0" w:rsidRDefault="003D4A95" w:rsidP="00A64337">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20</w:t>
            </w:r>
            <w:r>
              <w:rPr>
                <w:rFonts w:ascii="Times New Roman" w:eastAsia="Times New Roman" w:hAnsi="Times New Roman" w:cs="Times New Roman"/>
                <w:b/>
                <w:bCs/>
                <w:color w:val="FFFFFF"/>
                <w:sz w:val="24"/>
                <w:szCs w:val="24"/>
                <w:lang w:eastAsia="tr-TR" w:bidi="ar-SA"/>
              </w:rPr>
              <w:t>18</w:t>
            </w:r>
            <w:r w:rsidRPr="000647C0">
              <w:rPr>
                <w:rFonts w:ascii="Times New Roman" w:eastAsia="Times New Roman" w:hAnsi="Times New Roman" w:cs="Times New Roman"/>
                <w:b/>
                <w:bCs/>
                <w:color w:val="FFFFFF"/>
                <w:sz w:val="24"/>
                <w:szCs w:val="24"/>
                <w:lang w:eastAsia="tr-TR" w:bidi="ar-SA"/>
              </w:rPr>
              <w:t xml:space="preserve"> </w:t>
            </w:r>
            <w:r>
              <w:rPr>
                <w:rFonts w:ascii="Times New Roman" w:eastAsia="Times New Roman" w:hAnsi="Times New Roman" w:cs="Times New Roman"/>
                <w:b/>
                <w:bCs/>
                <w:color w:val="FFFFFF"/>
                <w:sz w:val="24"/>
                <w:szCs w:val="24"/>
                <w:lang w:eastAsia="tr-TR" w:bidi="ar-SA"/>
              </w:rPr>
              <w:t>Investment Amount</w:t>
            </w:r>
          </w:p>
          <w:p w:rsidR="003D4A95" w:rsidRPr="000647C0" w:rsidRDefault="003D4A95" w:rsidP="00A64337">
            <w:pPr>
              <w:spacing w:after="0" w:line="240" w:lineRule="auto"/>
              <w:jc w:val="center"/>
              <w:rPr>
                <w:rFonts w:ascii="Times New Roman" w:eastAsia="Times New Roman" w:hAnsi="Times New Roman" w:cs="Times New Roman"/>
                <w:b/>
                <w:bCs/>
                <w:color w:val="FFFFFF"/>
                <w:sz w:val="24"/>
                <w:szCs w:val="24"/>
                <w:lang w:eastAsia="tr-TR" w:bidi="ar-SA"/>
              </w:rPr>
            </w:pPr>
            <w:r w:rsidRPr="000647C0">
              <w:rPr>
                <w:rFonts w:ascii="Times New Roman" w:eastAsia="Times New Roman" w:hAnsi="Times New Roman" w:cs="Times New Roman"/>
                <w:b/>
                <w:bCs/>
                <w:color w:val="FFFFFF"/>
                <w:sz w:val="24"/>
                <w:szCs w:val="24"/>
                <w:lang w:eastAsia="tr-TR" w:bidi="ar-SA"/>
              </w:rPr>
              <w:t>(</w:t>
            </w:r>
            <w:r>
              <w:rPr>
                <w:rFonts w:ascii="Times New Roman" w:eastAsia="Times New Roman" w:hAnsi="Times New Roman" w:cs="Times New Roman"/>
                <w:b/>
                <w:bCs/>
                <w:color w:val="FFFFFF"/>
                <w:sz w:val="24"/>
                <w:szCs w:val="24"/>
                <w:lang w:eastAsia="tr-TR" w:bidi="ar-SA"/>
              </w:rPr>
              <w:t>CPI</w:t>
            </w:r>
            <w:r w:rsidRPr="000647C0">
              <w:rPr>
                <w:rFonts w:ascii="Times New Roman" w:eastAsia="Times New Roman" w:hAnsi="Times New Roman" w:cs="Times New Roman"/>
                <w:b/>
                <w:bCs/>
                <w:color w:val="FFFFFF"/>
                <w:sz w:val="24"/>
                <w:szCs w:val="24"/>
                <w:lang w:eastAsia="tr-TR" w:bidi="ar-SA"/>
              </w:rPr>
              <w:t xml:space="preserve"> </w:t>
            </w:r>
            <w:r>
              <w:rPr>
                <w:rFonts w:ascii="Times New Roman" w:eastAsia="Times New Roman" w:hAnsi="Times New Roman" w:cs="Times New Roman"/>
                <w:b/>
                <w:bCs/>
                <w:color w:val="FFFFFF"/>
                <w:sz w:val="24"/>
                <w:szCs w:val="24"/>
                <w:lang w:eastAsia="tr-TR" w:bidi="ar-SA"/>
              </w:rPr>
              <w:t>June</w:t>
            </w:r>
            <w:r w:rsidRPr="000647C0">
              <w:rPr>
                <w:rFonts w:ascii="Times New Roman" w:eastAsia="Times New Roman" w:hAnsi="Times New Roman" w:cs="Times New Roman"/>
                <w:b/>
                <w:bCs/>
                <w:color w:val="FFFFFF"/>
                <w:sz w:val="24"/>
                <w:szCs w:val="24"/>
                <w:lang w:eastAsia="tr-TR" w:bidi="ar-SA"/>
              </w:rPr>
              <w:t>.20</w:t>
            </w:r>
            <w:r>
              <w:rPr>
                <w:rFonts w:ascii="Times New Roman" w:eastAsia="Times New Roman" w:hAnsi="Times New Roman" w:cs="Times New Roman"/>
                <w:b/>
                <w:bCs/>
                <w:color w:val="FFFFFF"/>
                <w:sz w:val="24"/>
                <w:szCs w:val="24"/>
                <w:lang w:eastAsia="tr-TR" w:bidi="ar-SA"/>
              </w:rPr>
              <w:t>18</w:t>
            </w:r>
            <w:r w:rsidRPr="000647C0">
              <w:rPr>
                <w:rFonts w:ascii="Times New Roman" w:eastAsia="Times New Roman" w:hAnsi="Times New Roman" w:cs="Times New Roman"/>
                <w:b/>
                <w:bCs/>
                <w:color w:val="FFFFFF"/>
                <w:sz w:val="24"/>
                <w:szCs w:val="24"/>
                <w:lang w:eastAsia="tr-TR" w:bidi="ar-SA"/>
              </w:rPr>
              <w:t>:</w:t>
            </w:r>
            <w:r>
              <w:rPr>
                <w:rFonts w:ascii="Times New Roman" w:eastAsia="Times New Roman" w:hAnsi="Times New Roman" w:cs="Times New Roman"/>
                <w:b/>
                <w:bCs/>
                <w:color w:val="FFFFFF"/>
                <w:sz w:val="24"/>
                <w:szCs w:val="24"/>
                <w:lang w:eastAsia="tr-TR" w:bidi="ar-SA"/>
              </w:rPr>
              <w:t>357,44</w:t>
            </w:r>
            <w:r w:rsidRPr="000647C0">
              <w:rPr>
                <w:rFonts w:ascii="Times New Roman" w:eastAsia="Times New Roman" w:hAnsi="Times New Roman" w:cs="Times New Roman"/>
                <w:b/>
                <w:bCs/>
                <w:color w:val="FFFFFF"/>
                <w:sz w:val="24"/>
                <w:szCs w:val="24"/>
                <w:lang w:eastAsia="tr-TR" w:bidi="ar-SA"/>
              </w:rPr>
              <w:t>)</w:t>
            </w:r>
          </w:p>
        </w:tc>
      </w:tr>
      <w:tr w:rsidR="003D4A95" w:rsidRPr="00CD458E" w:rsidTr="004B1854">
        <w:trPr>
          <w:trHeight w:val="315"/>
          <w:jc w:val="center"/>
        </w:trPr>
        <w:tc>
          <w:tcPr>
            <w:tcW w:w="1858" w:type="dxa"/>
            <w:vMerge w:val="restart"/>
            <w:tcBorders>
              <w:top w:val="nil"/>
              <w:left w:val="single" w:sz="8" w:space="0" w:color="auto"/>
              <w:right w:val="single" w:sz="8" w:space="0" w:color="auto"/>
            </w:tcBorders>
            <w:shd w:val="clear" w:color="000000" w:fill="FF5050"/>
            <w:noWrap/>
            <w:vAlign w:val="center"/>
          </w:tcPr>
          <w:p w:rsidR="003D4A95" w:rsidRPr="00FD3ADC" w:rsidRDefault="003D4A95" w:rsidP="0099399A">
            <w:pPr>
              <w:spacing w:after="0" w:line="240" w:lineRule="auto"/>
              <w:jc w:val="both"/>
              <w:rPr>
                <w:rFonts w:ascii="Times New Roman" w:eastAsia="Times New Roman" w:hAnsi="Times New Roman" w:cs="Times New Roman"/>
                <w:bCs/>
                <w:color w:val="FFFFFF"/>
                <w:lang w:eastAsia="tr-TR" w:bidi="ar-SA"/>
              </w:rPr>
            </w:pPr>
            <w:r w:rsidRPr="00FD3ADC">
              <w:rPr>
                <w:rFonts w:ascii="Calibri" w:eastAsia="Times New Roman" w:hAnsi="Calibri" w:cs="Times New Roman"/>
                <w:bCs/>
                <w:color w:val="000000"/>
                <w:lang w:eastAsia="tr-TR" w:bidi="ar-SA"/>
              </w:rPr>
              <w:t>21 EDAŞ</w:t>
            </w:r>
          </w:p>
        </w:tc>
        <w:tc>
          <w:tcPr>
            <w:tcW w:w="3613" w:type="dxa"/>
            <w:tcBorders>
              <w:top w:val="single" w:sz="8" w:space="0" w:color="auto"/>
              <w:left w:val="nil"/>
              <w:bottom w:val="single" w:sz="8" w:space="0" w:color="auto"/>
              <w:right w:val="single" w:sz="8" w:space="0" w:color="auto"/>
            </w:tcBorders>
            <w:vAlign w:val="bottom"/>
          </w:tcPr>
          <w:p w:rsidR="003D4A95" w:rsidRPr="000647C0" w:rsidRDefault="003D4A95" w:rsidP="0099399A">
            <w:pPr>
              <w:spacing w:after="0" w:line="240" w:lineRule="auto"/>
              <w:jc w:val="both"/>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Network Investments</w:t>
            </w:r>
            <w:r w:rsidRPr="000647C0">
              <w:rPr>
                <w:rFonts w:ascii="Calibri" w:eastAsia="Times New Roman" w:hAnsi="Calibri" w:cs="Times New Roman"/>
                <w:color w:val="000000"/>
                <w:lang w:eastAsia="tr-TR" w:bidi="ar-SA"/>
              </w:rPr>
              <w:t xml:space="preserve"> </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3D4A95" w:rsidRPr="000647C0" w:rsidRDefault="003D4A95" w:rsidP="0099399A">
            <w:pPr>
              <w:spacing w:after="0" w:line="240" w:lineRule="auto"/>
              <w:jc w:val="both"/>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3</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749</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020</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044,37</w:t>
            </w:r>
          </w:p>
        </w:tc>
      </w:tr>
      <w:tr w:rsidR="003D4A95" w:rsidRPr="00CD458E" w:rsidTr="004B1854">
        <w:trPr>
          <w:trHeight w:val="315"/>
          <w:jc w:val="center"/>
        </w:trPr>
        <w:tc>
          <w:tcPr>
            <w:tcW w:w="1858" w:type="dxa"/>
            <w:vMerge/>
            <w:tcBorders>
              <w:left w:val="single" w:sz="8" w:space="0" w:color="auto"/>
              <w:right w:val="single" w:sz="8" w:space="0" w:color="auto"/>
            </w:tcBorders>
            <w:shd w:val="clear" w:color="000000" w:fill="FF5050"/>
            <w:noWrap/>
            <w:vAlign w:val="center"/>
          </w:tcPr>
          <w:p w:rsidR="003D4A95" w:rsidRPr="000647C0" w:rsidRDefault="003D4A95" w:rsidP="0099399A">
            <w:pPr>
              <w:spacing w:after="0" w:line="240" w:lineRule="auto"/>
              <w:jc w:val="both"/>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3D4A95" w:rsidRPr="00305E59" w:rsidRDefault="003D4A95" w:rsidP="0099399A">
            <w:pPr>
              <w:spacing w:after="0" w:line="240" w:lineRule="auto"/>
              <w:jc w:val="both"/>
              <w:rPr>
                <w:rFonts w:ascii="Calibri" w:eastAsia="Times New Roman" w:hAnsi="Calibri" w:cs="Times New Roman"/>
                <w:lang w:eastAsia="tr-TR" w:bidi="ar-SA"/>
              </w:rPr>
            </w:pPr>
            <w:r w:rsidRPr="00305E59">
              <w:rPr>
                <w:rFonts w:ascii="Calibri" w:eastAsia="Times New Roman" w:hAnsi="Calibri" w:cs="Times New Roman"/>
                <w:lang w:eastAsia="tr-TR" w:bidi="ar-SA"/>
              </w:rPr>
              <w:t>Investments with Environmental, Security and Other Legal Obligations</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3D4A95" w:rsidRPr="000647C0" w:rsidRDefault="003D4A95" w:rsidP="0099399A">
            <w:pPr>
              <w:spacing w:after="0" w:line="240" w:lineRule="auto"/>
              <w:jc w:val="both"/>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593</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281</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560,6</w:t>
            </w:r>
            <w:r>
              <w:rPr>
                <w:rFonts w:ascii="Calibri" w:eastAsia="Times New Roman" w:hAnsi="Calibri" w:cs="Times New Roman"/>
                <w:color w:val="000000"/>
                <w:lang w:eastAsia="tr-TR" w:bidi="ar-SA"/>
              </w:rPr>
              <w:t>3</w:t>
            </w:r>
          </w:p>
        </w:tc>
      </w:tr>
      <w:tr w:rsidR="003D4A95" w:rsidRPr="00CD458E" w:rsidTr="004B1854">
        <w:trPr>
          <w:trHeight w:val="315"/>
          <w:jc w:val="center"/>
        </w:trPr>
        <w:tc>
          <w:tcPr>
            <w:tcW w:w="1858" w:type="dxa"/>
            <w:vMerge/>
            <w:tcBorders>
              <w:left w:val="single" w:sz="8" w:space="0" w:color="auto"/>
              <w:right w:val="single" w:sz="8" w:space="0" w:color="auto"/>
            </w:tcBorders>
            <w:shd w:val="clear" w:color="000000" w:fill="FF5050"/>
            <w:noWrap/>
            <w:vAlign w:val="center"/>
          </w:tcPr>
          <w:p w:rsidR="003D4A95" w:rsidRPr="000647C0" w:rsidRDefault="003D4A95" w:rsidP="0099399A">
            <w:pPr>
              <w:spacing w:after="0" w:line="240" w:lineRule="auto"/>
              <w:jc w:val="both"/>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3D4A95" w:rsidRPr="00305E59" w:rsidRDefault="003D4A95" w:rsidP="0099399A">
            <w:pPr>
              <w:spacing w:after="0" w:line="240" w:lineRule="auto"/>
              <w:jc w:val="both"/>
              <w:rPr>
                <w:rFonts w:ascii="Calibri" w:eastAsia="Times New Roman" w:hAnsi="Calibri" w:cs="Times New Roman"/>
                <w:lang w:eastAsia="tr-TR" w:bidi="ar-SA"/>
              </w:rPr>
            </w:pPr>
            <w:r w:rsidRPr="00305E59">
              <w:rPr>
                <w:rFonts w:ascii="Calibri" w:eastAsia="Times New Roman" w:hAnsi="Calibri" w:cs="Times New Roman"/>
                <w:lang w:eastAsia="tr-TR" w:bidi="ar-SA"/>
              </w:rPr>
              <w:t>Network Operating System Investments</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3D4A95" w:rsidRPr="000647C0" w:rsidRDefault="003D4A95" w:rsidP="0099399A">
            <w:pPr>
              <w:spacing w:after="0" w:line="240" w:lineRule="auto"/>
              <w:jc w:val="both"/>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365</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115</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533,59</w:t>
            </w:r>
          </w:p>
        </w:tc>
      </w:tr>
      <w:tr w:rsidR="003D4A95" w:rsidRPr="00CD458E" w:rsidTr="004B1854">
        <w:trPr>
          <w:trHeight w:val="315"/>
          <w:jc w:val="center"/>
        </w:trPr>
        <w:tc>
          <w:tcPr>
            <w:tcW w:w="1858" w:type="dxa"/>
            <w:vMerge/>
            <w:tcBorders>
              <w:left w:val="single" w:sz="8" w:space="0" w:color="auto"/>
              <w:right w:val="single" w:sz="8" w:space="0" w:color="auto"/>
            </w:tcBorders>
            <w:shd w:val="clear" w:color="000000" w:fill="FF5050"/>
            <w:noWrap/>
            <w:vAlign w:val="center"/>
          </w:tcPr>
          <w:p w:rsidR="003D4A95" w:rsidRPr="000647C0" w:rsidRDefault="003D4A95" w:rsidP="0099399A">
            <w:pPr>
              <w:spacing w:after="0" w:line="240" w:lineRule="auto"/>
              <w:jc w:val="both"/>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3D4A95" w:rsidRPr="000647C0" w:rsidRDefault="003D4A95" w:rsidP="0099399A">
            <w:pPr>
              <w:spacing w:after="0" w:line="240" w:lineRule="auto"/>
              <w:jc w:val="both"/>
              <w:rPr>
                <w:rFonts w:ascii="Calibri" w:eastAsia="Times New Roman" w:hAnsi="Calibri" w:cs="Times New Roman"/>
                <w:color w:val="000000"/>
                <w:lang w:eastAsia="tr-TR" w:bidi="ar-SA"/>
              </w:rPr>
            </w:pPr>
            <w:r>
              <w:rPr>
                <w:rFonts w:ascii="Calibri" w:eastAsia="Times New Roman" w:hAnsi="Calibri" w:cs="Times New Roman"/>
                <w:color w:val="000000"/>
                <w:lang w:eastAsia="tr-TR" w:bidi="ar-SA"/>
              </w:rPr>
              <w:t>Counter Investment</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3D4A95" w:rsidRPr="000647C0" w:rsidRDefault="003D4A95" w:rsidP="0099399A">
            <w:pPr>
              <w:spacing w:after="0" w:line="240" w:lineRule="auto"/>
              <w:jc w:val="both"/>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145</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241</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295,</w:t>
            </w:r>
            <w:r>
              <w:rPr>
                <w:rFonts w:ascii="Calibri" w:eastAsia="Times New Roman" w:hAnsi="Calibri" w:cs="Times New Roman"/>
                <w:color w:val="000000"/>
                <w:lang w:eastAsia="tr-TR" w:bidi="ar-SA"/>
              </w:rPr>
              <w:t>08</w:t>
            </w:r>
          </w:p>
        </w:tc>
      </w:tr>
      <w:tr w:rsidR="003D4A95" w:rsidRPr="00CD458E" w:rsidTr="004B1854">
        <w:trPr>
          <w:trHeight w:val="315"/>
          <w:jc w:val="center"/>
        </w:trPr>
        <w:tc>
          <w:tcPr>
            <w:tcW w:w="1858" w:type="dxa"/>
            <w:vMerge/>
            <w:tcBorders>
              <w:left w:val="single" w:sz="8" w:space="0" w:color="auto"/>
              <w:right w:val="single" w:sz="8" w:space="0" w:color="auto"/>
            </w:tcBorders>
            <w:shd w:val="clear" w:color="000000" w:fill="FF5050"/>
            <w:noWrap/>
            <w:vAlign w:val="center"/>
          </w:tcPr>
          <w:p w:rsidR="003D4A95" w:rsidRPr="000647C0" w:rsidRDefault="003D4A95" w:rsidP="0099399A">
            <w:pPr>
              <w:spacing w:after="0" w:line="240" w:lineRule="auto"/>
              <w:jc w:val="both"/>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3D4A95" w:rsidRPr="000647C0" w:rsidRDefault="003D4A95" w:rsidP="0099399A">
            <w:pPr>
              <w:spacing w:after="0" w:line="240" w:lineRule="auto"/>
              <w:jc w:val="both"/>
              <w:rPr>
                <w:rFonts w:ascii="Calibri" w:eastAsia="Times New Roman" w:hAnsi="Calibri" w:cs="Times New Roman"/>
                <w:color w:val="000000"/>
                <w:lang w:eastAsia="tr-TR" w:bidi="ar-SA"/>
              </w:rPr>
            </w:pPr>
            <w:r w:rsidRPr="00305E59">
              <w:rPr>
                <w:rFonts w:ascii="Calibri" w:eastAsia="Times New Roman" w:hAnsi="Calibri" w:cs="Times New Roman"/>
                <w:lang w:eastAsia="tr-TR" w:bidi="ar-SA"/>
              </w:rPr>
              <w:t>Network Investments (Other investments)</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3D4A95" w:rsidRPr="000647C0" w:rsidRDefault="003D4A95" w:rsidP="0099399A">
            <w:pPr>
              <w:spacing w:after="0" w:line="240" w:lineRule="auto"/>
              <w:jc w:val="both"/>
              <w:rPr>
                <w:rFonts w:ascii="Calibri" w:eastAsia="Times New Roman" w:hAnsi="Calibri" w:cs="Times New Roman"/>
                <w:color w:val="000000"/>
                <w:lang w:eastAsia="tr-TR" w:bidi="ar-SA"/>
              </w:rPr>
            </w:pPr>
            <w:r w:rsidRPr="00BC5725">
              <w:rPr>
                <w:rFonts w:ascii="Calibri" w:eastAsia="Times New Roman" w:hAnsi="Calibri" w:cs="Times New Roman"/>
                <w:color w:val="000000"/>
                <w:lang w:eastAsia="tr-TR" w:bidi="ar-SA"/>
              </w:rPr>
              <w:t>56</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273</w:t>
            </w:r>
            <w:r>
              <w:rPr>
                <w:rFonts w:ascii="Calibri" w:eastAsia="Times New Roman" w:hAnsi="Calibri" w:cs="Times New Roman"/>
                <w:color w:val="000000"/>
                <w:lang w:eastAsia="tr-TR" w:bidi="ar-SA"/>
              </w:rPr>
              <w:t>.</w:t>
            </w:r>
            <w:r w:rsidRPr="00BC5725">
              <w:rPr>
                <w:rFonts w:ascii="Calibri" w:eastAsia="Times New Roman" w:hAnsi="Calibri" w:cs="Times New Roman"/>
                <w:color w:val="000000"/>
                <w:lang w:eastAsia="tr-TR" w:bidi="ar-SA"/>
              </w:rPr>
              <w:t>280,</w:t>
            </w:r>
            <w:r>
              <w:rPr>
                <w:rFonts w:ascii="Calibri" w:eastAsia="Times New Roman" w:hAnsi="Calibri" w:cs="Times New Roman"/>
                <w:color w:val="000000"/>
                <w:lang w:eastAsia="tr-TR" w:bidi="ar-SA"/>
              </w:rPr>
              <w:t>24</w:t>
            </w:r>
          </w:p>
        </w:tc>
      </w:tr>
      <w:tr w:rsidR="003D4A95" w:rsidRPr="00CD458E" w:rsidTr="004B1854">
        <w:trPr>
          <w:trHeight w:val="315"/>
          <w:jc w:val="center"/>
        </w:trPr>
        <w:tc>
          <w:tcPr>
            <w:tcW w:w="1858" w:type="dxa"/>
            <w:vMerge/>
            <w:tcBorders>
              <w:left w:val="single" w:sz="8" w:space="0" w:color="auto"/>
              <w:bottom w:val="single" w:sz="8" w:space="0" w:color="auto"/>
              <w:right w:val="single" w:sz="8" w:space="0" w:color="auto"/>
            </w:tcBorders>
            <w:shd w:val="clear" w:color="000000" w:fill="FF5050"/>
            <w:noWrap/>
            <w:vAlign w:val="center"/>
          </w:tcPr>
          <w:p w:rsidR="003D4A95" w:rsidRPr="000647C0" w:rsidRDefault="003D4A95" w:rsidP="0099399A">
            <w:pPr>
              <w:spacing w:after="0" w:line="240" w:lineRule="auto"/>
              <w:jc w:val="both"/>
              <w:rPr>
                <w:rFonts w:ascii="Times New Roman" w:eastAsia="Times New Roman" w:hAnsi="Times New Roman" w:cs="Times New Roman"/>
                <w:b/>
                <w:bCs/>
                <w:color w:val="FFFFFF"/>
                <w:lang w:eastAsia="tr-TR" w:bidi="ar-SA"/>
              </w:rPr>
            </w:pPr>
          </w:p>
        </w:tc>
        <w:tc>
          <w:tcPr>
            <w:tcW w:w="3613" w:type="dxa"/>
            <w:tcBorders>
              <w:top w:val="single" w:sz="8" w:space="0" w:color="auto"/>
              <w:left w:val="nil"/>
              <w:bottom w:val="single" w:sz="8" w:space="0" w:color="auto"/>
              <w:right w:val="single" w:sz="8" w:space="0" w:color="auto"/>
            </w:tcBorders>
            <w:vAlign w:val="bottom"/>
          </w:tcPr>
          <w:p w:rsidR="003D4A95" w:rsidRPr="000647C0" w:rsidRDefault="003D4A95" w:rsidP="0099399A">
            <w:pPr>
              <w:spacing w:after="0" w:line="240" w:lineRule="auto"/>
              <w:jc w:val="both"/>
              <w:rPr>
                <w:rFonts w:ascii="Calibri" w:eastAsia="Times New Roman" w:hAnsi="Calibri" w:cs="Times New Roman"/>
                <w:b/>
                <w:bCs/>
                <w:color w:val="000000"/>
                <w:lang w:eastAsia="tr-TR" w:bidi="ar-SA"/>
              </w:rPr>
            </w:pPr>
            <w:r>
              <w:rPr>
                <w:rFonts w:ascii="Calibri" w:eastAsia="Times New Roman" w:hAnsi="Calibri" w:cs="Times New Roman"/>
                <w:b/>
                <w:bCs/>
                <w:color w:val="000000"/>
                <w:lang w:eastAsia="tr-TR" w:bidi="ar-SA"/>
              </w:rPr>
              <w:t>Total</w:t>
            </w:r>
          </w:p>
        </w:tc>
        <w:tc>
          <w:tcPr>
            <w:tcW w:w="3616" w:type="dxa"/>
            <w:tcBorders>
              <w:top w:val="nil"/>
              <w:left w:val="single" w:sz="8" w:space="0" w:color="auto"/>
              <w:bottom w:val="single" w:sz="8" w:space="0" w:color="auto"/>
              <w:right w:val="single" w:sz="8" w:space="0" w:color="auto"/>
            </w:tcBorders>
            <w:shd w:val="clear" w:color="auto" w:fill="auto"/>
            <w:noWrap/>
            <w:vAlign w:val="bottom"/>
          </w:tcPr>
          <w:p w:rsidR="003D4A95" w:rsidRPr="000647C0" w:rsidRDefault="003D4A95" w:rsidP="0099399A">
            <w:pPr>
              <w:spacing w:after="0" w:line="240" w:lineRule="auto"/>
              <w:jc w:val="both"/>
              <w:rPr>
                <w:rFonts w:ascii="Calibri" w:eastAsia="Times New Roman" w:hAnsi="Calibri" w:cs="Times New Roman"/>
                <w:b/>
                <w:bCs/>
                <w:color w:val="000000"/>
                <w:lang w:eastAsia="tr-TR" w:bidi="ar-SA"/>
              </w:rPr>
            </w:pPr>
            <w:r w:rsidRPr="00BC5725">
              <w:rPr>
                <w:rFonts w:ascii="Calibri" w:eastAsia="Times New Roman" w:hAnsi="Calibri" w:cs="Times New Roman"/>
                <w:b/>
                <w:bCs/>
                <w:color w:val="000000"/>
                <w:lang w:eastAsia="tr-TR" w:bidi="ar-SA"/>
              </w:rPr>
              <w:t>4.908.931.713,91</w:t>
            </w:r>
          </w:p>
        </w:tc>
      </w:tr>
    </w:tbl>
    <w:p w:rsidR="00746B0E" w:rsidRDefault="00746B0E" w:rsidP="0099399A">
      <w:pPr>
        <w:spacing w:after="0" w:line="240" w:lineRule="auto"/>
        <w:jc w:val="both"/>
        <w:rPr>
          <w:rFonts w:ascii="Times New Roman" w:hAnsi="Times New Roman" w:cs="Times New Roman"/>
          <w:color w:val="212121"/>
          <w:sz w:val="20"/>
          <w:szCs w:val="20"/>
          <w:shd w:val="clear" w:color="auto" w:fill="FFFFFF"/>
        </w:rPr>
      </w:pPr>
      <w:r>
        <w:br/>
      </w:r>
      <w:r w:rsidRPr="00746B0E">
        <w:rPr>
          <w:rFonts w:ascii="Times New Roman" w:hAnsi="Times New Roman" w:cs="Times New Roman"/>
          <w:color w:val="212121"/>
          <w:sz w:val="20"/>
          <w:szCs w:val="20"/>
          <w:shd w:val="clear" w:color="auto" w:fill="FFFFFF"/>
        </w:rPr>
        <w:t>*The unit price is calculated according to the June CPI: 357,44</w:t>
      </w:r>
    </w:p>
    <w:p w:rsidR="00746B0E" w:rsidRPr="00746B0E" w:rsidRDefault="00746B0E" w:rsidP="0099399A">
      <w:pPr>
        <w:spacing w:after="0" w:line="240" w:lineRule="auto"/>
        <w:jc w:val="both"/>
        <w:rPr>
          <w:rFonts w:ascii="Times New Roman" w:hAnsi="Times New Roman" w:cs="Times New Roman"/>
          <w:color w:val="212121"/>
          <w:sz w:val="20"/>
          <w:szCs w:val="20"/>
          <w:shd w:val="clear" w:color="auto" w:fill="FFFFFF"/>
        </w:rPr>
      </w:pPr>
      <w:r w:rsidRPr="00746B0E">
        <w:rPr>
          <w:rFonts w:ascii="Times New Roman" w:hAnsi="Times New Roman" w:cs="Times New Roman"/>
          <w:color w:val="212121"/>
          <w:sz w:val="20"/>
          <w:szCs w:val="20"/>
          <w:shd w:val="clear" w:color="auto" w:fill="FFFFFF"/>
        </w:rPr>
        <w:t>**</w:t>
      </w:r>
      <w:r w:rsidRPr="00746B0E">
        <w:rPr>
          <w:rFonts w:ascii="Times New Roman" w:eastAsia="Times New Roman" w:hAnsi="Times New Roman" w:cs="Times New Roman"/>
          <w:color w:val="212121"/>
          <w:sz w:val="20"/>
          <w:szCs w:val="20"/>
          <w:lang w:val="en" w:eastAsia="tr-TR"/>
        </w:rPr>
        <w:t xml:space="preserve"> Investments starting in the II.  </w:t>
      </w:r>
      <w:r>
        <w:rPr>
          <w:rFonts w:ascii="Times New Roman" w:eastAsia="Times New Roman" w:hAnsi="Times New Roman" w:cs="Times New Roman"/>
          <w:color w:val="212121"/>
          <w:sz w:val="20"/>
          <w:szCs w:val="20"/>
          <w:lang w:val="en" w:eastAsia="tr-TR"/>
        </w:rPr>
        <w:t>Implementation P</w:t>
      </w:r>
      <w:r w:rsidRPr="00746B0E">
        <w:rPr>
          <w:rFonts w:ascii="Times New Roman" w:eastAsia="Times New Roman" w:hAnsi="Times New Roman" w:cs="Times New Roman"/>
          <w:color w:val="212121"/>
          <w:sz w:val="20"/>
          <w:szCs w:val="20"/>
          <w:lang w:val="en" w:eastAsia="tr-TR"/>
        </w:rPr>
        <w:t>eriod and c</w:t>
      </w:r>
      <w:r>
        <w:rPr>
          <w:rFonts w:ascii="Times New Roman" w:eastAsia="Times New Roman" w:hAnsi="Times New Roman" w:cs="Times New Roman"/>
          <w:color w:val="212121"/>
          <w:sz w:val="20"/>
          <w:szCs w:val="20"/>
          <w:lang w:val="en" w:eastAsia="tr-TR"/>
        </w:rPr>
        <w:t>omplemented in</w:t>
      </w:r>
      <w:r w:rsidRPr="00746B0E">
        <w:rPr>
          <w:rFonts w:ascii="Times New Roman" w:eastAsia="Times New Roman" w:hAnsi="Times New Roman" w:cs="Times New Roman"/>
          <w:color w:val="212121"/>
          <w:sz w:val="20"/>
          <w:szCs w:val="20"/>
          <w:lang w:val="en" w:eastAsia="tr-TR"/>
        </w:rPr>
        <w:t xml:space="preserve"> the III. </w:t>
      </w:r>
      <w:r>
        <w:rPr>
          <w:rFonts w:ascii="Times New Roman" w:eastAsia="Times New Roman" w:hAnsi="Times New Roman" w:cs="Times New Roman"/>
          <w:color w:val="212121"/>
          <w:sz w:val="20"/>
          <w:szCs w:val="20"/>
          <w:lang w:val="en" w:eastAsia="tr-TR"/>
        </w:rPr>
        <w:t>I</w:t>
      </w:r>
      <w:r w:rsidRPr="00746B0E">
        <w:rPr>
          <w:rFonts w:ascii="Times New Roman" w:eastAsia="Times New Roman" w:hAnsi="Times New Roman" w:cs="Times New Roman"/>
          <w:color w:val="212121"/>
          <w:sz w:val="20"/>
          <w:szCs w:val="20"/>
          <w:lang w:val="en" w:eastAsia="tr-TR"/>
        </w:rPr>
        <w:t>mplementation</w:t>
      </w:r>
      <w:r>
        <w:rPr>
          <w:rFonts w:ascii="Times New Roman" w:eastAsia="Times New Roman" w:hAnsi="Times New Roman" w:cs="Times New Roman"/>
          <w:color w:val="212121"/>
          <w:sz w:val="20"/>
          <w:szCs w:val="20"/>
          <w:lang w:val="en" w:eastAsia="tr-TR"/>
        </w:rPr>
        <w:t xml:space="preserve"> P</w:t>
      </w:r>
      <w:r w:rsidRPr="00746B0E">
        <w:rPr>
          <w:rFonts w:ascii="Times New Roman" w:eastAsia="Times New Roman" w:hAnsi="Times New Roman" w:cs="Times New Roman"/>
          <w:color w:val="212121"/>
          <w:sz w:val="20"/>
          <w:szCs w:val="20"/>
          <w:lang w:val="en" w:eastAsia="tr-TR"/>
        </w:rPr>
        <w:t>eriod are included.</w:t>
      </w:r>
    </w:p>
    <w:p w:rsidR="00746B0E" w:rsidRPr="00746B0E" w:rsidRDefault="00746B0E" w:rsidP="0099399A">
      <w:pPr>
        <w:pStyle w:val="HTMLncedenBiimlendirilmi"/>
        <w:shd w:val="clear" w:color="auto" w:fill="FFFFFF"/>
        <w:jc w:val="both"/>
        <w:rPr>
          <w:rFonts w:ascii="Times New Roman" w:eastAsia="Times New Roman" w:hAnsi="Times New Roman" w:cs="Times New Roman"/>
          <w:color w:val="212121"/>
          <w:lang w:val="tr-TR" w:eastAsia="tr-TR"/>
        </w:rPr>
      </w:pPr>
      <w:r w:rsidRPr="00746B0E">
        <w:rPr>
          <w:rFonts w:ascii="Times New Roman" w:hAnsi="Times New Roman" w:cs="Times New Roman"/>
        </w:rPr>
        <w:t>***</w:t>
      </w:r>
      <w:r w:rsidRPr="00746B0E">
        <w:rPr>
          <w:rFonts w:ascii="Times New Roman" w:eastAsia="Times New Roman" w:hAnsi="Times New Roman" w:cs="Times New Roman"/>
          <w:b/>
          <w:color w:val="212121"/>
          <w:lang w:val="en" w:eastAsia="tr-TR"/>
        </w:rPr>
        <w:t xml:space="preserve"> </w:t>
      </w:r>
      <w:r w:rsidRPr="00746B0E">
        <w:rPr>
          <w:rFonts w:ascii="Times New Roman" w:eastAsia="Times New Roman" w:hAnsi="Times New Roman" w:cs="Times New Roman"/>
          <w:color w:val="212121"/>
          <w:lang w:val="en" w:eastAsia="tr-TR"/>
        </w:rPr>
        <w:t>The tables are prepared on the basis of the declarations made by the companies via the notification system.</w:t>
      </w:r>
    </w:p>
    <w:p w:rsidR="00746B0E" w:rsidRDefault="00746B0E" w:rsidP="0099399A">
      <w:pPr>
        <w:jc w:val="both"/>
      </w:pPr>
    </w:p>
    <w:p w:rsidR="00B942F5" w:rsidRDefault="00B942F5" w:rsidP="0099399A">
      <w:pPr>
        <w:pStyle w:val="11ilebalayanlar"/>
        <w:jc w:val="both"/>
      </w:pPr>
      <w:bookmarkStart w:id="884" w:name="_Toc520822035"/>
    </w:p>
    <w:p w:rsidR="00B942F5" w:rsidRDefault="00B942F5" w:rsidP="0099399A">
      <w:pPr>
        <w:pStyle w:val="BALIKLAR"/>
        <w:jc w:val="both"/>
      </w:pPr>
      <w:bookmarkStart w:id="885" w:name="_Toc12528964"/>
      <w:r w:rsidRPr="00497874">
        <w:t xml:space="preserve">5.7 </w:t>
      </w:r>
      <w:r w:rsidRPr="004F5652">
        <w:t>Information about Organized Industrial Zones</w:t>
      </w:r>
      <w:r>
        <w:t xml:space="preserve"> (OIZ)</w:t>
      </w:r>
      <w:bookmarkEnd w:id="884"/>
      <w:bookmarkEnd w:id="885"/>
    </w:p>
    <w:p w:rsidR="00B942F5" w:rsidRPr="002152E5" w:rsidRDefault="00B942F5" w:rsidP="0099399A">
      <w:pPr>
        <w:pStyle w:val="11ilebalayanlar"/>
        <w:jc w:val="both"/>
      </w:pPr>
    </w:p>
    <w:p w:rsidR="00B942F5" w:rsidRDefault="00B942F5" w:rsidP="0099399A">
      <w:pPr>
        <w:spacing w:line="360" w:lineRule="auto"/>
        <w:jc w:val="both"/>
        <w:rPr>
          <w:rFonts w:asciiTheme="minorHAnsi" w:hAnsiTheme="minorHAnsi" w:cstheme="minorHAnsi"/>
          <w:noProof/>
          <w:sz w:val="24"/>
          <w:szCs w:val="24"/>
          <w:lang w:eastAsia="tr-TR" w:bidi="ar-SA"/>
        </w:rPr>
      </w:pPr>
      <w:r w:rsidRPr="002152E5">
        <w:rPr>
          <w:rFonts w:ascii="Times New Roman" w:hAnsi="Times New Roman" w:cs="Times New Roman"/>
          <w:noProof/>
          <w:sz w:val="24"/>
          <w:szCs w:val="24"/>
          <w:lang w:eastAsia="tr-TR" w:bidi="ar-SA"/>
        </w:rPr>
        <w:t>The following table shows the data related to OIZ Distribution License Owners</w:t>
      </w:r>
      <w:r>
        <w:rPr>
          <w:rFonts w:asciiTheme="minorHAnsi" w:hAnsiTheme="minorHAnsi" w:cstheme="minorHAnsi"/>
          <w:noProof/>
          <w:sz w:val="24"/>
          <w:szCs w:val="24"/>
          <w:lang w:eastAsia="tr-TR" w:bidi="ar-SA"/>
        </w:rPr>
        <w:t>.</w:t>
      </w:r>
    </w:p>
    <w:p w:rsidR="00B942F5" w:rsidRPr="00B942F5" w:rsidRDefault="00B942F5" w:rsidP="00A64337">
      <w:pPr>
        <w:pStyle w:val="Balk1"/>
      </w:pPr>
      <w:bookmarkStart w:id="886" w:name="_Toc514674281"/>
      <w:bookmarkStart w:id="887" w:name="_Toc520822077"/>
      <w:bookmarkStart w:id="888" w:name="_Toc10123958"/>
      <w:bookmarkStart w:id="889" w:name="_Toc10191456"/>
      <w:bookmarkStart w:id="890" w:name="_Toc12526331"/>
      <w:r w:rsidRPr="00B407D7">
        <w:rPr>
          <w:rFonts w:eastAsiaTheme="minorEastAsia"/>
          <w:caps/>
        </w:rPr>
        <w:lastRenderedPageBreak/>
        <w:t>T</w:t>
      </w:r>
      <w:r>
        <w:rPr>
          <w:rFonts w:eastAsiaTheme="minorEastAsia"/>
        </w:rPr>
        <w:t>able</w:t>
      </w:r>
      <w:r w:rsidRPr="00B407D7">
        <w:rPr>
          <w:rFonts w:eastAsiaTheme="minorEastAsia"/>
          <w:caps/>
        </w:rPr>
        <w:t xml:space="preserve"> </w:t>
      </w:r>
      <w:r w:rsidRPr="00B407D7">
        <w:rPr>
          <w:rFonts w:eastAsiaTheme="minorEastAsia"/>
          <w:caps/>
        </w:rPr>
        <w:fldChar w:fldCharType="begin"/>
      </w:r>
      <w:r w:rsidRPr="00B407D7">
        <w:rPr>
          <w:rFonts w:eastAsiaTheme="minorEastAsia"/>
          <w:caps/>
        </w:rPr>
        <w:instrText xml:space="preserve"> STYLEREF 1 \s </w:instrText>
      </w:r>
      <w:r w:rsidRPr="00B407D7">
        <w:rPr>
          <w:rFonts w:eastAsiaTheme="minorEastAsia"/>
          <w:caps/>
        </w:rPr>
        <w:fldChar w:fldCharType="separate"/>
      </w:r>
      <w:r w:rsidRPr="00B407D7">
        <w:rPr>
          <w:rFonts w:eastAsiaTheme="minorEastAsia"/>
          <w:caps/>
          <w:noProof/>
        </w:rPr>
        <w:t>5</w:t>
      </w:r>
      <w:r w:rsidRPr="00B407D7">
        <w:rPr>
          <w:rFonts w:eastAsiaTheme="minorEastAsia"/>
          <w:caps/>
        </w:rPr>
        <w:fldChar w:fldCharType="end"/>
      </w:r>
      <w:r>
        <w:rPr>
          <w:rFonts w:eastAsiaTheme="minorEastAsia"/>
          <w:caps/>
        </w:rPr>
        <w:t>.</w:t>
      </w:r>
      <w:r w:rsidR="00BD27FE">
        <w:rPr>
          <w:rFonts w:eastAsiaTheme="minorEastAsia"/>
          <w:caps/>
        </w:rPr>
        <w:t>13</w:t>
      </w:r>
      <w:r w:rsidRPr="00B942F5">
        <w:rPr>
          <w:caps/>
        </w:rPr>
        <w:t xml:space="preserve"> </w:t>
      </w:r>
      <w:r w:rsidRPr="00B942F5">
        <w:t xml:space="preserve">Information </w:t>
      </w:r>
      <w:r w:rsidR="00BD27FE" w:rsidRPr="00B942F5">
        <w:t>about</w:t>
      </w:r>
      <w:r w:rsidRPr="00B942F5">
        <w:t xml:space="preserve"> Organized Industrial Zones</w:t>
      </w:r>
      <w:bookmarkEnd w:id="886"/>
      <w:bookmarkEnd w:id="887"/>
      <w:bookmarkEnd w:id="888"/>
      <w:bookmarkEnd w:id="889"/>
      <w:bookmarkEnd w:id="890"/>
    </w:p>
    <w:p w:rsidR="00B37ACD" w:rsidRDefault="00B37ACD" w:rsidP="0099399A">
      <w:pPr>
        <w:jc w:val="both"/>
      </w:pPr>
    </w:p>
    <w:tbl>
      <w:tblPr>
        <w:tblW w:w="7220" w:type="dxa"/>
        <w:jc w:val="center"/>
        <w:tblCellMar>
          <w:left w:w="70" w:type="dxa"/>
          <w:right w:w="70" w:type="dxa"/>
        </w:tblCellMar>
        <w:tblLook w:val="04A0" w:firstRow="1" w:lastRow="0" w:firstColumn="1" w:lastColumn="0" w:noHBand="0" w:noVBand="1"/>
      </w:tblPr>
      <w:tblGrid>
        <w:gridCol w:w="5780"/>
        <w:gridCol w:w="1440"/>
      </w:tblGrid>
      <w:tr w:rsidR="00B942F5" w:rsidRPr="00E019F3" w:rsidTr="00C14C79">
        <w:trPr>
          <w:trHeight w:val="200"/>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hideMark/>
          </w:tcPr>
          <w:p w:rsidR="00B942F5" w:rsidRPr="00305E59" w:rsidRDefault="00B942F5" w:rsidP="0099399A">
            <w:pPr>
              <w:jc w:val="both"/>
              <w:rPr>
                <w:rFonts w:ascii="Calibri" w:hAnsi="Calibri"/>
                <w:color w:val="FFFFFF" w:themeColor="background1"/>
              </w:rPr>
            </w:pPr>
            <w:r w:rsidRPr="00305E59">
              <w:rPr>
                <w:rFonts w:ascii="Calibri" w:hAnsi="Calibri"/>
                <w:color w:val="FFFFFF" w:themeColor="background1"/>
              </w:rPr>
              <w:t>Number of Participant AG</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46.000</w:t>
            </w:r>
          </w:p>
        </w:tc>
      </w:tr>
      <w:tr w:rsidR="00B942F5" w:rsidRPr="00E019F3" w:rsidTr="00C14C79">
        <w:trPr>
          <w:trHeight w:val="275"/>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hideMark/>
          </w:tcPr>
          <w:p w:rsidR="00B942F5" w:rsidRPr="00305E59" w:rsidRDefault="00B942F5" w:rsidP="0099399A">
            <w:pPr>
              <w:jc w:val="both"/>
              <w:rPr>
                <w:rFonts w:ascii="Calibri" w:hAnsi="Calibri"/>
                <w:color w:val="FFFFFF" w:themeColor="background1"/>
              </w:rPr>
            </w:pPr>
            <w:r w:rsidRPr="00305E59">
              <w:rPr>
                <w:rFonts w:ascii="Calibri" w:hAnsi="Calibri"/>
                <w:color w:val="FFFFFF" w:themeColor="background1"/>
              </w:rPr>
              <w:t>Number of Participant OG</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13.130</w:t>
            </w:r>
          </w:p>
        </w:tc>
      </w:tr>
      <w:tr w:rsidR="00B942F5" w:rsidRPr="00E019F3" w:rsidTr="00C14C79">
        <w:trPr>
          <w:trHeight w:val="423"/>
          <w:jc w:val="center"/>
        </w:trPr>
        <w:tc>
          <w:tcPr>
            <w:tcW w:w="5780" w:type="dxa"/>
            <w:tcBorders>
              <w:top w:val="single" w:sz="4" w:space="0" w:color="auto"/>
              <w:left w:val="single" w:sz="4" w:space="0" w:color="auto"/>
              <w:bottom w:val="single" w:sz="4" w:space="0" w:color="auto"/>
              <w:right w:val="single" w:sz="4" w:space="0" w:color="auto"/>
            </w:tcBorders>
            <w:shd w:val="clear" w:color="auto" w:fill="FF5050"/>
            <w:noWrap/>
            <w:hideMark/>
          </w:tcPr>
          <w:p w:rsidR="00B942F5" w:rsidRPr="00305E59" w:rsidRDefault="00B942F5" w:rsidP="0099399A">
            <w:pPr>
              <w:jc w:val="both"/>
              <w:rPr>
                <w:rFonts w:ascii="Calibri" w:hAnsi="Calibri"/>
                <w:b/>
                <w:i/>
                <w:color w:val="FFFFFF" w:themeColor="background1"/>
              </w:rPr>
            </w:pPr>
            <w:r w:rsidRPr="00305E59">
              <w:rPr>
                <w:rFonts w:ascii="Calibri" w:hAnsi="Calibri"/>
                <w:b/>
                <w:i/>
                <w:color w:val="FFFFFF" w:themeColor="background1"/>
              </w:rPr>
              <w:t>Number of Total Participant</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59.130</w:t>
            </w:r>
          </w:p>
        </w:tc>
      </w:tr>
      <w:tr w:rsidR="00B942F5" w:rsidRPr="00E019F3" w:rsidTr="00C14C79">
        <w:trPr>
          <w:trHeight w:val="125"/>
          <w:jc w:val="center"/>
        </w:trPr>
        <w:tc>
          <w:tcPr>
            <w:tcW w:w="5780" w:type="dxa"/>
            <w:tcBorders>
              <w:top w:val="single" w:sz="4" w:space="0" w:color="auto"/>
              <w:left w:val="single" w:sz="8" w:space="0" w:color="auto"/>
              <w:bottom w:val="single" w:sz="4" w:space="0" w:color="auto"/>
              <w:right w:val="single" w:sz="4" w:space="0" w:color="auto"/>
            </w:tcBorders>
            <w:shd w:val="clear" w:color="auto" w:fill="FF5050"/>
            <w:noWrap/>
            <w:hideMark/>
          </w:tcPr>
          <w:p w:rsidR="00B942F5" w:rsidRPr="00305E59" w:rsidRDefault="00B942F5" w:rsidP="0099399A">
            <w:pPr>
              <w:jc w:val="both"/>
              <w:rPr>
                <w:rFonts w:ascii="Calibri" w:hAnsi="Calibri"/>
                <w:color w:val="FFFFFF" w:themeColor="background1"/>
              </w:rPr>
            </w:pPr>
            <w:r w:rsidRPr="00305E59">
              <w:rPr>
                <w:rFonts w:ascii="Calibri" w:hAnsi="Calibri"/>
                <w:color w:val="FFFFFF" w:themeColor="background1"/>
              </w:rPr>
              <w:t>Line Lenght AG</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4.934</w:t>
            </w:r>
          </w:p>
        </w:tc>
      </w:tr>
      <w:tr w:rsidR="00B942F5" w:rsidRPr="00E019F3" w:rsidTr="00C14C79">
        <w:trPr>
          <w:trHeight w:val="86"/>
          <w:jc w:val="center"/>
        </w:trPr>
        <w:tc>
          <w:tcPr>
            <w:tcW w:w="5780" w:type="dxa"/>
            <w:tcBorders>
              <w:top w:val="nil"/>
              <w:left w:val="single" w:sz="8" w:space="0" w:color="auto"/>
              <w:bottom w:val="single" w:sz="4" w:space="0" w:color="auto"/>
              <w:right w:val="single" w:sz="4" w:space="0" w:color="auto"/>
            </w:tcBorders>
            <w:shd w:val="clear" w:color="auto" w:fill="FF5050"/>
            <w:noWrap/>
            <w:hideMark/>
          </w:tcPr>
          <w:p w:rsidR="00B942F5" w:rsidRPr="00305E59" w:rsidRDefault="00B942F5" w:rsidP="0099399A">
            <w:pPr>
              <w:jc w:val="both"/>
              <w:rPr>
                <w:rFonts w:ascii="Calibri" w:hAnsi="Calibri"/>
                <w:color w:val="FFFFFF" w:themeColor="background1"/>
              </w:rPr>
            </w:pPr>
            <w:r w:rsidRPr="00305E59">
              <w:rPr>
                <w:rFonts w:ascii="Calibri" w:hAnsi="Calibri"/>
                <w:color w:val="FFFFFF" w:themeColor="background1"/>
              </w:rPr>
              <w:t>Line Length OG</w:t>
            </w:r>
          </w:p>
        </w:tc>
        <w:tc>
          <w:tcPr>
            <w:tcW w:w="1440" w:type="dxa"/>
            <w:tcBorders>
              <w:top w:val="nil"/>
              <w:left w:val="nil"/>
              <w:bottom w:val="single" w:sz="4" w:space="0" w:color="auto"/>
              <w:right w:val="single" w:sz="8"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color w:val="000000"/>
                <w:sz w:val="24"/>
                <w:szCs w:val="24"/>
                <w:lang w:eastAsia="tr-TR" w:bidi="ar-SA"/>
              </w:rPr>
            </w:pPr>
            <w:r>
              <w:rPr>
                <w:rFonts w:asciiTheme="minorHAnsi" w:eastAsia="Times New Roman" w:hAnsiTheme="minorHAnsi" w:cstheme="minorHAnsi"/>
                <w:color w:val="000000"/>
                <w:sz w:val="24"/>
                <w:szCs w:val="24"/>
                <w:lang w:eastAsia="tr-TR" w:bidi="ar-SA"/>
              </w:rPr>
              <w:t>18.732</w:t>
            </w:r>
          </w:p>
        </w:tc>
      </w:tr>
      <w:tr w:rsidR="00B942F5" w:rsidRPr="00E019F3" w:rsidTr="00C14C79">
        <w:trPr>
          <w:trHeight w:val="492"/>
          <w:jc w:val="center"/>
        </w:trPr>
        <w:tc>
          <w:tcPr>
            <w:tcW w:w="5780" w:type="dxa"/>
            <w:tcBorders>
              <w:top w:val="nil"/>
              <w:left w:val="single" w:sz="8" w:space="0" w:color="auto"/>
              <w:bottom w:val="single" w:sz="8" w:space="0" w:color="auto"/>
              <w:right w:val="single" w:sz="4" w:space="0" w:color="auto"/>
            </w:tcBorders>
            <w:shd w:val="clear" w:color="auto" w:fill="FF5050"/>
            <w:noWrap/>
            <w:hideMark/>
          </w:tcPr>
          <w:p w:rsidR="00B942F5" w:rsidRPr="00305E59" w:rsidRDefault="00B942F5" w:rsidP="0099399A">
            <w:pPr>
              <w:jc w:val="both"/>
              <w:rPr>
                <w:rFonts w:ascii="Calibri" w:hAnsi="Calibri"/>
                <w:b/>
                <w:i/>
                <w:color w:val="FFFFFF" w:themeColor="background1"/>
              </w:rPr>
            </w:pPr>
            <w:r w:rsidRPr="00305E59">
              <w:rPr>
                <w:rFonts w:ascii="Calibri" w:hAnsi="Calibri"/>
                <w:b/>
                <w:i/>
                <w:color w:val="FFFFFF" w:themeColor="background1"/>
              </w:rPr>
              <w:t>Total Line Length</w:t>
            </w:r>
          </w:p>
        </w:tc>
        <w:tc>
          <w:tcPr>
            <w:tcW w:w="1440" w:type="dxa"/>
            <w:tcBorders>
              <w:top w:val="nil"/>
              <w:left w:val="nil"/>
              <w:bottom w:val="single" w:sz="8" w:space="0" w:color="auto"/>
              <w:right w:val="single" w:sz="8"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23.666</w:t>
            </w:r>
          </w:p>
        </w:tc>
      </w:tr>
      <w:tr w:rsidR="00B942F5" w:rsidRPr="00E019F3" w:rsidTr="00C14C79">
        <w:trPr>
          <w:trHeight w:val="403"/>
          <w:jc w:val="center"/>
        </w:trPr>
        <w:tc>
          <w:tcPr>
            <w:tcW w:w="5780" w:type="dxa"/>
            <w:tcBorders>
              <w:top w:val="nil"/>
              <w:left w:val="single" w:sz="8" w:space="0" w:color="auto"/>
              <w:bottom w:val="single" w:sz="4" w:space="0" w:color="auto"/>
              <w:right w:val="single" w:sz="4" w:space="0" w:color="auto"/>
            </w:tcBorders>
            <w:shd w:val="clear" w:color="auto" w:fill="FF5050"/>
            <w:noWrap/>
            <w:hideMark/>
          </w:tcPr>
          <w:p w:rsidR="00B942F5" w:rsidRPr="00305E59" w:rsidRDefault="00B942F5" w:rsidP="0099399A">
            <w:pPr>
              <w:jc w:val="both"/>
              <w:rPr>
                <w:rFonts w:ascii="Calibri" w:hAnsi="Calibri"/>
                <w:b/>
                <w:i/>
                <w:color w:val="FFFFFF" w:themeColor="background1"/>
              </w:rPr>
            </w:pPr>
            <w:r w:rsidRPr="00305E59">
              <w:rPr>
                <w:rFonts w:ascii="Calibri" w:hAnsi="Calibri"/>
                <w:b/>
                <w:i/>
                <w:color w:val="FFFFFF" w:themeColor="background1"/>
              </w:rPr>
              <w:t>Number of Employee</w:t>
            </w:r>
            <w:r>
              <w:rPr>
                <w:rFonts w:ascii="Calibri" w:hAnsi="Calibri"/>
                <w:b/>
                <w:i/>
                <w:color w:val="FFFFFF" w:themeColor="background1"/>
              </w:rPr>
              <w:t xml:space="preserve"> </w:t>
            </w:r>
            <w:r w:rsidRPr="00305E59">
              <w:rPr>
                <w:rFonts w:ascii="Calibri" w:hAnsi="Calibri"/>
                <w:b/>
                <w:i/>
                <w:color w:val="FFFFFF" w:themeColor="background1"/>
              </w:rPr>
              <w:t>(Electricity Transmission)</w:t>
            </w:r>
          </w:p>
        </w:tc>
        <w:tc>
          <w:tcPr>
            <w:tcW w:w="1440" w:type="dxa"/>
            <w:tcBorders>
              <w:top w:val="nil"/>
              <w:left w:val="nil"/>
              <w:bottom w:val="single" w:sz="4" w:space="0" w:color="auto"/>
              <w:right w:val="single" w:sz="8"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797</w:t>
            </w:r>
            <w:r w:rsidRPr="000647C0">
              <w:rPr>
                <w:rFonts w:asciiTheme="minorHAnsi" w:eastAsia="Times New Roman" w:hAnsiTheme="minorHAnsi" w:cstheme="minorHAnsi"/>
                <w:b/>
                <w:color w:val="000000"/>
                <w:sz w:val="24"/>
                <w:szCs w:val="24"/>
                <w:lang w:eastAsia="tr-TR" w:bidi="ar-SA"/>
              </w:rPr>
              <w:t xml:space="preserve"> </w:t>
            </w:r>
          </w:p>
        </w:tc>
      </w:tr>
      <w:tr w:rsidR="00B942F5" w:rsidRPr="00E019F3" w:rsidTr="00C14C79">
        <w:trPr>
          <w:trHeight w:val="390"/>
          <w:jc w:val="center"/>
        </w:trPr>
        <w:tc>
          <w:tcPr>
            <w:tcW w:w="5780" w:type="dxa"/>
            <w:tcBorders>
              <w:top w:val="nil"/>
              <w:left w:val="single" w:sz="8" w:space="0" w:color="auto"/>
              <w:bottom w:val="single" w:sz="4" w:space="0" w:color="auto"/>
              <w:right w:val="single" w:sz="4" w:space="0" w:color="auto"/>
            </w:tcBorders>
            <w:shd w:val="clear" w:color="auto" w:fill="FF5050"/>
            <w:noWrap/>
            <w:hideMark/>
          </w:tcPr>
          <w:p w:rsidR="00B942F5" w:rsidRPr="00305E59" w:rsidRDefault="00B942F5" w:rsidP="0099399A">
            <w:pPr>
              <w:jc w:val="both"/>
              <w:rPr>
                <w:rFonts w:ascii="Calibri" w:hAnsi="Calibri"/>
                <w:b/>
                <w:i/>
                <w:color w:val="FFFFFF" w:themeColor="background1"/>
              </w:rPr>
            </w:pPr>
            <w:r w:rsidRPr="00305E59">
              <w:rPr>
                <w:rFonts w:ascii="Calibri" w:hAnsi="Calibri"/>
                <w:b/>
                <w:i/>
                <w:color w:val="FFFFFF" w:themeColor="background1"/>
              </w:rPr>
              <w:t>Number of Transformer (number)</w:t>
            </w:r>
          </w:p>
        </w:tc>
        <w:tc>
          <w:tcPr>
            <w:tcW w:w="1440" w:type="dxa"/>
            <w:tcBorders>
              <w:top w:val="nil"/>
              <w:left w:val="nil"/>
              <w:bottom w:val="single" w:sz="4" w:space="0" w:color="auto"/>
              <w:right w:val="single" w:sz="8"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17.724</w:t>
            </w:r>
          </w:p>
        </w:tc>
      </w:tr>
      <w:tr w:rsidR="00B942F5" w:rsidRPr="00E019F3" w:rsidTr="00C14C79">
        <w:trPr>
          <w:trHeight w:val="424"/>
          <w:jc w:val="center"/>
        </w:trPr>
        <w:tc>
          <w:tcPr>
            <w:tcW w:w="5780" w:type="dxa"/>
            <w:tcBorders>
              <w:top w:val="nil"/>
              <w:left w:val="single" w:sz="8" w:space="0" w:color="auto"/>
              <w:bottom w:val="single" w:sz="4" w:space="0" w:color="auto"/>
              <w:right w:val="single" w:sz="4" w:space="0" w:color="auto"/>
            </w:tcBorders>
            <w:shd w:val="clear" w:color="auto" w:fill="FF5050"/>
            <w:noWrap/>
            <w:hideMark/>
          </w:tcPr>
          <w:p w:rsidR="00B942F5" w:rsidRPr="00305E59" w:rsidRDefault="00B942F5" w:rsidP="0099399A">
            <w:pPr>
              <w:jc w:val="both"/>
              <w:rPr>
                <w:rFonts w:ascii="Calibri" w:hAnsi="Calibri"/>
                <w:b/>
                <w:i/>
                <w:color w:val="FFFFFF" w:themeColor="background1"/>
              </w:rPr>
            </w:pPr>
            <w:r w:rsidRPr="00305E59">
              <w:rPr>
                <w:rFonts w:ascii="Calibri" w:hAnsi="Calibri"/>
                <w:b/>
                <w:i/>
                <w:color w:val="FFFFFF" w:themeColor="background1"/>
              </w:rPr>
              <w:t>Installed Capacity of Transformer</w:t>
            </w:r>
            <w:r>
              <w:rPr>
                <w:rFonts w:ascii="Calibri" w:hAnsi="Calibri"/>
                <w:b/>
                <w:i/>
                <w:color w:val="FFFFFF" w:themeColor="background1"/>
              </w:rPr>
              <w:t xml:space="preserve"> </w:t>
            </w:r>
            <w:r w:rsidRPr="00305E59">
              <w:rPr>
                <w:rFonts w:ascii="Calibri" w:hAnsi="Calibri"/>
                <w:b/>
                <w:i/>
                <w:color w:val="FFFFFF" w:themeColor="background1"/>
              </w:rPr>
              <w:t>(MVA)</w:t>
            </w:r>
          </w:p>
        </w:tc>
        <w:tc>
          <w:tcPr>
            <w:tcW w:w="1440" w:type="dxa"/>
            <w:tcBorders>
              <w:top w:val="nil"/>
              <w:left w:val="nil"/>
              <w:bottom w:val="single" w:sz="4" w:space="0" w:color="auto"/>
              <w:right w:val="single" w:sz="8"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18.606</w:t>
            </w:r>
          </w:p>
        </w:tc>
      </w:tr>
      <w:tr w:rsidR="00B942F5" w:rsidRPr="00E019F3" w:rsidTr="00C14C79">
        <w:trPr>
          <w:trHeight w:val="416"/>
          <w:jc w:val="center"/>
        </w:trPr>
        <w:tc>
          <w:tcPr>
            <w:tcW w:w="5780" w:type="dxa"/>
            <w:tcBorders>
              <w:top w:val="nil"/>
              <w:left w:val="single" w:sz="8" w:space="0" w:color="auto"/>
              <w:bottom w:val="single" w:sz="8" w:space="0" w:color="auto"/>
              <w:right w:val="single" w:sz="4" w:space="0" w:color="auto"/>
            </w:tcBorders>
            <w:shd w:val="clear" w:color="auto" w:fill="FF5050"/>
            <w:noWrap/>
            <w:hideMark/>
          </w:tcPr>
          <w:p w:rsidR="00B942F5" w:rsidRPr="00305E59" w:rsidRDefault="00B942F5" w:rsidP="0099399A">
            <w:pPr>
              <w:jc w:val="both"/>
              <w:rPr>
                <w:rFonts w:ascii="Calibri" w:hAnsi="Calibri"/>
                <w:b/>
                <w:i/>
                <w:color w:val="FFFFFF" w:themeColor="background1"/>
              </w:rPr>
            </w:pPr>
            <w:r w:rsidRPr="00305E59">
              <w:rPr>
                <w:rFonts w:ascii="Calibri" w:hAnsi="Calibri"/>
                <w:b/>
                <w:i/>
                <w:color w:val="FFFFFF" w:themeColor="background1"/>
              </w:rPr>
              <w:t>Annual puant value of previous year (MW)</w:t>
            </w:r>
          </w:p>
        </w:tc>
        <w:tc>
          <w:tcPr>
            <w:tcW w:w="1440" w:type="dxa"/>
            <w:tcBorders>
              <w:top w:val="nil"/>
              <w:left w:val="nil"/>
              <w:bottom w:val="single" w:sz="8" w:space="0" w:color="auto"/>
              <w:right w:val="single" w:sz="8" w:space="0" w:color="auto"/>
            </w:tcBorders>
            <w:shd w:val="clear" w:color="auto" w:fill="auto"/>
            <w:noWrap/>
            <w:vAlign w:val="bottom"/>
            <w:hideMark/>
          </w:tcPr>
          <w:p w:rsidR="00B942F5" w:rsidRPr="000647C0" w:rsidRDefault="00B942F5" w:rsidP="0099399A">
            <w:pPr>
              <w:spacing w:after="0" w:line="240" w:lineRule="auto"/>
              <w:jc w:val="both"/>
              <w:rPr>
                <w:rFonts w:asciiTheme="minorHAnsi" w:eastAsia="Times New Roman" w:hAnsiTheme="minorHAnsi" w:cstheme="minorHAnsi"/>
                <w:b/>
                <w:color w:val="000000"/>
                <w:sz w:val="24"/>
                <w:szCs w:val="24"/>
                <w:lang w:eastAsia="tr-TR" w:bidi="ar-SA"/>
              </w:rPr>
            </w:pPr>
            <w:r>
              <w:rPr>
                <w:rFonts w:asciiTheme="minorHAnsi" w:eastAsia="Times New Roman" w:hAnsiTheme="minorHAnsi" w:cstheme="minorHAnsi"/>
                <w:b/>
                <w:color w:val="000000"/>
                <w:sz w:val="24"/>
                <w:szCs w:val="24"/>
                <w:lang w:eastAsia="tr-TR" w:bidi="ar-SA"/>
              </w:rPr>
              <w:t>6.441</w:t>
            </w:r>
          </w:p>
        </w:tc>
      </w:tr>
    </w:tbl>
    <w:p w:rsidR="00B37ACD" w:rsidRPr="002152E5" w:rsidRDefault="00B37ACD" w:rsidP="0099399A">
      <w:pPr>
        <w:jc w:val="both"/>
        <w:rPr>
          <w:rFonts w:ascii="Times New Roman" w:hAnsi="Times New Roman" w:cs="Times New Roman"/>
        </w:rPr>
      </w:pPr>
    </w:p>
    <w:p w:rsidR="00B942F5" w:rsidRPr="002152E5" w:rsidRDefault="00B942F5" w:rsidP="0099399A">
      <w:pPr>
        <w:spacing w:line="360" w:lineRule="auto"/>
        <w:jc w:val="both"/>
        <w:rPr>
          <w:rFonts w:ascii="Times New Roman" w:hAnsi="Times New Roman" w:cs="Times New Roman"/>
          <w:noProof/>
          <w:sz w:val="24"/>
          <w:szCs w:val="24"/>
          <w:lang w:eastAsia="tr-TR" w:bidi="ar-SA"/>
        </w:rPr>
      </w:pPr>
      <w:r w:rsidRPr="002152E5">
        <w:rPr>
          <w:rFonts w:ascii="Times New Roman" w:hAnsi="Times New Roman" w:cs="Times New Roman"/>
          <w:noProof/>
          <w:sz w:val="24"/>
          <w:szCs w:val="24"/>
          <w:lang w:eastAsia="tr-TR" w:bidi="ar-SA"/>
        </w:rPr>
        <w:t>As of the end of 2018, the total number of participants in Organized Industrial Zones was 46.000 in low voltage,and 13.130 in medium voltage. 797 personnel was employed in electricity distribution in OIZ distribution regions.</w:t>
      </w:r>
    </w:p>
    <w:p w:rsidR="002152E5" w:rsidRPr="00A64337" w:rsidRDefault="00B942F5" w:rsidP="0099399A">
      <w:pPr>
        <w:spacing w:line="360" w:lineRule="auto"/>
        <w:jc w:val="both"/>
        <w:rPr>
          <w:rFonts w:cstheme="minorHAnsi"/>
          <w:sz w:val="24"/>
          <w:szCs w:val="24"/>
        </w:rPr>
      </w:pPr>
      <w:r w:rsidRPr="002152E5">
        <w:rPr>
          <w:rFonts w:ascii="Times New Roman" w:hAnsi="Times New Roman" w:cs="Times New Roman"/>
          <w:noProof/>
          <w:sz w:val="24"/>
          <w:szCs w:val="24"/>
          <w:lang w:eastAsia="tr-TR" w:bidi="ar-SA"/>
        </w:rPr>
        <w:t xml:space="preserve">Total OIZ line length was </w:t>
      </w:r>
      <w:r w:rsidR="002152E5" w:rsidRPr="002152E5">
        <w:rPr>
          <w:rFonts w:ascii="Times New Roman" w:hAnsi="Times New Roman" w:cs="Times New Roman"/>
          <w:noProof/>
          <w:sz w:val="24"/>
          <w:szCs w:val="24"/>
          <w:lang w:eastAsia="tr-TR" w:bidi="ar-SA"/>
        </w:rPr>
        <w:t>23.666</w:t>
      </w:r>
      <w:r w:rsidRPr="002152E5">
        <w:rPr>
          <w:rFonts w:ascii="Times New Roman" w:hAnsi="Times New Roman" w:cs="Times New Roman"/>
          <w:noProof/>
          <w:sz w:val="24"/>
          <w:szCs w:val="24"/>
          <w:lang w:eastAsia="tr-TR" w:bidi="ar-SA"/>
        </w:rPr>
        <w:t xml:space="preserve"> km. Total OIZ Transformer Capacity reached to </w:t>
      </w:r>
      <w:r w:rsidR="002152E5" w:rsidRPr="002152E5">
        <w:rPr>
          <w:rFonts w:ascii="Times New Roman" w:hAnsi="Times New Roman" w:cs="Times New Roman"/>
          <w:noProof/>
          <w:sz w:val="24"/>
          <w:szCs w:val="24"/>
          <w:lang w:eastAsia="tr-TR" w:bidi="ar-SA"/>
        </w:rPr>
        <w:t>18.606</w:t>
      </w:r>
      <w:r w:rsidRPr="002152E5">
        <w:rPr>
          <w:rFonts w:ascii="Times New Roman" w:hAnsi="Times New Roman" w:cs="Times New Roman"/>
          <w:noProof/>
          <w:sz w:val="24"/>
          <w:szCs w:val="24"/>
          <w:lang w:eastAsia="tr-TR" w:bidi="ar-SA"/>
        </w:rPr>
        <w:t xml:space="preserve"> MVA level. The sum of the peak values for the previous year in the OIZ regions was 6.</w:t>
      </w:r>
      <w:r w:rsidR="002152E5" w:rsidRPr="002152E5">
        <w:rPr>
          <w:rFonts w:ascii="Times New Roman" w:hAnsi="Times New Roman" w:cs="Times New Roman"/>
          <w:noProof/>
          <w:sz w:val="24"/>
          <w:szCs w:val="24"/>
          <w:lang w:eastAsia="tr-TR" w:bidi="ar-SA"/>
        </w:rPr>
        <w:t>441</w:t>
      </w:r>
      <w:r w:rsidRPr="00A5155D">
        <w:rPr>
          <w:rFonts w:asciiTheme="minorHAnsi" w:hAnsiTheme="minorHAnsi" w:cstheme="minorHAnsi"/>
          <w:noProof/>
          <w:sz w:val="24"/>
          <w:szCs w:val="24"/>
          <w:lang w:eastAsia="tr-TR" w:bidi="ar-SA"/>
        </w:rPr>
        <w:t xml:space="preserve"> MW.</w:t>
      </w:r>
    </w:p>
    <w:p w:rsidR="004C7560" w:rsidRDefault="004C7560" w:rsidP="0099399A">
      <w:pPr>
        <w:pStyle w:val="BALIKLAR"/>
        <w:spacing w:line="360" w:lineRule="auto"/>
        <w:jc w:val="both"/>
        <w:rPr>
          <w:rFonts w:cs="Times New Roman"/>
        </w:rPr>
      </w:pPr>
    </w:p>
    <w:p w:rsidR="002152E5" w:rsidRPr="002152E5" w:rsidRDefault="002152E5" w:rsidP="0099399A">
      <w:pPr>
        <w:pStyle w:val="BALIKLAR"/>
        <w:spacing w:line="360" w:lineRule="auto"/>
        <w:jc w:val="both"/>
        <w:rPr>
          <w:rFonts w:cs="Times New Roman"/>
          <w:caps/>
        </w:rPr>
      </w:pPr>
      <w:bookmarkStart w:id="891" w:name="_Toc12528965"/>
      <w:r w:rsidRPr="002152E5">
        <w:rPr>
          <w:rFonts w:cs="Times New Roman"/>
        </w:rPr>
        <w:t>6. PRICING</w:t>
      </w:r>
      <w:bookmarkEnd w:id="891"/>
    </w:p>
    <w:p w:rsidR="004C7560" w:rsidRDefault="004C7560" w:rsidP="0099399A">
      <w:pPr>
        <w:spacing w:line="360" w:lineRule="auto"/>
        <w:jc w:val="both"/>
        <w:rPr>
          <w:rFonts w:ascii="Times New Roman" w:hAnsi="Times New Roman" w:cs="Times New Roman"/>
          <w:noProof/>
          <w:sz w:val="24"/>
          <w:szCs w:val="24"/>
          <w:lang w:eastAsia="tr-TR" w:bidi="ar-SA"/>
        </w:rPr>
      </w:pPr>
    </w:p>
    <w:p w:rsidR="002152E5" w:rsidRPr="002152E5" w:rsidRDefault="002152E5" w:rsidP="0099399A">
      <w:pPr>
        <w:spacing w:line="360" w:lineRule="auto"/>
        <w:jc w:val="both"/>
        <w:rPr>
          <w:rFonts w:ascii="Times New Roman" w:hAnsi="Times New Roman" w:cs="Times New Roman"/>
          <w:noProof/>
          <w:sz w:val="24"/>
          <w:szCs w:val="24"/>
          <w:lang w:eastAsia="tr-TR" w:bidi="ar-SA"/>
        </w:rPr>
      </w:pPr>
      <w:r w:rsidRPr="002152E5">
        <w:rPr>
          <w:rFonts w:ascii="Times New Roman" w:hAnsi="Times New Roman" w:cs="Times New Roman"/>
          <w:noProof/>
          <w:sz w:val="24"/>
          <w:szCs w:val="24"/>
          <w:lang w:eastAsia="tr-TR" w:bidi="ar-SA"/>
        </w:rPr>
        <w:t>The Electricity Market Law predicts a market structure based on bilateral agreements. The price of electric energy in the market is determined by mutual agreement of buyer and seller. Therefore, the prices determined by bilateral agreements are within the knowledge of related parties and are not shared with public. On the other hand, a significant portion of consumers supply electricity from the regulated prices. For this reason, the change in prices and price components over the years is important. There is data about the changes in the prices and components that constitute the price within the years.</w:t>
      </w:r>
    </w:p>
    <w:p w:rsidR="002152E5" w:rsidRPr="002152E5" w:rsidRDefault="002152E5" w:rsidP="0099399A">
      <w:pPr>
        <w:spacing w:line="360" w:lineRule="auto"/>
        <w:jc w:val="both"/>
        <w:rPr>
          <w:rFonts w:ascii="Times New Roman" w:hAnsi="Times New Roman" w:cs="Times New Roman"/>
          <w:noProof/>
          <w:sz w:val="24"/>
          <w:szCs w:val="24"/>
          <w:lang w:eastAsia="tr-TR" w:bidi="ar-SA"/>
        </w:rPr>
      </w:pPr>
      <w:r w:rsidRPr="002152E5">
        <w:rPr>
          <w:rFonts w:ascii="Times New Roman" w:hAnsi="Times New Roman" w:cs="Times New Roman"/>
          <w:noProof/>
          <w:sz w:val="24"/>
          <w:szCs w:val="24"/>
          <w:lang w:eastAsia="tr-TR" w:bidi="ar-SA"/>
        </w:rPr>
        <w:lastRenderedPageBreak/>
        <w:t>The following table shows the annual change in retail energy tariffs (system fees, excluding tax and funding, retail sale services) by tariff groups.</w:t>
      </w:r>
    </w:p>
    <w:p w:rsidR="002152E5" w:rsidRPr="00BD75F1" w:rsidRDefault="002152E5" w:rsidP="0099399A">
      <w:pPr>
        <w:pStyle w:val="Balk2"/>
        <w:jc w:val="both"/>
        <w:rPr>
          <w:rFonts w:cs="Times New Roman"/>
        </w:rPr>
      </w:pPr>
      <w:bookmarkStart w:id="892" w:name="_Toc494988680"/>
      <w:bookmarkStart w:id="893" w:name="_Toc520822148"/>
      <w:bookmarkStart w:id="894" w:name="_Toc10123960"/>
      <w:bookmarkStart w:id="895" w:name="_Toc12526333"/>
      <w:bookmarkStart w:id="896" w:name="_Toc12535915"/>
      <w:r w:rsidRPr="00BD75F1">
        <w:rPr>
          <w:rFonts w:cs="Times New Roman"/>
          <w:szCs w:val="24"/>
        </w:rPr>
        <w:t>Figure 6.1</w:t>
      </w:r>
      <w:r w:rsidRPr="00BD75F1">
        <w:rPr>
          <w:rFonts w:cs="Times New Roman"/>
        </w:rPr>
        <w:t>: Change in Retail Electric Energy Prices in the Last Five Years (Kr/kWh)</w:t>
      </w:r>
      <w:bookmarkEnd w:id="892"/>
      <w:bookmarkEnd w:id="893"/>
      <w:bookmarkEnd w:id="894"/>
      <w:bookmarkEnd w:id="895"/>
      <w:bookmarkEnd w:id="896"/>
    </w:p>
    <w:p w:rsidR="00B37ACD" w:rsidRPr="00BD75F1" w:rsidRDefault="003156E5" w:rsidP="00A64337">
      <w:pPr>
        <w:ind w:left="-284" w:right="-142"/>
        <w:jc w:val="center"/>
        <w:rPr>
          <w:rFonts w:ascii="Times New Roman" w:hAnsi="Times New Roman" w:cs="Times New Roman"/>
        </w:rPr>
      </w:pPr>
      <w:r>
        <w:rPr>
          <w:rFonts w:ascii="Times New Roman" w:hAnsi="Times New Roman" w:cs="Times New Roman"/>
          <w:noProof/>
          <w:lang w:bidi="ar-SA"/>
        </w:rPr>
        <w:drawing>
          <wp:inline distT="0" distB="0" distL="0" distR="0" wp14:anchorId="2F56C2A8">
            <wp:extent cx="6157595" cy="2670175"/>
            <wp:effectExtent l="0" t="0" r="0" b="0"/>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157595" cy="2670175"/>
                    </a:xfrm>
                    <a:prstGeom prst="rect">
                      <a:avLst/>
                    </a:prstGeom>
                    <a:noFill/>
                  </pic:spPr>
                </pic:pic>
              </a:graphicData>
            </a:graphic>
          </wp:inline>
        </w:drawing>
      </w:r>
    </w:p>
    <w:p w:rsidR="006F4EAB" w:rsidRPr="00BD75F1" w:rsidRDefault="006F4EAB" w:rsidP="0099399A">
      <w:pPr>
        <w:spacing w:line="360" w:lineRule="auto"/>
        <w:jc w:val="both"/>
        <w:rPr>
          <w:rFonts w:ascii="Times New Roman" w:hAnsi="Times New Roman" w:cs="Times New Roman"/>
          <w:noProof/>
          <w:sz w:val="24"/>
          <w:szCs w:val="24"/>
          <w:lang w:eastAsia="tr-TR" w:bidi="ar-SA"/>
        </w:rPr>
      </w:pPr>
      <w:bookmarkStart w:id="897" w:name="_Toc450307020"/>
      <w:bookmarkStart w:id="898" w:name="_Toc450307131"/>
      <w:bookmarkStart w:id="899" w:name="_Toc450307955"/>
      <w:bookmarkStart w:id="900" w:name="_Toc487101681"/>
      <w:r w:rsidRPr="00BD75F1">
        <w:rPr>
          <w:rFonts w:ascii="Times New Roman" w:hAnsi="Times New Roman" w:cs="Times New Roman"/>
          <w:noProof/>
          <w:sz w:val="24"/>
          <w:szCs w:val="24"/>
          <w:lang w:eastAsia="tr-TR" w:bidi="ar-SA"/>
        </w:rPr>
        <w:t>As it is known, it is necessary to use transmission and distribution lines to deliver energy</w:t>
      </w:r>
      <w:r w:rsidRPr="00AD3DE4">
        <w:rPr>
          <w:rFonts w:asciiTheme="minorHAnsi" w:hAnsiTheme="minorHAnsi" w:cstheme="minorHAnsi"/>
          <w:noProof/>
          <w:sz w:val="24"/>
          <w:szCs w:val="24"/>
          <w:lang w:eastAsia="tr-TR" w:bidi="ar-SA"/>
        </w:rPr>
        <w:t xml:space="preserve"> </w:t>
      </w:r>
      <w:r w:rsidRPr="00BD75F1">
        <w:rPr>
          <w:rFonts w:ascii="Times New Roman" w:hAnsi="Times New Roman" w:cs="Times New Roman"/>
          <w:noProof/>
          <w:sz w:val="24"/>
          <w:szCs w:val="24"/>
          <w:lang w:eastAsia="tr-TR" w:bidi="ar-SA"/>
        </w:rPr>
        <w:t>from producer to the consumer. The figure below shows the change in distribution costs by years. Those include distribution, transmission costs and technical and non-technical losses.</w:t>
      </w:r>
    </w:p>
    <w:p w:rsidR="006F4EAB" w:rsidRPr="00BD75F1" w:rsidRDefault="006F4EAB" w:rsidP="00A64337">
      <w:pPr>
        <w:pStyle w:val="Balk2"/>
        <w:rPr>
          <w:rFonts w:cs="Times New Roman"/>
        </w:rPr>
      </w:pPr>
      <w:bookmarkStart w:id="901" w:name="_Toc494988681"/>
      <w:bookmarkStart w:id="902" w:name="_Toc520822149"/>
      <w:bookmarkStart w:id="903" w:name="_Toc10123961"/>
      <w:bookmarkStart w:id="904" w:name="_Toc12526334"/>
      <w:bookmarkStart w:id="905" w:name="_Toc12535916"/>
      <w:bookmarkEnd w:id="897"/>
      <w:bookmarkEnd w:id="898"/>
      <w:bookmarkEnd w:id="899"/>
      <w:bookmarkEnd w:id="900"/>
      <w:r w:rsidRPr="00BD75F1">
        <w:rPr>
          <w:rFonts w:cs="Times New Roman"/>
        </w:rPr>
        <w:t>Figure 6.2: Change in Network Costs (Distribution, Transmission and Loss) by Years (Kr / kWh)</w:t>
      </w:r>
      <w:bookmarkEnd w:id="901"/>
      <w:bookmarkEnd w:id="902"/>
      <w:bookmarkEnd w:id="903"/>
      <w:bookmarkEnd w:id="904"/>
      <w:bookmarkEnd w:id="905"/>
    </w:p>
    <w:p w:rsidR="006F4EAB" w:rsidRPr="00BD75F1" w:rsidRDefault="003156E5" w:rsidP="0099399A">
      <w:pPr>
        <w:ind w:left="-142"/>
        <w:jc w:val="both"/>
        <w:rPr>
          <w:rFonts w:ascii="Times New Roman" w:hAnsi="Times New Roman" w:cs="Times New Roman"/>
        </w:rPr>
      </w:pPr>
      <w:r>
        <w:rPr>
          <w:rFonts w:ascii="Times New Roman" w:hAnsi="Times New Roman" w:cs="Times New Roman"/>
          <w:noProof/>
          <w:lang w:bidi="ar-SA"/>
        </w:rPr>
        <w:drawing>
          <wp:inline distT="0" distB="0" distL="0" distR="0" wp14:anchorId="7A245143">
            <wp:extent cx="6224270" cy="2700655"/>
            <wp:effectExtent l="0" t="0" r="5080" b="4445"/>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224270" cy="2700655"/>
                    </a:xfrm>
                    <a:prstGeom prst="rect">
                      <a:avLst/>
                    </a:prstGeom>
                    <a:noFill/>
                  </pic:spPr>
                </pic:pic>
              </a:graphicData>
            </a:graphic>
          </wp:inline>
        </w:drawing>
      </w:r>
    </w:p>
    <w:p w:rsidR="006F4EAB" w:rsidRPr="00BD75F1" w:rsidRDefault="006F4EAB" w:rsidP="0099399A">
      <w:pPr>
        <w:spacing w:line="360" w:lineRule="auto"/>
        <w:jc w:val="both"/>
        <w:rPr>
          <w:rFonts w:ascii="Times New Roman" w:hAnsi="Times New Roman" w:cs="Times New Roman"/>
          <w:noProof/>
          <w:sz w:val="24"/>
          <w:szCs w:val="24"/>
          <w:lang w:eastAsia="tr-TR" w:bidi="ar-SA"/>
        </w:rPr>
      </w:pPr>
      <w:r w:rsidRPr="00BD75F1">
        <w:rPr>
          <w:rFonts w:ascii="Times New Roman" w:hAnsi="Times New Roman" w:cs="Times New Roman"/>
          <w:noProof/>
          <w:sz w:val="24"/>
          <w:szCs w:val="24"/>
          <w:lang w:eastAsia="tr-TR" w:bidi="ar-SA"/>
        </w:rPr>
        <w:t>As a result of the addition of the distribution cost to energy cost, the pre-tax unit energy cost is calculated. The figure below shows the change in unit energy cost by years except for taxes and funds (energy fund, TRT share, electricity and gas consumption tax and VAT).</w:t>
      </w:r>
    </w:p>
    <w:p w:rsidR="002A5C07" w:rsidRPr="002A5C07" w:rsidRDefault="002A5C07" w:rsidP="00A64337">
      <w:pPr>
        <w:pStyle w:val="Balk2"/>
      </w:pPr>
      <w:bookmarkStart w:id="906" w:name="_Toc10123962"/>
      <w:bookmarkStart w:id="907" w:name="_Toc450307022"/>
      <w:bookmarkStart w:id="908" w:name="_Toc450307133"/>
      <w:bookmarkStart w:id="909" w:name="_Toc450307957"/>
      <w:bookmarkStart w:id="910" w:name="_Toc487101683"/>
      <w:bookmarkStart w:id="911" w:name="_Toc12526335"/>
      <w:bookmarkStart w:id="912" w:name="_Toc12535917"/>
      <w:r>
        <w:lastRenderedPageBreak/>
        <w:t>Figure</w:t>
      </w:r>
      <w:r w:rsidRPr="00FD3ADC">
        <w:t xml:space="preserve"> </w:t>
      </w:r>
      <w:r>
        <w:fldChar w:fldCharType="begin"/>
      </w:r>
      <w:r>
        <w:instrText xml:space="preserve"> STYLEREF 1 \s </w:instrText>
      </w:r>
      <w:r>
        <w:fldChar w:fldCharType="separate"/>
      </w:r>
      <w:r w:rsidRPr="00FD3ADC">
        <w:t>6</w:t>
      </w:r>
      <w:r>
        <w:fldChar w:fldCharType="end"/>
      </w:r>
      <w:r w:rsidRPr="00FD3ADC">
        <w:t>.3:</w:t>
      </w:r>
      <w:r w:rsidRPr="00463FDC">
        <w:rPr>
          <w:rStyle w:val="Balk6Char"/>
          <w:b w:val="0"/>
        </w:rPr>
        <w:t xml:space="preserve"> </w:t>
      </w:r>
      <w:r w:rsidRPr="002A5C07">
        <w:t>Change in Electricity Tariffs before Taxes and Funds by Years (kr / kWh)</w:t>
      </w:r>
      <w:bookmarkEnd w:id="906"/>
      <w:bookmarkEnd w:id="911"/>
      <w:bookmarkEnd w:id="912"/>
    </w:p>
    <w:p w:rsidR="00BD75F1" w:rsidRDefault="003156E5" w:rsidP="0099399A">
      <w:pPr>
        <w:spacing w:line="360" w:lineRule="auto"/>
        <w:ind w:left="-284" w:firstLine="284"/>
        <w:jc w:val="both"/>
        <w:rPr>
          <w:rFonts w:ascii="Times New Roman" w:hAnsi="Times New Roman" w:cs="Times New Roman"/>
          <w:noProof/>
          <w:sz w:val="24"/>
          <w:szCs w:val="24"/>
          <w:lang w:eastAsia="tr-TR" w:bidi="ar-SA"/>
        </w:rPr>
      </w:pPr>
      <w:r>
        <w:rPr>
          <w:rFonts w:ascii="Times New Roman" w:hAnsi="Times New Roman" w:cs="Times New Roman"/>
          <w:noProof/>
          <w:sz w:val="24"/>
          <w:szCs w:val="24"/>
          <w:lang w:bidi="ar-SA"/>
        </w:rPr>
        <w:drawing>
          <wp:inline distT="0" distB="0" distL="0" distR="0" wp14:anchorId="6BD250D2">
            <wp:extent cx="6029325" cy="3060700"/>
            <wp:effectExtent l="0" t="0" r="9525" b="635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029325" cy="3060700"/>
                    </a:xfrm>
                    <a:prstGeom prst="rect">
                      <a:avLst/>
                    </a:prstGeom>
                    <a:noFill/>
                  </pic:spPr>
                </pic:pic>
              </a:graphicData>
            </a:graphic>
          </wp:inline>
        </w:drawing>
      </w:r>
    </w:p>
    <w:p w:rsidR="00BD75F1" w:rsidRDefault="00BD75F1" w:rsidP="0099399A">
      <w:pPr>
        <w:spacing w:line="360" w:lineRule="auto"/>
        <w:jc w:val="both"/>
        <w:rPr>
          <w:rFonts w:ascii="Times New Roman" w:hAnsi="Times New Roman" w:cs="Times New Roman"/>
          <w:noProof/>
          <w:sz w:val="24"/>
          <w:szCs w:val="24"/>
          <w:lang w:eastAsia="tr-TR" w:bidi="ar-SA"/>
        </w:rPr>
      </w:pPr>
    </w:p>
    <w:p w:rsidR="00BD75F1" w:rsidRPr="00BD75F1" w:rsidRDefault="00BD75F1" w:rsidP="0099399A">
      <w:pPr>
        <w:spacing w:line="360" w:lineRule="auto"/>
        <w:jc w:val="both"/>
        <w:rPr>
          <w:rFonts w:ascii="Times New Roman" w:hAnsi="Times New Roman" w:cs="Times New Roman"/>
          <w:noProof/>
          <w:sz w:val="24"/>
          <w:szCs w:val="24"/>
          <w:lang w:eastAsia="tr-TR" w:bidi="ar-SA"/>
        </w:rPr>
      </w:pPr>
      <w:r w:rsidRPr="00BD75F1">
        <w:rPr>
          <w:rFonts w:ascii="Times New Roman" w:hAnsi="Times New Roman" w:cs="Times New Roman"/>
          <w:noProof/>
          <w:sz w:val="24"/>
          <w:szCs w:val="24"/>
          <w:lang w:eastAsia="tr-TR" w:bidi="ar-SA"/>
        </w:rPr>
        <w:t>As seen in the figure above, the consumer groups with the highest unit energy costs before taxes and funds were of households and commercials. The lowest unit energy cost before taxes and funds were of the consumers who are connected through the transmission system.</w:t>
      </w:r>
      <w:bookmarkEnd w:id="907"/>
      <w:bookmarkEnd w:id="908"/>
      <w:bookmarkEnd w:id="909"/>
      <w:bookmarkEnd w:id="910"/>
    </w:p>
    <w:p w:rsidR="006078D4" w:rsidRDefault="006078D4" w:rsidP="0099399A">
      <w:pPr>
        <w:pStyle w:val="Balk2"/>
        <w:jc w:val="both"/>
        <w:rPr>
          <w:rFonts w:asciiTheme="minorHAnsi" w:hAnsiTheme="minorHAnsi"/>
          <w:szCs w:val="24"/>
        </w:rPr>
      </w:pPr>
      <w:bookmarkStart w:id="913" w:name="_Toc494988683"/>
      <w:bookmarkStart w:id="914" w:name="_Toc520822151"/>
      <w:bookmarkStart w:id="915" w:name="_Toc10123963"/>
    </w:p>
    <w:p w:rsidR="00BD75F1" w:rsidRPr="00BD75F1" w:rsidRDefault="00BD75F1" w:rsidP="006078D4">
      <w:pPr>
        <w:pStyle w:val="Balk2"/>
      </w:pPr>
      <w:bookmarkStart w:id="916" w:name="_Toc12526336"/>
      <w:bookmarkStart w:id="917" w:name="_Toc12535918"/>
      <w:r w:rsidRPr="006078D4">
        <w:t>Figure 6.4</w:t>
      </w:r>
      <w:r w:rsidRPr="00BD75F1">
        <w:t>: Share of Items on Residence Electricity Invoice in 2018 (%)</w:t>
      </w:r>
      <w:bookmarkEnd w:id="913"/>
      <w:bookmarkEnd w:id="914"/>
      <w:bookmarkEnd w:id="915"/>
      <w:bookmarkEnd w:id="916"/>
      <w:bookmarkEnd w:id="917"/>
    </w:p>
    <w:p w:rsidR="00B37ACD" w:rsidRDefault="00BD75F1" w:rsidP="00A64337">
      <w:pPr>
        <w:jc w:val="center"/>
      </w:pPr>
      <w:r>
        <w:rPr>
          <w:noProof/>
          <w:lang w:bidi="ar-SA"/>
        </w:rPr>
        <w:drawing>
          <wp:inline distT="0" distB="0" distL="0" distR="0" wp14:anchorId="6559F6F0" wp14:editId="4763486D">
            <wp:extent cx="5753100" cy="2524125"/>
            <wp:effectExtent l="0" t="0" r="0"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53100" cy="2524125"/>
                    </a:xfrm>
                    <a:prstGeom prst="rect">
                      <a:avLst/>
                    </a:prstGeom>
                    <a:noFill/>
                    <a:ln>
                      <a:noFill/>
                    </a:ln>
                  </pic:spPr>
                </pic:pic>
              </a:graphicData>
            </a:graphic>
          </wp:inline>
        </w:drawing>
      </w:r>
    </w:p>
    <w:p w:rsidR="00BD75F1" w:rsidRPr="00E8296A" w:rsidRDefault="00BD75F1" w:rsidP="0099399A">
      <w:pPr>
        <w:spacing w:line="360" w:lineRule="auto"/>
        <w:jc w:val="both"/>
        <w:rPr>
          <w:rFonts w:ascii="Times New Roman" w:hAnsi="Times New Roman" w:cs="Times New Roman"/>
          <w:noProof/>
          <w:sz w:val="24"/>
          <w:szCs w:val="24"/>
          <w:lang w:eastAsia="tr-TR" w:bidi="ar-SA"/>
        </w:rPr>
      </w:pPr>
      <w:r w:rsidRPr="00E8296A">
        <w:rPr>
          <w:rFonts w:ascii="Times New Roman" w:hAnsi="Times New Roman" w:cs="Times New Roman"/>
          <w:noProof/>
          <w:sz w:val="24"/>
          <w:szCs w:val="24"/>
          <w:lang w:eastAsia="tr-TR" w:bidi="ar-SA"/>
        </w:rPr>
        <w:t>As it can be seen from Figure 6.4, the most important item in the invoices of consumers in the household, excluding the retail energy cost, was the network cost with 26% share.</w:t>
      </w:r>
    </w:p>
    <w:p w:rsidR="00BD75F1" w:rsidRPr="00BD75F1" w:rsidRDefault="00BD75F1" w:rsidP="00A64337">
      <w:pPr>
        <w:pStyle w:val="Balk2"/>
      </w:pPr>
      <w:bookmarkStart w:id="918" w:name="_Toc494988684"/>
      <w:bookmarkStart w:id="919" w:name="_Toc520822152"/>
      <w:bookmarkStart w:id="920" w:name="_Toc10123964"/>
      <w:bookmarkStart w:id="921" w:name="_Toc12526337"/>
      <w:bookmarkStart w:id="922" w:name="_Toc12535919"/>
      <w:r w:rsidRPr="006078D4">
        <w:lastRenderedPageBreak/>
        <w:t>Figure 6.5</w:t>
      </w:r>
      <w:r w:rsidRPr="00BD75F1">
        <w:t>: Share of Items on Industry Electricity Invoice in 2018 (%)</w:t>
      </w:r>
      <w:bookmarkEnd w:id="918"/>
      <w:bookmarkEnd w:id="919"/>
      <w:bookmarkEnd w:id="920"/>
      <w:bookmarkEnd w:id="921"/>
      <w:bookmarkEnd w:id="922"/>
    </w:p>
    <w:p w:rsidR="00BD75F1" w:rsidRDefault="00E8296A" w:rsidP="00A64337">
      <w:pPr>
        <w:jc w:val="center"/>
      </w:pPr>
      <w:r>
        <w:rPr>
          <w:noProof/>
          <w:lang w:bidi="ar-SA"/>
        </w:rPr>
        <w:drawing>
          <wp:inline distT="0" distB="0" distL="0" distR="0" wp14:anchorId="46DE6560" wp14:editId="5CE3DD4E">
            <wp:extent cx="5505450" cy="3800475"/>
            <wp:effectExtent l="0" t="0" r="0" b="952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505450" cy="3800475"/>
                    </a:xfrm>
                    <a:prstGeom prst="rect">
                      <a:avLst/>
                    </a:prstGeom>
                    <a:noFill/>
                    <a:ln>
                      <a:noFill/>
                    </a:ln>
                  </pic:spPr>
                </pic:pic>
              </a:graphicData>
            </a:graphic>
          </wp:inline>
        </w:drawing>
      </w:r>
    </w:p>
    <w:p w:rsidR="006078D4" w:rsidRDefault="006078D4" w:rsidP="0099399A">
      <w:pPr>
        <w:spacing w:line="360" w:lineRule="auto"/>
        <w:jc w:val="both"/>
        <w:rPr>
          <w:rFonts w:ascii="Times New Roman" w:hAnsi="Times New Roman" w:cs="Times New Roman"/>
          <w:noProof/>
          <w:sz w:val="24"/>
          <w:szCs w:val="24"/>
          <w:lang w:eastAsia="tr-TR" w:bidi="ar-SA"/>
        </w:rPr>
      </w:pPr>
    </w:p>
    <w:p w:rsidR="00E8296A" w:rsidRPr="00E8296A" w:rsidRDefault="00E8296A" w:rsidP="0099399A">
      <w:pPr>
        <w:spacing w:line="360" w:lineRule="auto"/>
        <w:jc w:val="both"/>
        <w:rPr>
          <w:rFonts w:ascii="Times New Roman" w:hAnsi="Times New Roman" w:cs="Times New Roman"/>
          <w:sz w:val="24"/>
          <w:szCs w:val="24"/>
          <w:shd w:val="clear" w:color="auto" w:fill="FFFFFF"/>
        </w:rPr>
      </w:pPr>
      <w:r w:rsidRPr="00E8296A">
        <w:rPr>
          <w:rFonts w:ascii="Times New Roman" w:hAnsi="Times New Roman" w:cs="Times New Roman"/>
          <w:noProof/>
          <w:sz w:val="24"/>
          <w:szCs w:val="24"/>
          <w:lang w:eastAsia="tr-TR" w:bidi="ar-SA"/>
        </w:rPr>
        <w:t>As shown in Figure 6.5, in the invoice components of the consumers in the industrial group compared to the invoice components of the consumers in the households in Figure 6.4; it is seen that the share of retail energy cost was higher and the share of distribution (network) was lowe.</w:t>
      </w:r>
    </w:p>
    <w:p w:rsidR="00E8296A" w:rsidRPr="001A30A9" w:rsidRDefault="00E8296A" w:rsidP="0099399A">
      <w:pPr>
        <w:jc w:val="both"/>
      </w:pPr>
    </w:p>
    <w:sectPr w:rsidR="00E8296A" w:rsidRPr="001A30A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CC3" w:rsidRDefault="004E2CC3" w:rsidP="00B37ACD">
      <w:pPr>
        <w:spacing w:after="0" w:line="240" w:lineRule="auto"/>
      </w:pPr>
      <w:r>
        <w:separator/>
      </w:r>
    </w:p>
  </w:endnote>
  <w:endnote w:type="continuationSeparator" w:id="0">
    <w:p w:rsidR="004E2CC3" w:rsidRDefault="004E2CC3" w:rsidP="00B37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Consolas">
    <w:panose1 w:val="020B0609020204030204"/>
    <w:charset w:val="A2"/>
    <w:family w:val="modern"/>
    <w:pitch w:val="fixed"/>
    <w:sig w:usb0="E10002FF" w:usb1="4000FCFF" w:usb2="00000009" w:usb3="00000000" w:csb0="0000019F" w:csb1="00000000"/>
  </w:font>
  <w:font w:name="Microsoft JhengHei">
    <w:panose1 w:val="020B0604030504040204"/>
    <w:charset w:val="88"/>
    <w:family w:val="swiss"/>
    <w:pitch w:val="variable"/>
    <w:sig w:usb0="00000087" w:usb1="288F4000" w:usb2="00000016" w:usb3="00000000" w:csb0="00100009"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1668833"/>
      <w:docPartObj>
        <w:docPartGallery w:val="Page Numbers (Bottom of Page)"/>
        <w:docPartUnique/>
      </w:docPartObj>
    </w:sdtPr>
    <w:sdtContent>
      <w:p w:rsidR="00B25F9A" w:rsidRDefault="00B25F9A">
        <w:pPr>
          <w:pStyle w:val="Altbilgi"/>
          <w:jc w:val="center"/>
        </w:pPr>
        <w:r>
          <w:fldChar w:fldCharType="begin"/>
        </w:r>
        <w:r>
          <w:instrText>PAGE   \* MERGEFORMAT</w:instrText>
        </w:r>
        <w:r>
          <w:fldChar w:fldCharType="separate"/>
        </w:r>
        <w:r w:rsidR="00130808" w:rsidRPr="00130808">
          <w:rPr>
            <w:noProof/>
            <w:lang w:val="tr-TR"/>
          </w:rPr>
          <w:t>ii</w:t>
        </w:r>
        <w:r>
          <w:fldChar w:fldCharType="end"/>
        </w:r>
      </w:p>
    </w:sdtContent>
  </w:sdt>
  <w:p w:rsidR="00B25F9A" w:rsidRDefault="00B25F9A">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F9A" w:rsidRDefault="00B25F9A">
    <w:pPr>
      <w:pStyle w:val="Altbilgi"/>
      <w:jc w:val="center"/>
    </w:pPr>
  </w:p>
  <w:p w:rsidR="00B25F9A" w:rsidRDefault="00B25F9A">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8784346"/>
      <w:docPartObj>
        <w:docPartGallery w:val="Page Numbers (Bottom of Page)"/>
        <w:docPartUnique/>
      </w:docPartObj>
    </w:sdtPr>
    <w:sdtContent>
      <w:p w:rsidR="00B25F9A" w:rsidRDefault="00B25F9A">
        <w:pPr>
          <w:pStyle w:val="Altbilgi"/>
          <w:jc w:val="center"/>
        </w:pPr>
        <w:r>
          <w:fldChar w:fldCharType="begin"/>
        </w:r>
        <w:r>
          <w:instrText>PAGE   \* MERGEFORMAT</w:instrText>
        </w:r>
        <w:r>
          <w:fldChar w:fldCharType="separate"/>
        </w:r>
        <w:r w:rsidR="00130808" w:rsidRPr="00130808">
          <w:rPr>
            <w:noProof/>
            <w:lang w:val="tr-TR"/>
          </w:rPr>
          <w:t>xi</w:t>
        </w:r>
        <w:r>
          <w:fldChar w:fldCharType="end"/>
        </w:r>
      </w:p>
    </w:sdtContent>
  </w:sdt>
  <w:p w:rsidR="00B25F9A" w:rsidRDefault="00B25F9A">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735250"/>
      <w:docPartObj>
        <w:docPartGallery w:val="Page Numbers (Bottom of Page)"/>
        <w:docPartUnique/>
      </w:docPartObj>
    </w:sdtPr>
    <w:sdtContent>
      <w:p w:rsidR="00B25F9A" w:rsidRDefault="00B25F9A">
        <w:pPr>
          <w:pStyle w:val="Altbilgi"/>
          <w:jc w:val="center"/>
        </w:pPr>
        <w:r>
          <w:fldChar w:fldCharType="begin"/>
        </w:r>
        <w:r>
          <w:instrText>PAGE   \* MERGEFORMAT</w:instrText>
        </w:r>
        <w:r>
          <w:fldChar w:fldCharType="separate"/>
        </w:r>
        <w:r w:rsidR="00130808" w:rsidRPr="00130808">
          <w:rPr>
            <w:noProof/>
            <w:lang w:val="tr-TR"/>
          </w:rPr>
          <w:t>17</w:t>
        </w:r>
        <w:r>
          <w:fldChar w:fldCharType="end"/>
        </w:r>
      </w:p>
    </w:sdtContent>
  </w:sdt>
  <w:p w:rsidR="00B25F9A" w:rsidRDefault="00B25F9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CC3" w:rsidRDefault="004E2CC3" w:rsidP="00B37ACD">
      <w:pPr>
        <w:spacing w:after="0" w:line="240" w:lineRule="auto"/>
      </w:pPr>
      <w:r>
        <w:separator/>
      </w:r>
    </w:p>
  </w:footnote>
  <w:footnote w:type="continuationSeparator" w:id="0">
    <w:p w:rsidR="004E2CC3" w:rsidRDefault="004E2CC3" w:rsidP="00B37ACD">
      <w:pPr>
        <w:spacing w:after="0" w:line="240" w:lineRule="auto"/>
      </w:pPr>
      <w:r>
        <w:continuationSeparator/>
      </w:r>
    </w:p>
  </w:footnote>
  <w:footnote w:id="1">
    <w:p w:rsidR="00B25F9A" w:rsidRPr="003B6E1E" w:rsidRDefault="00B25F9A" w:rsidP="004A69E4">
      <w:pPr>
        <w:pStyle w:val="DipnotMetni"/>
      </w:pPr>
      <w:r w:rsidRPr="003B6E1E">
        <w:rPr>
          <w:rStyle w:val="DipnotBavurusu"/>
        </w:rPr>
        <w:footnoteRef/>
      </w:r>
      <w:r w:rsidRPr="003B6E1E">
        <w:t xml:space="preserve"> </w:t>
      </w:r>
      <w:r>
        <w:t xml:space="preserve">The average feed-in tariffs of </w:t>
      </w:r>
      <w:r w:rsidR="00944835">
        <w:t>RESSUM</w:t>
      </w:r>
      <w:r>
        <w:t xml:space="preserve"> is calculated with monthly average currency rates declared by Turkish Republic Central Bank.  </w:t>
      </w:r>
    </w:p>
  </w:footnote>
  <w:footnote w:id="2">
    <w:p w:rsidR="00B25F9A" w:rsidRDefault="00B25F9A" w:rsidP="004A69E4">
      <w:pPr>
        <w:pStyle w:val="DipnotMetni"/>
        <w:jc w:val="both"/>
      </w:pPr>
      <w:r>
        <w:rPr>
          <w:rStyle w:val="DipnotBavurusu"/>
        </w:rPr>
        <w:footnoteRef/>
      </w:r>
      <w:r>
        <w:t xml:space="preserve"> </w:t>
      </w:r>
      <w:r w:rsidRPr="00D95481">
        <w:t>The HHI values are evaluated as a competitive market</w:t>
      </w:r>
      <w:r>
        <w:t xml:space="preserve"> indicator. I</w:t>
      </w:r>
      <w:r w:rsidRPr="00D95481">
        <w:t xml:space="preserve">f HHI is </w:t>
      </w:r>
      <w:r>
        <w:t xml:space="preserve">under </w:t>
      </w:r>
      <w:r w:rsidRPr="00D95481">
        <w:t>1000</w:t>
      </w:r>
      <w:r>
        <w:t xml:space="preserve"> the market is competitive</w:t>
      </w:r>
      <w:r w:rsidRPr="00D95481">
        <w:t>, medium intensity if HHI is between 1000 -1800, and an oligopoly market if HHI is above 1800. In the same way, if the HHI increases by more than 100 points in mergers and acquisitions, it is considered that competitiveness is reduced.</w:t>
      </w:r>
      <w:r>
        <w:t xml:space="preserve">  </w:t>
      </w:r>
    </w:p>
    <w:p w:rsidR="00B25F9A" w:rsidRDefault="00B25F9A" w:rsidP="004A69E4">
      <w:pPr>
        <w:pStyle w:val="DipnotMetni"/>
        <w:jc w:val="both"/>
      </w:pPr>
    </w:p>
  </w:footnote>
  <w:footnote w:id="3">
    <w:p w:rsidR="00B25F9A" w:rsidRDefault="00B25F9A" w:rsidP="004A69E4">
      <w:pPr>
        <w:pStyle w:val="DipnotMetni"/>
      </w:pPr>
      <w:r>
        <w:rPr>
          <w:rStyle w:val="DipnotBavurusu"/>
        </w:rPr>
        <w:footnoteRef/>
      </w:r>
      <w:r>
        <w:t xml:space="preserve"> </w:t>
      </w:r>
      <w:r w:rsidRPr="00892944">
        <w:t>Includes all sales made to eligible</w:t>
      </w:r>
      <w:r>
        <w:t xml:space="preserve"> and non-eligible </w:t>
      </w:r>
      <w:r w:rsidRPr="00892944">
        <w:t xml:space="preserve">consumers for sales volumes of </w:t>
      </w:r>
      <w:r>
        <w:t>incumbent</w:t>
      </w:r>
      <w:r w:rsidRPr="00892944">
        <w:t xml:space="preserve"> supply companies.</w:t>
      </w:r>
    </w:p>
  </w:footnote>
  <w:footnote w:id="4">
    <w:p w:rsidR="00B25F9A" w:rsidRDefault="00B25F9A" w:rsidP="00E84EB3">
      <w:pPr>
        <w:pStyle w:val="DipnotMetni"/>
      </w:pPr>
      <w:r>
        <w:rPr>
          <w:rStyle w:val="DipnotBavurusu"/>
        </w:rPr>
        <w:footnoteRef/>
      </w:r>
      <w:r>
        <w:t xml:space="preserve"> Including the data about facilities owned by customers.</w:t>
      </w:r>
    </w:p>
    <w:p w:rsidR="00B25F9A" w:rsidRPr="00E84EB3" w:rsidRDefault="00B25F9A" w:rsidP="00E84EB3">
      <w:pPr>
        <w:pStyle w:val="DipnotMetni"/>
        <w:rPr>
          <w:lang w:val="tr-T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F9A" w:rsidRDefault="00B25F9A" w:rsidP="0099399A">
    <w:pPr>
      <w:pStyle w:val="stbilgi"/>
      <w:tabs>
        <w:tab w:val="clear" w:pos="4703"/>
        <w:tab w:val="clear" w:pos="9406"/>
        <w:tab w:val="left" w:pos="2428"/>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F9A" w:rsidRDefault="00B25F9A" w:rsidP="0099399A">
    <w:pPr>
      <w:pStyle w:val="stbilgi"/>
      <w:tabs>
        <w:tab w:val="clear" w:pos="4703"/>
        <w:tab w:val="clear" w:pos="9406"/>
        <w:tab w:val="left" w:pos="2428"/>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F9A" w:rsidRDefault="00B25F9A">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15435F"/>
    <w:multiLevelType w:val="hybridMultilevel"/>
    <w:tmpl w:val="0F2414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714687E"/>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 w15:restartNumberingAfterBreak="0">
    <w:nsid w:val="3115256A"/>
    <w:multiLevelType w:val="hybridMultilevel"/>
    <w:tmpl w:val="17EE467A"/>
    <w:lvl w:ilvl="0" w:tplc="041F000D">
      <w:start w:val="1"/>
      <w:numFmt w:val="bullet"/>
      <w:lvlText w:val=""/>
      <w:lvlJc w:val="left"/>
      <w:pPr>
        <w:ind w:left="1206" w:hanging="360"/>
      </w:pPr>
      <w:rPr>
        <w:rFonts w:ascii="Wingdings" w:hAnsi="Wingdings" w:hint="default"/>
      </w:rPr>
    </w:lvl>
    <w:lvl w:ilvl="1" w:tplc="04090003">
      <w:start w:val="1"/>
      <w:numFmt w:val="bullet"/>
      <w:lvlText w:val="o"/>
      <w:lvlJc w:val="left"/>
      <w:pPr>
        <w:ind w:left="1926" w:hanging="360"/>
      </w:pPr>
      <w:rPr>
        <w:rFonts w:ascii="Courier New" w:hAnsi="Courier New" w:cs="Courier New" w:hint="default"/>
      </w:rPr>
    </w:lvl>
    <w:lvl w:ilvl="2" w:tplc="04090005" w:tentative="1">
      <w:start w:val="1"/>
      <w:numFmt w:val="bullet"/>
      <w:lvlText w:val=""/>
      <w:lvlJc w:val="left"/>
      <w:pPr>
        <w:ind w:left="2646" w:hanging="360"/>
      </w:pPr>
      <w:rPr>
        <w:rFonts w:ascii="Wingdings" w:hAnsi="Wingdings" w:hint="default"/>
      </w:rPr>
    </w:lvl>
    <w:lvl w:ilvl="3" w:tplc="04090001" w:tentative="1">
      <w:start w:val="1"/>
      <w:numFmt w:val="bullet"/>
      <w:lvlText w:val=""/>
      <w:lvlJc w:val="left"/>
      <w:pPr>
        <w:ind w:left="3366" w:hanging="360"/>
      </w:pPr>
      <w:rPr>
        <w:rFonts w:ascii="Symbol" w:hAnsi="Symbol" w:hint="default"/>
      </w:rPr>
    </w:lvl>
    <w:lvl w:ilvl="4" w:tplc="04090003" w:tentative="1">
      <w:start w:val="1"/>
      <w:numFmt w:val="bullet"/>
      <w:lvlText w:val="o"/>
      <w:lvlJc w:val="left"/>
      <w:pPr>
        <w:ind w:left="4086" w:hanging="360"/>
      </w:pPr>
      <w:rPr>
        <w:rFonts w:ascii="Courier New" w:hAnsi="Courier New" w:cs="Courier New" w:hint="default"/>
      </w:rPr>
    </w:lvl>
    <w:lvl w:ilvl="5" w:tplc="04090005" w:tentative="1">
      <w:start w:val="1"/>
      <w:numFmt w:val="bullet"/>
      <w:lvlText w:val=""/>
      <w:lvlJc w:val="left"/>
      <w:pPr>
        <w:ind w:left="4806" w:hanging="360"/>
      </w:pPr>
      <w:rPr>
        <w:rFonts w:ascii="Wingdings" w:hAnsi="Wingdings" w:hint="default"/>
      </w:rPr>
    </w:lvl>
    <w:lvl w:ilvl="6" w:tplc="04090001" w:tentative="1">
      <w:start w:val="1"/>
      <w:numFmt w:val="bullet"/>
      <w:lvlText w:val=""/>
      <w:lvlJc w:val="left"/>
      <w:pPr>
        <w:ind w:left="5526" w:hanging="360"/>
      </w:pPr>
      <w:rPr>
        <w:rFonts w:ascii="Symbol" w:hAnsi="Symbol" w:hint="default"/>
      </w:rPr>
    </w:lvl>
    <w:lvl w:ilvl="7" w:tplc="04090003" w:tentative="1">
      <w:start w:val="1"/>
      <w:numFmt w:val="bullet"/>
      <w:lvlText w:val="o"/>
      <w:lvlJc w:val="left"/>
      <w:pPr>
        <w:ind w:left="6246" w:hanging="360"/>
      </w:pPr>
      <w:rPr>
        <w:rFonts w:ascii="Courier New" w:hAnsi="Courier New" w:cs="Courier New" w:hint="default"/>
      </w:rPr>
    </w:lvl>
    <w:lvl w:ilvl="8" w:tplc="04090005" w:tentative="1">
      <w:start w:val="1"/>
      <w:numFmt w:val="bullet"/>
      <w:lvlText w:val=""/>
      <w:lvlJc w:val="left"/>
      <w:pPr>
        <w:ind w:left="6966" w:hanging="360"/>
      </w:pPr>
      <w:rPr>
        <w:rFonts w:ascii="Wingdings" w:hAnsi="Wingdings" w:hint="default"/>
      </w:rPr>
    </w:lvl>
  </w:abstractNum>
  <w:abstractNum w:abstractNumId="6"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CB05FC0"/>
    <w:multiLevelType w:val="hybridMultilevel"/>
    <w:tmpl w:val="0F5CAFA0"/>
    <w:lvl w:ilvl="0" w:tplc="D87455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BF333B"/>
    <w:multiLevelType w:val="hybridMultilevel"/>
    <w:tmpl w:val="3E6E6C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4F5A06D5"/>
    <w:multiLevelType w:val="multilevel"/>
    <w:tmpl w:val="A48622B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2"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78A76275"/>
    <w:multiLevelType w:val="hybridMultilevel"/>
    <w:tmpl w:val="D7149492"/>
    <w:lvl w:ilvl="0" w:tplc="041F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A86A4F"/>
    <w:multiLevelType w:val="multilevel"/>
    <w:tmpl w:val="6292F5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12"/>
  </w:num>
  <w:num w:numId="4">
    <w:abstractNumId w:val="6"/>
  </w:num>
  <w:num w:numId="5">
    <w:abstractNumId w:val="9"/>
  </w:num>
  <w:num w:numId="6">
    <w:abstractNumId w:val="8"/>
  </w:num>
  <w:num w:numId="7">
    <w:abstractNumId w:val="11"/>
  </w:num>
  <w:num w:numId="8">
    <w:abstractNumId w:val="5"/>
  </w:num>
  <w:num w:numId="9">
    <w:abstractNumId w:val="13"/>
  </w:num>
  <w:num w:numId="10">
    <w:abstractNumId w:val="4"/>
  </w:num>
  <w:num w:numId="11">
    <w:abstractNumId w:val="1"/>
  </w:num>
  <w:num w:numId="12">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1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1AB"/>
    <w:rsid w:val="00006856"/>
    <w:rsid w:val="00011504"/>
    <w:rsid w:val="000345C2"/>
    <w:rsid w:val="0004547F"/>
    <w:rsid w:val="00084C12"/>
    <w:rsid w:val="00092072"/>
    <w:rsid w:val="00096B43"/>
    <w:rsid w:val="000A7409"/>
    <w:rsid w:val="000F6F29"/>
    <w:rsid w:val="00102CF5"/>
    <w:rsid w:val="00130808"/>
    <w:rsid w:val="00136FF3"/>
    <w:rsid w:val="00160C6E"/>
    <w:rsid w:val="001730F7"/>
    <w:rsid w:val="00180511"/>
    <w:rsid w:val="001A30A9"/>
    <w:rsid w:val="001C3557"/>
    <w:rsid w:val="001D7321"/>
    <w:rsid w:val="001E65FD"/>
    <w:rsid w:val="002152E5"/>
    <w:rsid w:val="002508DE"/>
    <w:rsid w:val="0026369B"/>
    <w:rsid w:val="00264A67"/>
    <w:rsid w:val="00283965"/>
    <w:rsid w:val="002876A2"/>
    <w:rsid w:val="002A5C07"/>
    <w:rsid w:val="002B4CDB"/>
    <w:rsid w:val="002D5AC1"/>
    <w:rsid w:val="003143BB"/>
    <w:rsid w:val="003156E5"/>
    <w:rsid w:val="00315B1C"/>
    <w:rsid w:val="0033736D"/>
    <w:rsid w:val="0035272B"/>
    <w:rsid w:val="00364D6D"/>
    <w:rsid w:val="00376EFD"/>
    <w:rsid w:val="00387DA0"/>
    <w:rsid w:val="003B456E"/>
    <w:rsid w:val="003D4A95"/>
    <w:rsid w:val="003E278F"/>
    <w:rsid w:val="003E70AB"/>
    <w:rsid w:val="0041276D"/>
    <w:rsid w:val="00437585"/>
    <w:rsid w:val="004545BC"/>
    <w:rsid w:val="00464195"/>
    <w:rsid w:val="004A69E4"/>
    <w:rsid w:val="004B1854"/>
    <w:rsid w:val="004C7560"/>
    <w:rsid w:val="004E2CC3"/>
    <w:rsid w:val="004E4D1C"/>
    <w:rsid w:val="004F08BE"/>
    <w:rsid w:val="00502FAE"/>
    <w:rsid w:val="00517996"/>
    <w:rsid w:val="00557504"/>
    <w:rsid w:val="0056743C"/>
    <w:rsid w:val="00581682"/>
    <w:rsid w:val="005873CA"/>
    <w:rsid w:val="00596D92"/>
    <w:rsid w:val="005B247D"/>
    <w:rsid w:val="005D082F"/>
    <w:rsid w:val="006078D4"/>
    <w:rsid w:val="006238F8"/>
    <w:rsid w:val="00651B7C"/>
    <w:rsid w:val="0067774B"/>
    <w:rsid w:val="00693070"/>
    <w:rsid w:val="006B721C"/>
    <w:rsid w:val="006C227C"/>
    <w:rsid w:val="006D44CC"/>
    <w:rsid w:val="006D6223"/>
    <w:rsid w:val="006E1A29"/>
    <w:rsid w:val="006E69BC"/>
    <w:rsid w:val="006E79BD"/>
    <w:rsid w:val="006F0703"/>
    <w:rsid w:val="006F4EAB"/>
    <w:rsid w:val="00707FF9"/>
    <w:rsid w:val="00746B0E"/>
    <w:rsid w:val="007573C1"/>
    <w:rsid w:val="00792BA9"/>
    <w:rsid w:val="007B2C41"/>
    <w:rsid w:val="007D2386"/>
    <w:rsid w:val="007E44DF"/>
    <w:rsid w:val="00812FC5"/>
    <w:rsid w:val="008217C1"/>
    <w:rsid w:val="00857363"/>
    <w:rsid w:val="008701AB"/>
    <w:rsid w:val="008C6A7E"/>
    <w:rsid w:val="00901333"/>
    <w:rsid w:val="0091796F"/>
    <w:rsid w:val="00923038"/>
    <w:rsid w:val="009311A8"/>
    <w:rsid w:val="00933C27"/>
    <w:rsid w:val="0094114B"/>
    <w:rsid w:val="00942CAF"/>
    <w:rsid w:val="00944835"/>
    <w:rsid w:val="00962E72"/>
    <w:rsid w:val="0099399A"/>
    <w:rsid w:val="0099731C"/>
    <w:rsid w:val="00A52C82"/>
    <w:rsid w:val="00A64337"/>
    <w:rsid w:val="00A952E0"/>
    <w:rsid w:val="00A97E68"/>
    <w:rsid w:val="00AA5B11"/>
    <w:rsid w:val="00AA5F85"/>
    <w:rsid w:val="00AE465C"/>
    <w:rsid w:val="00B24DA2"/>
    <w:rsid w:val="00B25F9A"/>
    <w:rsid w:val="00B27141"/>
    <w:rsid w:val="00B37ACD"/>
    <w:rsid w:val="00B40F2B"/>
    <w:rsid w:val="00B46332"/>
    <w:rsid w:val="00B572B4"/>
    <w:rsid w:val="00B75446"/>
    <w:rsid w:val="00B92EC6"/>
    <w:rsid w:val="00B942F5"/>
    <w:rsid w:val="00BA74EA"/>
    <w:rsid w:val="00BC048D"/>
    <w:rsid w:val="00BD27FE"/>
    <w:rsid w:val="00BD75F1"/>
    <w:rsid w:val="00BE066F"/>
    <w:rsid w:val="00BE6747"/>
    <w:rsid w:val="00C05688"/>
    <w:rsid w:val="00C14C79"/>
    <w:rsid w:val="00C15D06"/>
    <w:rsid w:val="00C30646"/>
    <w:rsid w:val="00C74A4F"/>
    <w:rsid w:val="00C76A11"/>
    <w:rsid w:val="00C77482"/>
    <w:rsid w:val="00CB5104"/>
    <w:rsid w:val="00CD40B6"/>
    <w:rsid w:val="00D03636"/>
    <w:rsid w:val="00D21485"/>
    <w:rsid w:val="00D87054"/>
    <w:rsid w:val="00D873FC"/>
    <w:rsid w:val="00DE583A"/>
    <w:rsid w:val="00E053FD"/>
    <w:rsid w:val="00E06504"/>
    <w:rsid w:val="00E20ADD"/>
    <w:rsid w:val="00E31B4F"/>
    <w:rsid w:val="00E324E9"/>
    <w:rsid w:val="00E43EC3"/>
    <w:rsid w:val="00E70562"/>
    <w:rsid w:val="00E8296A"/>
    <w:rsid w:val="00E84EB3"/>
    <w:rsid w:val="00EC3DF0"/>
    <w:rsid w:val="00EC40F4"/>
    <w:rsid w:val="00ED6164"/>
    <w:rsid w:val="00EF3F7A"/>
    <w:rsid w:val="00EF6520"/>
    <w:rsid w:val="00F002B6"/>
    <w:rsid w:val="00F05D14"/>
    <w:rsid w:val="00F5335D"/>
    <w:rsid w:val="00F64EA4"/>
    <w:rsid w:val="00F678BD"/>
    <w:rsid w:val="00F70D24"/>
    <w:rsid w:val="00F939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31CDC6-9BCD-4361-AC97-C60513D4B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4E9"/>
    <w:pPr>
      <w:spacing w:line="252" w:lineRule="auto"/>
    </w:pPr>
    <w:rPr>
      <w:rFonts w:asciiTheme="majorHAnsi" w:eastAsiaTheme="majorEastAsia" w:hAnsiTheme="majorHAnsi" w:cstheme="majorBidi"/>
      <w:lang w:val="en-US" w:bidi="en-US"/>
    </w:rPr>
  </w:style>
  <w:style w:type="paragraph" w:styleId="Balk1">
    <w:name w:val="heading 1"/>
    <w:aliases w:val="table"/>
    <w:basedOn w:val="Normal"/>
    <w:next w:val="Normal"/>
    <w:link w:val="Balk1Char"/>
    <w:uiPriority w:val="9"/>
    <w:qFormat/>
    <w:rsid w:val="00E324E9"/>
    <w:pPr>
      <w:keepNext/>
      <w:keepLines/>
      <w:spacing w:before="480" w:after="0"/>
      <w:jc w:val="center"/>
      <w:outlineLvl w:val="0"/>
    </w:pPr>
    <w:rPr>
      <w:rFonts w:ascii="Times New Roman" w:hAnsi="Times New Roman"/>
      <w:b/>
      <w:bCs/>
      <w:color w:val="000000" w:themeColor="text1"/>
      <w:sz w:val="24"/>
      <w:szCs w:val="28"/>
    </w:rPr>
  </w:style>
  <w:style w:type="paragraph" w:styleId="Balk2">
    <w:name w:val="heading 2"/>
    <w:aliases w:val="Figure"/>
    <w:basedOn w:val="Normal"/>
    <w:next w:val="Normal"/>
    <w:link w:val="Balk2Char"/>
    <w:uiPriority w:val="9"/>
    <w:unhideWhenUsed/>
    <w:qFormat/>
    <w:rsid w:val="00E324E9"/>
    <w:pPr>
      <w:keepNext/>
      <w:keepLines/>
      <w:spacing w:before="200" w:after="0"/>
      <w:jc w:val="center"/>
      <w:outlineLvl w:val="1"/>
    </w:pPr>
    <w:rPr>
      <w:rFonts w:ascii="Times New Roman" w:hAnsi="Times New Roman"/>
      <w:b/>
      <w:bCs/>
      <w:color w:val="000000" w:themeColor="text1"/>
      <w:sz w:val="24"/>
      <w:szCs w:val="26"/>
    </w:rPr>
  </w:style>
  <w:style w:type="paragraph" w:styleId="Balk5">
    <w:name w:val="heading 5"/>
    <w:basedOn w:val="Normal"/>
    <w:next w:val="Normal"/>
    <w:link w:val="Balk5Char"/>
    <w:uiPriority w:val="9"/>
    <w:unhideWhenUsed/>
    <w:qFormat/>
    <w:rsid w:val="00E324E9"/>
    <w:pPr>
      <w:keepNext/>
      <w:keepLines/>
      <w:spacing w:before="200" w:after="0"/>
      <w:outlineLvl w:val="4"/>
    </w:pPr>
    <w:rPr>
      <w:color w:val="243F60" w:themeColor="accent1" w:themeShade="7F"/>
    </w:rPr>
  </w:style>
  <w:style w:type="paragraph" w:styleId="Balk6">
    <w:name w:val="heading 6"/>
    <w:basedOn w:val="Normal"/>
    <w:next w:val="Normal"/>
    <w:link w:val="Balk6Char"/>
    <w:uiPriority w:val="9"/>
    <w:unhideWhenUsed/>
    <w:qFormat/>
    <w:rsid w:val="00E324E9"/>
    <w:pPr>
      <w:keepNext/>
      <w:keepLines/>
      <w:spacing w:before="200" w:after="0"/>
      <w:outlineLvl w:val="5"/>
    </w:pPr>
    <w:rPr>
      <w:i/>
      <w:iCs/>
      <w:color w:val="243F60" w:themeColor="accent1" w:themeShade="7F"/>
    </w:rPr>
  </w:style>
  <w:style w:type="paragraph" w:styleId="Balk7">
    <w:name w:val="heading 7"/>
    <w:basedOn w:val="Normal"/>
    <w:next w:val="Normal"/>
    <w:link w:val="Balk7Char"/>
    <w:uiPriority w:val="9"/>
    <w:unhideWhenUsed/>
    <w:qFormat/>
    <w:rsid w:val="0099399A"/>
    <w:pPr>
      <w:keepNext/>
      <w:keepLines/>
      <w:spacing w:before="40" w:after="0" w:line="259" w:lineRule="auto"/>
      <w:outlineLvl w:val="6"/>
    </w:pPr>
    <w:rPr>
      <w:i/>
      <w:iCs/>
      <w:color w:val="243F60" w:themeColor="accent1" w:themeShade="7F"/>
      <w:lang w:bidi="ar-SA"/>
    </w:rPr>
  </w:style>
  <w:style w:type="paragraph" w:styleId="Balk8">
    <w:name w:val="heading 8"/>
    <w:basedOn w:val="Normal"/>
    <w:next w:val="Normal"/>
    <w:link w:val="Balk8Char"/>
    <w:uiPriority w:val="9"/>
    <w:unhideWhenUsed/>
    <w:qFormat/>
    <w:rsid w:val="0099399A"/>
    <w:pPr>
      <w:keepNext/>
      <w:keepLines/>
      <w:spacing w:before="200" w:after="0"/>
      <w:outlineLvl w:val="7"/>
    </w:pPr>
    <w:rPr>
      <w:color w:val="404040" w:themeColor="text1" w:themeTint="BF"/>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table Char"/>
    <w:basedOn w:val="VarsaylanParagrafYazTipi"/>
    <w:link w:val="Balk1"/>
    <w:uiPriority w:val="9"/>
    <w:rsid w:val="00E324E9"/>
    <w:rPr>
      <w:rFonts w:ascii="Times New Roman" w:eastAsiaTheme="majorEastAsia" w:hAnsi="Times New Roman" w:cstheme="majorBidi"/>
      <w:b/>
      <w:bCs/>
      <w:color w:val="000000" w:themeColor="text1"/>
      <w:sz w:val="24"/>
      <w:szCs w:val="28"/>
      <w:lang w:val="en-US" w:bidi="en-US"/>
    </w:rPr>
  </w:style>
  <w:style w:type="character" w:customStyle="1" w:styleId="Balk2Char">
    <w:name w:val="Başlık 2 Char"/>
    <w:aliases w:val="Figure Char"/>
    <w:basedOn w:val="VarsaylanParagrafYazTipi"/>
    <w:link w:val="Balk2"/>
    <w:uiPriority w:val="9"/>
    <w:rsid w:val="00E324E9"/>
    <w:rPr>
      <w:rFonts w:ascii="Times New Roman" w:eastAsiaTheme="majorEastAsia" w:hAnsi="Times New Roman" w:cstheme="majorBidi"/>
      <w:b/>
      <w:bCs/>
      <w:color w:val="000000" w:themeColor="text1"/>
      <w:sz w:val="24"/>
      <w:szCs w:val="26"/>
      <w:lang w:val="en-US" w:bidi="en-US"/>
    </w:rPr>
  </w:style>
  <w:style w:type="character" w:customStyle="1" w:styleId="Balk5Char">
    <w:name w:val="Başlık 5 Char"/>
    <w:basedOn w:val="VarsaylanParagrafYazTipi"/>
    <w:link w:val="Balk5"/>
    <w:uiPriority w:val="9"/>
    <w:rsid w:val="00E324E9"/>
    <w:rPr>
      <w:rFonts w:asciiTheme="majorHAnsi" w:eastAsiaTheme="majorEastAsia" w:hAnsiTheme="majorHAnsi" w:cstheme="majorBidi"/>
      <w:color w:val="243F60" w:themeColor="accent1" w:themeShade="7F"/>
      <w:lang w:val="en-US" w:bidi="en-US"/>
    </w:rPr>
  </w:style>
  <w:style w:type="character" w:customStyle="1" w:styleId="Balk6Char">
    <w:name w:val="Başlık 6 Char"/>
    <w:basedOn w:val="VarsaylanParagrafYazTipi"/>
    <w:link w:val="Balk6"/>
    <w:uiPriority w:val="9"/>
    <w:rsid w:val="00E324E9"/>
    <w:rPr>
      <w:rFonts w:asciiTheme="majorHAnsi" w:eastAsiaTheme="majorEastAsia" w:hAnsiTheme="majorHAnsi" w:cstheme="majorBidi"/>
      <w:i/>
      <w:iCs/>
      <w:color w:val="243F60" w:themeColor="accent1" w:themeShade="7F"/>
      <w:lang w:val="en-US" w:bidi="en-US"/>
    </w:rPr>
  </w:style>
  <w:style w:type="character" w:customStyle="1" w:styleId="Balk7Char">
    <w:name w:val="Başlık 7 Char"/>
    <w:basedOn w:val="VarsaylanParagrafYazTipi"/>
    <w:link w:val="Balk7"/>
    <w:uiPriority w:val="9"/>
    <w:rsid w:val="0099399A"/>
    <w:rPr>
      <w:rFonts w:asciiTheme="majorHAnsi" w:eastAsiaTheme="majorEastAsia" w:hAnsiTheme="majorHAnsi" w:cstheme="majorBidi"/>
      <w:i/>
      <w:iCs/>
      <w:color w:val="243F60" w:themeColor="accent1" w:themeShade="7F"/>
      <w:lang w:val="en-US"/>
    </w:rPr>
  </w:style>
  <w:style w:type="character" w:customStyle="1" w:styleId="Balk8Char">
    <w:name w:val="Başlık 8 Char"/>
    <w:basedOn w:val="VarsaylanParagrafYazTipi"/>
    <w:link w:val="Balk8"/>
    <w:uiPriority w:val="9"/>
    <w:rsid w:val="0099399A"/>
    <w:rPr>
      <w:rFonts w:asciiTheme="majorHAnsi" w:eastAsiaTheme="majorEastAsia" w:hAnsiTheme="majorHAnsi" w:cstheme="majorBidi"/>
      <w:color w:val="404040" w:themeColor="text1" w:themeTint="BF"/>
      <w:sz w:val="20"/>
      <w:szCs w:val="20"/>
      <w:lang w:val="en-US" w:bidi="en-US"/>
    </w:rPr>
  </w:style>
  <w:style w:type="paragraph" w:customStyle="1" w:styleId="BALIKLAR">
    <w:name w:val="BAŞLIKLAR"/>
    <w:basedOn w:val="Balk1"/>
    <w:link w:val="BALIKLARChar"/>
    <w:qFormat/>
    <w:rsid w:val="00E324E9"/>
    <w:pPr>
      <w:spacing w:before="240" w:line="259" w:lineRule="auto"/>
      <w:jc w:val="left"/>
    </w:pPr>
    <w:rPr>
      <w:bCs w:val="0"/>
      <w:color w:val="auto"/>
      <w:szCs w:val="32"/>
      <w:lang w:bidi="ar-SA"/>
    </w:rPr>
  </w:style>
  <w:style w:type="character" w:customStyle="1" w:styleId="BALIKLARChar">
    <w:name w:val="BAŞLIKLAR Char"/>
    <w:basedOn w:val="VarsaylanParagrafYazTipi"/>
    <w:link w:val="BALIKLAR"/>
    <w:rsid w:val="00E324E9"/>
    <w:rPr>
      <w:rFonts w:ascii="Times New Roman" w:eastAsiaTheme="majorEastAsia" w:hAnsi="Times New Roman" w:cstheme="majorBidi"/>
      <w:b/>
      <w:sz w:val="24"/>
      <w:szCs w:val="32"/>
      <w:lang w:val="en-US"/>
    </w:rPr>
  </w:style>
  <w:style w:type="paragraph" w:customStyle="1" w:styleId="11ilebalayanlar">
    <w:name w:val="1.1 ile başlayanlar"/>
    <w:basedOn w:val="Balk2"/>
    <w:link w:val="11ilebalayanlarChar"/>
    <w:qFormat/>
    <w:rsid w:val="00B572B4"/>
    <w:pPr>
      <w:spacing w:before="40" w:line="259" w:lineRule="auto"/>
      <w:jc w:val="left"/>
    </w:pPr>
    <w:rPr>
      <w:rFonts w:cs="Times New Roman"/>
      <w:bCs w:val="0"/>
      <w:spacing w:val="15"/>
      <w:szCs w:val="24"/>
    </w:rPr>
  </w:style>
  <w:style w:type="character" w:customStyle="1" w:styleId="11ilebalayanlarChar">
    <w:name w:val="1.1 ile başlayanlar Char"/>
    <w:basedOn w:val="Balk2Char"/>
    <w:link w:val="11ilebalayanlar"/>
    <w:rsid w:val="00B572B4"/>
    <w:rPr>
      <w:rFonts w:ascii="Times New Roman" w:eastAsiaTheme="majorEastAsia" w:hAnsi="Times New Roman" w:cs="Times New Roman"/>
      <w:b/>
      <w:bCs w:val="0"/>
      <w:color w:val="000000" w:themeColor="text1"/>
      <w:spacing w:val="15"/>
      <w:sz w:val="24"/>
      <w:szCs w:val="24"/>
      <w:lang w:val="en-US" w:bidi="en-US"/>
    </w:rPr>
  </w:style>
  <w:style w:type="paragraph" w:styleId="BalonMetni">
    <w:name w:val="Balloon Text"/>
    <w:basedOn w:val="Normal"/>
    <w:link w:val="BalonMetniChar"/>
    <w:uiPriority w:val="99"/>
    <w:semiHidden/>
    <w:unhideWhenUsed/>
    <w:rsid w:val="00E324E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324E9"/>
    <w:rPr>
      <w:rFonts w:ascii="Tahoma" w:eastAsiaTheme="majorEastAsia" w:hAnsi="Tahoma" w:cs="Tahoma"/>
      <w:sz w:val="16"/>
      <w:szCs w:val="16"/>
      <w:lang w:val="en-US" w:bidi="en-US"/>
    </w:rPr>
  </w:style>
  <w:style w:type="paragraph" w:styleId="DipnotMetni">
    <w:name w:val="footnote text"/>
    <w:basedOn w:val="Normal"/>
    <w:link w:val="DipnotMetniChar"/>
    <w:unhideWhenUsed/>
    <w:rsid w:val="00B37AC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B37ACD"/>
    <w:rPr>
      <w:sz w:val="20"/>
      <w:szCs w:val="20"/>
      <w:lang w:val="en-US"/>
    </w:rPr>
  </w:style>
  <w:style w:type="character" w:styleId="DipnotBavurusu">
    <w:name w:val="footnote reference"/>
    <w:basedOn w:val="VarsaylanParagrafYazTipi"/>
    <w:semiHidden/>
    <w:unhideWhenUsed/>
    <w:rsid w:val="00B37ACD"/>
    <w:rPr>
      <w:vertAlign w:val="superscript"/>
    </w:rPr>
  </w:style>
  <w:style w:type="paragraph" w:customStyle="1" w:styleId="AnaBalklar">
    <w:name w:val="Ana Başlıklar"/>
    <w:basedOn w:val="Balk1"/>
    <w:link w:val="AnaBalklarChar"/>
    <w:qFormat/>
    <w:rsid w:val="002152E5"/>
    <w:pPr>
      <w:spacing w:before="240" w:line="259" w:lineRule="auto"/>
      <w:jc w:val="left"/>
    </w:pPr>
    <w:rPr>
      <w:bCs w:val="0"/>
      <w:color w:val="auto"/>
      <w:szCs w:val="32"/>
      <w:lang w:bidi="ar-SA"/>
    </w:rPr>
  </w:style>
  <w:style w:type="character" w:customStyle="1" w:styleId="AnaBalklarChar">
    <w:name w:val="Ana Başlıklar Char"/>
    <w:basedOn w:val="VarsaylanParagrafYazTipi"/>
    <w:link w:val="AnaBalklar"/>
    <w:rsid w:val="002152E5"/>
    <w:rPr>
      <w:rFonts w:ascii="Times New Roman" w:eastAsiaTheme="majorEastAsia" w:hAnsi="Times New Roman" w:cstheme="majorBidi"/>
      <w:b/>
      <w:sz w:val="24"/>
      <w:szCs w:val="32"/>
      <w:lang w:val="en-US"/>
    </w:rPr>
  </w:style>
  <w:style w:type="paragraph" w:styleId="HTMLncedenBiimlendirilmi">
    <w:name w:val="HTML Preformatted"/>
    <w:basedOn w:val="Normal"/>
    <w:link w:val="HTMLncedenBiimlendirilmiChar"/>
    <w:uiPriority w:val="99"/>
    <w:unhideWhenUsed/>
    <w:rsid w:val="00923038"/>
    <w:pPr>
      <w:spacing w:after="0" w:line="240" w:lineRule="auto"/>
    </w:pPr>
    <w:rPr>
      <w:rFonts w:ascii="Consolas" w:hAnsi="Consolas"/>
      <w:sz w:val="20"/>
      <w:szCs w:val="20"/>
    </w:rPr>
  </w:style>
  <w:style w:type="character" w:customStyle="1" w:styleId="HTMLncedenBiimlendirilmiChar">
    <w:name w:val="HTML Önceden Biçimlendirilmiş Char"/>
    <w:basedOn w:val="VarsaylanParagrafYazTipi"/>
    <w:link w:val="HTMLncedenBiimlendirilmi"/>
    <w:uiPriority w:val="99"/>
    <w:rsid w:val="00923038"/>
    <w:rPr>
      <w:rFonts w:ascii="Consolas" w:eastAsiaTheme="majorEastAsia" w:hAnsi="Consolas" w:cstheme="majorBidi"/>
      <w:sz w:val="20"/>
      <w:szCs w:val="20"/>
      <w:lang w:val="en-US" w:bidi="en-US"/>
    </w:rPr>
  </w:style>
  <w:style w:type="paragraph" w:styleId="KonuBal">
    <w:name w:val="Title"/>
    <w:basedOn w:val="Normal"/>
    <w:next w:val="Normal"/>
    <w:link w:val="KonuBalChar"/>
    <w:uiPriority w:val="10"/>
    <w:qFormat/>
    <w:rsid w:val="00102CF5"/>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102CF5"/>
    <w:rPr>
      <w:rFonts w:asciiTheme="majorHAnsi" w:eastAsiaTheme="majorEastAsia" w:hAnsiTheme="majorHAnsi" w:cstheme="majorBidi"/>
      <w:caps/>
      <w:color w:val="632423" w:themeColor="accent2" w:themeShade="80"/>
      <w:spacing w:val="50"/>
      <w:sz w:val="44"/>
      <w:szCs w:val="44"/>
      <w:lang w:val="en-US" w:bidi="en-US"/>
    </w:rPr>
  </w:style>
  <w:style w:type="paragraph" w:styleId="NormalWeb">
    <w:name w:val="Normal (Web)"/>
    <w:basedOn w:val="Normal"/>
    <w:uiPriority w:val="99"/>
    <w:semiHidden/>
    <w:unhideWhenUsed/>
    <w:rsid w:val="00517996"/>
    <w:pPr>
      <w:spacing w:after="150" w:line="240" w:lineRule="auto"/>
    </w:pPr>
    <w:rPr>
      <w:rFonts w:ascii="Times New Roman" w:eastAsia="Times New Roman" w:hAnsi="Times New Roman" w:cs="Times New Roman"/>
      <w:sz w:val="24"/>
      <w:szCs w:val="24"/>
      <w:lang w:eastAsia="tr-TR" w:bidi="ar-SA"/>
    </w:rPr>
  </w:style>
  <w:style w:type="table" w:styleId="TabloKlavuzu">
    <w:name w:val="Table Grid"/>
    <w:basedOn w:val="NormalTablo"/>
    <w:uiPriority w:val="39"/>
    <w:rsid w:val="00045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Vurgu5">
    <w:name w:val="Light Shading Accent 5"/>
    <w:basedOn w:val="NormalTablo"/>
    <w:uiPriority w:val="60"/>
    <w:rsid w:val="0004547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Liste-Vurgu5">
    <w:name w:val="Light List Accent 5"/>
    <w:basedOn w:val="NormalTablo"/>
    <w:uiPriority w:val="61"/>
    <w:rsid w:val="0004547F"/>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Klavuz-Vurgu5">
    <w:name w:val="Light Grid Accent 5"/>
    <w:basedOn w:val="NormalTablo"/>
    <w:uiPriority w:val="62"/>
    <w:rsid w:val="0004547F"/>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AralkYok">
    <w:name w:val="No Spacing"/>
    <w:aliases w:val="tablo"/>
    <w:basedOn w:val="Normal"/>
    <w:link w:val="AralkYokChar"/>
    <w:uiPriority w:val="1"/>
    <w:qFormat/>
    <w:rsid w:val="0099399A"/>
    <w:pPr>
      <w:spacing w:after="0" w:line="240" w:lineRule="auto"/>
      <w:jc w:val="center"/>
    </w:pPr>
    <w:rPr>
      <w:rFonts w:ascii="Times New Roman" w:hAnsi="Times New Roman"/>
      <w:b/>
      <w:sz w:val="24"/>
    </w:rPr>
  </w:style>
  <w:style w:type="character" w:customStyle="1" w:styleId="AralkYokChar">
    <w:name w:val="Aralık Yok Char"/>
    <w:aliases w:val="tablo Char"/>
    <w:basedOn w:val="VarsaylanParagrafYazTipi"/>
    <w:link w:val="AralkYok"/>
    <w:uiPriority w:val="1"/>
    <w:rsid w:val="0099399A"/>
    <w:rPr>
      <w:rFonts w:ascii="Times New Roman" w:eastAsiaTheme="majorEastAsia" w:hAnsi="Times New Roman" w:cstheme="majorBidi"/>
      <w:b/>
      <w:sz w:val="24"/>
      <w:lang w:val="en-US" w:bidi="en-US"/>
    </w:rPr>
  </w:style>
  <w:style w:type="paragraph" w:styleId="ListeParagraf">
    <w:name w:val="List Paragraph"/>
    <w:basedOn w:val="Normal"/>
    <w:uiPriority w:val="34"/>
    <w:qFormat/>
    <w:rsid w:val="0099399A"/>
    <w:pPr>
      <w:ind w:left="720"/>
      <w:contextualSpacing/>
    </w:pPr>
  </w:style>
  <w:style w:type="paragraph" w:styleId="Altbilgi">
    <w:name w:val="footer"/>
    <w:basedOn w:val="Normal"/>
    <w:link w:val="AltbilgiChar"/>
    <w:uiPriority w:val="99"/>
    <w:unhideWhenUsed/>
    <w:rsid w:val="0099399A"/>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9399A"/>
    <w:rPr>
      <w:rFonts w:asciiTheme="majorHAnsi" w:eastAsiaTheme="majorEastAsia" w:hAnsiTheme="majorHAnsi" w:cstheme="majorBidi"/>
      <w:lang w:val="en-US" w:bidi="en-US"/>
    </w:rPr>
  </w:style>
  <w:style w:type="paragraph" w:styleId="stbilgi">
    <w:name w:val="header"/>
    <w:basedOn w:val="Normal"/>
    <w:link w:val="stbilgiChar"/>
    <w:uiPriority w:val="99"/>
    <w:unhideWhenUsed/>
    <w:rsid w:val="0099399A"/>
    <w:pPr>
      <w:tabs>
        <w:tab w:val="center" w:pos="4703"/>
        <w:tab w:val="right" w:pos="9406"/>
      </w:tabs>
      <w:spacing w:after="0" w:line="240" w:lineRule="auto"/>
    </w:pPr>
    <w:rPr>
      <w:rFonts w:asciiTheme="minorHAnsi" w:eastAsiaTheme="minorHAnsi" w:hAnsiTheme="minorHAnsi" w:cstheme="minorBidi"/>
      <w:lang w:bidi="ar-SA"/>
    </w:rPr>
  </w:style>
  <w:style w:type="character" w:customStyle="1" w:styleId="stbilgiChar">
    <w:name w:val="Üstbilgi Char"/>
    <w:basedOn w:val="VarsaylanParagrafYazTipi"/>
    <w:link w:val="stbilgi"/>
    <w:uiPriority w:val="99"/>
    <w:rsid w:val="0099399A"/>
    <w:rPr>
      <w:lang w:val="en-US"/>
    </w:rPr>
  </w:style>
  <w:style w:type="table" w:customStyle="1" w:styleId="TabloKlavuzu2">
    <w:name w:val="Tablo Kılavuzu2"/>
    <w:basedOn w:val="NormalTablo"/>
    <w:next w:val="TabloKlavuzu"/>
    <w:uiPriority w:val="39"/>
    <w:rsid w:val="009939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Bal">
    <w:name w:val="TOC Heading"/>
    <w:basedOn w:val="Balk1"/>
    <w:next w:val="Normal"/>
    <w:uiPriority w:val="39"/>
    <w:unhideWhenUsed/>
    <w:qFormat/>
    <w:rsid w:val="0099399A"/>
    <w:pPr>
      <w:spacing w:before="240" w:line="259" w:lineRule="auto"/>
      <w:jc w:val="left"/>
      <w:outlineLvl w:val="9"/>
    </w:pPr>
    <w:rPr>
      <w:bCs w:val="0"/>
      <w:color w:val="auto"/>
      <w:szCs w:val="32"/>
      <w:lang w:bidi="ar-SA"/>
    </w:rPr>
  </w:style>
  <w:style w:type="paragraph" w:styleId="T1">
    <w:name w:val="toc 1"/>
    <w:basedOn w:val="Normal"/>
    <w:next w:val="Normal"/>
    <w:autoRedefine/>
    <w:uiPriority w:val="39"/>
    <w:unhideWhenUsed/>
    <w:rsid w:val="0099399A"/>
    <w:pPr>
      <w:spacing w:after="100" w:line="259" w:lineRule="auto"/>
    </w:pPr>
    <w:rPr>
      <w:rFonts w:asciiTheme="minorHAnsi" w:eastAsiaTheme="minorHAnsi" w:hAnsiTheme="minorHAnsi" w:cstheme="minorBidi"/>
      <w:lang w:bidi="ar-SA"/>
    </w:rPr>
  </w:style>
  <w:style w:type="paragraph" w:styleId="T2">
    <w:name w:val="toc 2"/>
    <w:basedOn w:val="Normal"/>
    <w:next w:val="Normal"/>
    <w:autoRedefine/>
    <w:uiPriority w:val="39"/>
    <w:unhideWhenUsed/>
    <w:rsid w:val="0099399A"/>
    <w:pPr>
      <w:spacing w:after="100" w:line="259" w:lineRule="auto"/>
      <w:ind w:left="220"/>
    </w:pPr>
    <w:rPr>
      <w:rFonts w:asciiTheme="minorHAnsi" w:eastAsiaTheme="minorHAnsi" w:hAnsiTheme="minorHAnsi" w:cstheme="minorBidi"/>
      <w:lang w:bidi="ar-SA"/>
    </w:rPr>
  </w:style>
  <w:style w:type="character" w:styleId="Kpr">
    <w:name w:val="Hyperlink"/>
    <w:basedOn w:val="VarsaylanParagrafYazTipi"/>
    <w:uiPriority w:val="99"/>
    <w:unhideWhenUsed/>
    <w:rsid w:val="0099399A"/>
    <w:rPr>
      <w:color w:val="0000FF" w:themeColor="hyperlink"/>
      <w:u w:val="single"/>
    </w:rPr>
  </w:style>
  <w:style w:type="character" w:customStyle="1" w:styleId="Tablo1Char">
    <w:name w:val="Tablo 1 Char"/>
    <w:basedOn w:val="VarsaylanParagrafYazTipi"/>
    <w:link w:val="Tablo1"/>
    <w:locked/>
    <w:rsid w:val="0099399A"/>
    <w:rPr>
      <w:rFonts w:cs="Times New Roman"/>
      <w:b/>
    </w:rPr>
  </w:style>
  <w:style w:type="paragraph" w:customStyle="1" w:styleId="Tablo1">
    <w:name w:val="Tablo 1"/>
    <w:basedOn w:val="Normal"/>
    <w:link w:val="Tablo1Char"/>
    <w:qFormat/>
    <w:rsid w:val="0099399A"/>
    <w:pPr>
      <w:spacing w:after="160" w:line="256" w:lineRule="auto"/>
      <w:jc w:val="both"/>
    </w:pPr>
    <w:rPr>
      <w:rFonts w:asciiTheme="minorHAnsi" w:eastAsiaTheme="minorHAnsi" w:hAnsiTheme="minorHAnsi" w:cs="Times New Roman"/>
      <w:b/>
      <w:lang w:val="tr-TR" w:bidi="ar-SA"/>
    </w:rPr>
  </w:style>
  <w:style w:type="paragraph" w:styleId="ekillerTablosu">
    <w:name w:val="table of figures"/>
    <w:basedOn w:val="Normal"/>
    <w:next w:val="Normal"/>
    <w:uiPriority w:val="99"/>
    <w:unhideWhenUsed/>
    <w:rsid w:val="00E43EC3"/>
    <w:pPr>
      <w:spacing w:after="0"/>
    </w:pPr>
  </w:style>
  <w:style w:type="paragraph" w:styleId="T3">
    <w:name w:val="toc 3"/>
    <w:basedOn w:val="Normal"/>
    <w:next w:val="Normal"/>
    <w:autoRedefine/>
    <w:uiPriority w:val="39"/>
    <w:unhideWhenUsed/>
    <w:rsid w:val="002876A2"/>
    <w:pPr>
      <w:spacing w:after="100" w:line="259" w:lineRule="auto"/>
      <w:ind w:left="440"/>
    </w:pPr>
    <w:rPr>
      <w:rFonts w:asciiTheme="minorHAnsi" w:eastAsiaTheme="minorEastAsia" w:hAnsiTheme="minorHAnsi" w:cstheme="minorBidi"/>
      <w:lang w:bidi="ar-SA"/>
    </w:rPr>
  </w:style>
  <w:style w:type="paragraph" w:styleId="T4">
    <w:name w:val="toc 4"/>
    <w:basedOn w:val="Normal"/>
    <w:next w:val="Normal"/>
    <w:autoRedefine/>
    <w:uiPriority w:val="39"/>
    <w:unhideWhenUsed/>
    <w:rsid w:val="002876A2"/>
    <w:pPr>
      <w:spacing w:after="100" w:line="259" w:lineRule="auto"/>
      <w:ind w:left="660"/>
    </w:pPr>
    <w:rPr>
      <w:rFonts w:asciiTheme="minorHAnsi" w:eastAsiaTheme="minorEastAsia" w:hAnsiTheme="minorHAnsi" w:cstheme="minorBidi"/>
      <w:lang w:bidi="ar-SA"/>
    </w:rPr>
  </w:style>
  <w:style w:type="paragraph" w:styleId="T5">
    <w:name w:val="toc 5"/>
    <w:basedOn w:val="Normal"/>
    <w:next w:val="Normal"/>
    <w:autoRedefine/>
    <w:uiPriority w:val="39"/>
    <w:unhideWhenUsed/>
    <w:rsid w:val="002876A2"/>
    <w:pPr>
      <w:spacing w:after="100" w:line="259" w:lineRule="auto"/>
      <w:ind w:left="880"/>
    </w:pPr>
    <w:rPr>
      <w:rFonts w:asciiTheme="minorHAnsi" w:eastAsiaTheme="minorEastAsia" w:hAnsiTheme="minorHAnsi" w:cstheme="minorBidi"/>
      <w:lang w:bidi="ar-SA"/>
    </w:rPr>
  </w:style>
  <w:style w:type="paragraph" w:styleId="T6">
    <w:name w:val="toc 6"/>
    <w:basedOn w:val="Normal"/>
    <w:next w:val="Normal"/>
    <w:autoRedefine/>
    <w:uiPriority w:val="39"/>
    <w:unhideWhenUsed/>
    <w:rsid w:val="002876A2"/>
    <w:pPr>
      <w:spacing w:after="100" w:line="259" w:lineRule="auto"/>
      <w:ind w:left="1100"/>
    </w:pPr>
    <w:rPr>
      <w:rFonts w:asciiTheme="minorHAnsi" w:eastAsiaTheme="minorEastAsia" w:hAnsiTheme="minorHAnsi" w:cstheme="minorBidi"/>
      <w:lang w:bidi="ar-SA"/>
    </w:rPr>
  </w:style>
  <w:style w:type="paragraph" w:styleId="T7">
    <w:name w:val="toc 7"/>
    <w:basedOn w:val="Normal"/>
    <w:next w:val="Normal"/>
    <w:autoRedefine/>
    <w:uiPriority w:val="39"/>
    <w:unhideWhenUsed/>
    <w:rsid w:val="002876A2"/>
    <w:pPr>
      <w:spacing w:after="100" w:line="259" w:lineRule="auto"/>
      <w:ind w:left="1320"/>
    </w:pPr>
    <w:rPr>
      <w:rFonts w:asciiTheme="minorHAnsi" w:eastAsiaTheme="minorEastAsia" w:hAnsiTheme="minorHAnsi" w:cstheme="minorBidi"/>
      <w:lang w:bidi="ar-SA"/>
    </w:rPr>
  </w:style>
  <w:style w:type="paragraph" w:styleId="T8">
    <w:name w:val="toc 8"/>
    <w:basedOn w:val="Normal"/>
    <w:next w:val="Normal"/>
    <w:autoRedefine/>
    <w:uiPriority w:val="39"/>
    <w:unhideWhenUsed/>
    <w:rsid w:val="002876A2"/>
    <w:pPr>
      <w:spacing w:after="100" w:line="259" w:lineRule="auto"/>
      <w:ind w:left="1540"/>
    </w:pPr>
    <w:rPr>
      <w:rFonts w:asciiTheme="minorHAnsi" w:eastAsiaTheme="minorEastAsia" w:hAnsiTheme="minorHAnsi" w:cstheme="minorBidi"/>
      <w:lang w:bidi="ar-SA"/>
    </w:rPr>
  </w:style>
  <w:style w:type="paragraph" w:styleId="T9">
    <w:name w:val="toc 9"/>
    <w:basedOn w:val="Normal"/>
    <w:next w:val="Normal"/>
    <w:autoRedefine/>
    <w:uiPriority w:val="39"/>
    <w:unhideWhenUsed/>
    <w:rsid w:val="002876A2"/>
    <w:pPr>
      <w:spacing w:after="100" w:line="259" w:lineRule="auto"/>
      <w:ind w:left="1760"/>
    </w:pPr>
    <w:rPr>
      <w:rFonts w:asciiTheme="minorHAnsi" w:eastAsiaTheme="minorEastAsia" w:hAnsiTheme="minorHAnsi" w:cstheme="minorBidi"/>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041848">
      <w:bodyDiv w:val="1"/>
      <w:marLeft w:val="0"/>
      <w:marRight w:val="0"/>
      <w:marTop w:val="0"/>
      <w:marBottom w:val="0"/>
      <w:divBdr>
        <w:top w:val="none" w:sz="0" w:space="0" w:color="auto"/>
        <w:left w:val="none" w:sz="0" w:space="0" w:color="auto"/>
        <w:bottom w:val="none" w:sz="0" w:space="0" w:color="auto"/>
        <w:right w:val="none" w:sz="0" w:space="0" w:color="auto"/>
      </w:divBdr>
    </w:div>
    <w:div w:id="137915650">
      <w:bodyDiv w:val="1"/>
      <w:marLeft w:val="0"/>
      <w:marRight w:val="0"/>
      <w:marTop w:val="0"/>
      <w:marBottom w:val="0"/>
      <w:divBdr>
        <w:top w:val="none" w:sz="0" w:space="0" w:color="auto"/>
        <w:left w:val="none" w:sz="0" w:space="0" w:color="auto"/>
        <w:bottom w:val="none" w:sz="0" w:space="0" w:color="auto"/>
        <w:right w:val="none" w:sz="0" w:space="0" w:color="auto"/>
      </w:divBdr>
    </w:div>
    <w:div w:id="391393920">
      <w:bodyDiv w:val="1"/>
      <w:marLeft w:val="0"/>
      <w:marRight w:val="0"/>
      <w:marTop w:val="0"/>
      <w:marBottom w:val="0"/>
      <w:divBdr>
        <w:top w:val="none" w:sz="0" w:space="0" w:color="auto"/>
        <w:left w:val="none" w:sz="0" w:space="0" w:color="auto"/>
        <w:bottom w:val="none" w:sz="0" w:space="0" w:color="auto"/>
        <w:right w:val="none" w:sz="0" w:space="0" w:color="auto"/>
      </w:divBdr>
    </w:div>
    <w:div w:id="445731953">
      <w:bodyDiv w:val="1"/>
      <w:marLeft w:val="0"/>
      <w:marRight w:val="0"/>
      <w:marTop w:val="0"/>
      <w:marBottom w:val="0"/>
      <w:divBdr>
        <w:top w:val="none" w:sz="0" w:space="0" w:color="auto"/>
        <w:left w:val="none" w:sz="0" w:space="0" w:color="auto"/>
        <w:bottom w:val="none" w:sz="0" w:space="0" w:color="auto"/>
        <w:right w:val="none" w:sz="0" w:space="0" w:color="auto"/>
      </w:divBdr>
    </w:div>
    <w:div w:id="452289565">
      <w:bodyDiv w:val="1"/>
      <w:marLeft w:val="0"/>
      <w:marRight w:val="0"/>
      <w:marTop w:val="0"/>
      <w:marBottom w:val="0"/>
      <w:divBdr>
        <w:top w:val="none" w:sz="0" w:space="0" w:color="auto"/>
        <w:left w:val="none" w:sz="0" w:space="0" w:color="auto"/>
        <w:bottom w:val="none" w:sz="0" w:space="0" w:color="auto"/>
        <w:right w:val="none" w:sz="0" w:space="0" w:color="auto"/>
      </w:divBdr>
    </w:div>
    <w:div w:id="473568395">
      <w:bodyDiv w:val="1"/>
      <w:marLeft w:val="0"/>
      <w:marRight w:val="0"/>
      <w:marTop w:val="0"/>
      <w:marBottom w:val="0"/>
      <w:divBdr>
        <w:top w:val="none" w:sz="0" w:space="0" w:color="auto"/>
        <w:left w:val="none" w:sz="0" w:space="0" w:color="auto"/>
        <w:bottom w:val="none" w:sz="0" w:space="0" w:color="auto"/>
        <w:right w:val="none" w:sz="0" w:space="0" w:color="auto"/>
      </w:divBdr>
    </w:div>
    <w:div w:id="676737422">
      <w:bodyDiv w:val="1"/>
      <w:marLeft w:val="0"/>
      <w:marRight w:val="0"/>
      <w:marTop w:val="0"/>
      <w:marBottom w:val="0"/>
      <w:divBdr>
        <w:top w:val="none" w:sz="0" w:space="0" w:color="auto"/>
        <w:left w:val="none" w:sz="0" w:space="0" w:color="auto"/>
        <w:bottom w:val="none" w:sz="0" w:space="0" w:color="auto"/>
        <w:right w:val="none" w:sz="0" w:space="0" w:color="auto"/>
      </w:divBdr>
    </w:div>
    <w:div w:id="687370775">
      <w:bodyDiv w:val="1"/>
      <w:marLeft w:val="0"/>
      <w:marRight w:val="0"/>
      <w:marTop w:val="0"/>
      <w:marBottom w:val="0"/>
      <w:divBdr>
        <w:top w:val="none" w:sz="0" w:space="0" w:color="auto"/>
        <w:left w:val="none" w:sz="0" w:space="0" w:color="auto"/>
        <w:bottom w:val="none" w:sz="0" w:space="0" w:color="auto"/>
        <w:right w:val="none" w:sz="0" w:space="0" w:color="auto"/>
      </w:divBdr>
    </w:div>
    <w:div w:id="703749270">
      <w:bodyDiv w:val="1"/>
      <w:marLeft w:val="0"/>
      <w:marRight w:val="0"/>
      <w:marTop w:val="0"/>
      <w:marBottom w:val="0"/>
      <w:divBdr>
        <w:top w:val="none" w:sz="0" w:space="0" w:color="auto"/>
        <w:left w:val="none" w:sz="0" w:space="0" w:color="auto"/>
        <w:bottom w:val="none" w:sz="0" w:space="0" w:color="auto"/>
        <w:right w:val="none" w:sz="0" w:space="0" w:color="auto"/>
      </w:divBdr>
    </w:div>
    <w:div w:id="709769186">
      <w:bodyDiv w:val="1"/>
      <w:marLeft w:val="0"/>
      <w:marRight w:val="0"/>
      <w:marTop w:val="0"/>
      <w:marBottom w:val="0"/>
      <w:divBdr>
        <w:top w:val="none" w:sz="0" w:space="0" w:color="auto"/>
        <w:left w:val="none" w:sz="0" w:space="0" w:color="auto"/>
        <w:bottom w:val="none" w:sz="0" w:space="0" w:color="auto"/>
        <w:right w:val="none" w:sz="0" w:space="0" w:color="auto"/>
      </w:divBdr>
    </w:div>
    <w:div w:id="710416977">
      <w:bodyDiv w:val="1"/>
      <w:marLeft w:val="0"/>
      <w:marRight w:val="0"/>
      <w:marTop w:val="0"/>
      <w:marBottom w:val="0"/>
      <w:divBdr>
        <w:top w:val="none" w:sz="0" w:space="0" w:color="auto"/>
        <w:left w:val="none" w:sz="0" w:space="0" w:color="auto"/>
        <w:bottom w:val="none" w:sz="0" w:space="0" w:color="auto"/>
        <w:right w:val="none" w:sz="0" w:space="0" w:color="auto"/>
      </w:divBdr>
    </w:div>
    <w:div w:id="765228556">
      <w:bodyDiv w:val="1"/>
      <w:marLeft w:val="0"/>
      <w:marRight w:val="0"/>
      <w:marTop w:val="0"/>
      <w:marBottom w:val="0"/>
      <w:divBdr>
        <w:top w:val="none" w:sz="0" w:space="0" w:color="auto"/>
        <w:left w:val="none" w:sz="0" w:space="0" w:color="auto"/>
        <w:bottom w:val="none" w:sz="0" w:space="0" w:color="auto"/>
        <w:right w:val="none" w:sz="0" w:space="0" w:color="auto"/>
      </w:divBdr>
    </w:div>
    <w:div w:id="779379668">
      <w:bodyDiv w:val="1"/>
      <w:marLeft w:val="0"/>
      <w:marRight w:val="0"/>
      <w:marTop w:val="0"/>
      <w:marBottom w:val="0"/>
      <w:divBdr>
        <w:top w:val="none" w:sz="0" w:space="0" w:color="auto"/>
        <w:left w:val="none" w:sz="0" w:space="0" w:color="auto"/>
        <w:bottom w:val="none" w:sz="0" w:space="0" w:color="auto"/>
        <w:right w:val="none" w:sz="0" w:space="0" w:color="auto"/>
      </w:divBdr>
    </w:div>
    <w:div w:id="913050380">
      <w:bodyDiv w:val="1"/>
      <w:marLeft w:val="0"/>
      <w:marRight w:val="0"/>
      <w:marTop w:val="0"/>
      <w:marBottom w:val="0"/>
      <w:divBdr>
        <w:top w:val="none" w:sz="0" w:space="0" w:color="auto"/>
        <w:left w:val="none" w:sz="0" w:space="0" w:color="auto"/>
        <w:bottom w:val="none" w:sz="0" w:space="0" w:color="auto"/>
        <w:right w:val="none" w:sz="0" w:space="0" w:color="auto"/>
      </w:divBdr>
    </w:div>
    <w:div w:id="936521158">
      <w:bodyDiv w:val="1"/>
      <w:marLeft w:val="0"/>
      <w:marRight w:val="0"/>
      <w:marTop w:val="0"/>
      <w:marBottom w:val="0"/>
      <w:divBdr>
        <w:top w:val="none" w:sz="0" w:space="0" w:color="auto"/>
        <w:left w:val="none" w:sz="0" w:space="0" w:color="auto"/>
        <w:bottom w:val="none" w:sz="0" w:space="0" w:color="auto"/>
        <w:right w:val="none" w:sz="0" w:space="0" w:color="auto"/>
      </w:divBdr>
    </w:div>
    <w:div w:id="944969314">
      <w:bodyDiv w:val="1"/>
      <w:marLeft w:val="0"/>
      <w:marRight w:val="0"/>
      <w:marTop w:val="0"/>
      <w:marBottom w:val="0"/>
      <w:divBdr>
        <w:top w:val="none" w:sz="0" w:space="0" w:color="auto"/>
        <w:left w:val="none" w:sz="0" w:space="0" w:color="auto"/>
        <w:bottom w:val="none" w:sz="0" w:space="0" w:color="auto"/>
        <w:right w:val="none" w:sz="0" w:space="0" w:color="auto"/>
      </w:divBdr>
    </w:div>
    <w:div w:id="949700947">
      <w:bodyDiv w:val="1"/>
      <w:marLeft w:val="0"/>
      <w:marRight w:val="0"/>
      <w:marTop w:val="0"/>
      <w:marBottom w:val="0"/>
      <w:divBdr>
        <w:top w:val="none" w:sz="0" w:space="0" w:color="auto"/>
        <w:left w:val="none" w:sz="0" w:space="0" w:color="auto"/>
        <w:bottom w:val="none" w:sz="0" w:space="0" w:color="auto"/>
        <w:right w:val="none" w:sz="0" w:space="0" w:color="auto"/>
      </w:divBdr>
    </w:div>
    <w:div w:id="970987610">
      <w:bodyDiv w:val="1"/>
      <w:marLeft w:val="0"/>
      <w:marRight w:val="0"/>
      <w:marTop w:val="0"/>
      <w:marBottom w:val="0"/>
      <w:divBdr>
        <w:top w:val="none" w:sz="0" w:space="0" w:color="auto"/>
        <w:left w:val="none" w:sz="0" w:space="0" w:color="auto"/>
        <w:bottom w:val="none" w:sz="0" w:space="0" w:color="auto"/>
        <w:right w:val="none" w:sz="0" w:space="0" w:color="auto"/>
      </w:divBdr>
    </w:div>
    <w:div w:id="1036657243">
      <w:bodyDiv w:val="1"/>
      <w:marLeft w:val="0"/>
      <w:marRight w:val="0"/>
      <w:marTop w:val="0"/>
      <w:marBottom w:val="0"/>
      <w:divBdr>
        <w:top w:val="none" w:sz="0" w:space="0" w:color="auto"/>
        <w:left w:val="none" w:sz="0" w:space="0" w:color="auto"/>
        <w:bottom w:val="none" w:sz="0" w:space="0" w:color="auto"/>
        <w:right w:val="none" w:sz="0" w:space="0" w:color="auto"/>
      </w:divBdr>
    </w:div>
    <w:div w:id="1247228467">
      <w:bodyDiv w:val="1"/>
      <w:marLeft w:val="0"/>
      <w:marRight w:val="0"/>
      <w:marTop w:val="0"/>
      <w:marBottom w:val="0"/>
      <w:divBdr>
        <w:top w:val="none" w:sz="0" w:space="0" w:color="auto"/>
        <w:left w:val="none" w:sz="0" w:space="0" w:color="auto"/>
        <w:bottom w:val="none" w:sz="0" w:space="0" w:color="auto"/>
        <w:right w:val="none" w:sz="0" w:space="0" w:color="auto"/>
      </w:divBdr>
    </w:div>
    <w:div w:id="1265503963">
      <w:bodyDiv w:val="1"/>
      <w:marLeft w:val="0"/>
      <w:marRight w:val="0"/>
      <w:marTop w:val="0"/>
      <w:marBottom w:val="0"/>
      <w:divBdr>
        <w:top w:val="none" w:sz="0" w:space="0" w:color="auto"/>
        <w:left w:val="none" w:sz="0" w:space="0" w:color="auto"/>
        <w:bottom w:val="none" w:sz="0" w:space="0" w:color="auto"/>
        <w:right w:val="none" w:sz="0" w:space="0" w:color="auto"/>
      </w:divBdr>
    </w:div>
    <w:div w:id="1346982414">
      <w:bodyDiv w:val="1"/>
      <w:marLeft w:val="0"/>
      <w:marRight w:val="0"/>
      <w:marTop w:val="0"/>
      <w:marBottom w:val="0"/>
      <w:divBdr>
        <w:top w:val="none" w:sz="0" w:space="0" w:color="auto"/>
        <w:left w:val="none" w:sz="0" w:space="0" w:color="auto"/>
        <w:bottom w:val="none" w:sz="0" w:space="0" w:color="auto"/>
        <w:right w:val="none" w:sz="0" w:space="0" w:color="auto"/>
      </w:divBdr>
    </w:div>
    <w:div w:id="1355183726">
      <w:bodyDiv w:val="1"/>
      <w:marLeft w:val="0"/>
      <w:marRight w:val="0"/>
      <w:marTop w:val="0"/>
      <w:marBottom w:val="0"/>
      <w:divBdr>
        <w:top w:val="none" w:sz="0" w:space="0" w:color="auto"/>
        <w:left w:val="none" w:sz="0" w:space="0" w:color="auto"/>
        <w:bottom w:val="none" w:sz="0" w:space="0" w:color="auto"/>
        <w:right w:val="none" w:sz="0" w:space="0" w:color="auto"/>
      </w:divBdr>
    </w:div>
    <w:div w:id="1363818570">
      <w:bodyDiv w:val="1"/>
      <w:marLeft w:val="0"/>
      <w:marRight w:val="0"/>
      <w:marTop w:val="0"/>
      <w:marBottom w:val="0"/>
      <w:divBdr>
        <w:top w:val="none" w:sz="0" w:space="0" w:color="auto"/>
        <w:left w:val="none" w:sz="0" w:space="0" w:color="auto"/>
        <w:bottom w:val="none" w:sz="0" w:space="0" w:color="auto"/>
        <w:right w:val="none" w:sz="0" w:space="0" w:color="auto"/>
      </w:divBdr>
    </w:div>
    <w:div w:id="1411462736">
      <w:bodyDiv w:val="1"/>
      <w:marLeft w:val="0"/>
      <w:marRight w:val="0"/>
      <w:marTop w:val="0"/>
      <w:marBottom w:val="0"/>
      <w:divBdr>
        <w:top w:val="none" w:sz="0" w:space="0" w:color="auto"/>
        <w:left w:val="none" w:sz="0" w:space="0" w:color="auto"/>
        <w:bottom w:val="none" w:sz="0" w:space="0" w:color="auto"/>
        <w:right w:val="none" w:sz="0" w:space="0" w:color="auto"/>
      </w:divBdr>
    </w:div>
    <w:div w:id="1430540186">
      <w:bodyDiv w:val="1"/>
      <w:marLeft w:val="0"/>
      <w:marRight w:val="0"/>
      <w:marTop w:val="0"/>
      <w:marBottom w:val="0"/>
      <w:divBdr>
        <w:top w:val="none" w:sz="0" w:space="0" w:color="auto"/>
        <w:left w:val="none" w:sz="0" w:space="0" w:color="auto"/>
        <w:bottom w:val="none" w:sz="0" w:space="0" w:color="auto"/>
        <w:right w:val="none" w:sz="0" w:space="0" w:color="auto"/>
      </w:divBdr>
    </w:div>
    <w:div w:id="1481069893">
      <w:bodyDiv w:val="1"/>
      <w:marLeft w:val="0"/>
      <w:marRight w:val="0"/>
      <w:marTop w:val="0"/>
      <w:marBottom w:val="0"/>
      <w:divBdr>
        <w:top w:val="none" w:sz="0" w:space="0" w:color="auto"/>
        <w:left w:val="none" w:sz="0" w:space="0" w:color="auto"/>
        <w:bottom w:val="none" w:sz="0" w:space="0" w:color="auto"/>
        <w:right w:val="none" w:sz="0" w:space="0" w:color="auto"/>
      </w:divBdr>
    </w:div>
    <w:div w:id="1487629683">
      <w:bodyDiv w:val="1"/>
      <w:marLeft w:val="0"/>
      <w:marRight w:val="0"/>
      <w:marTop w:val="0"/>
      <w:marBottom w:val="0"/>
      <w:divBdr>
        <w:top w:val="none" w:sz="0" w:space="0" w:color="auto"/>
        <w:left w:val="none" w:sz="0" w:space="0" w:color="auto"/>
        <w:bottom w:val="none" w:sz="0" w:space="0" w:color="auto"/>
        <w:right w:val="none" w:sz="0" w:space="0" w:color="auto"/>
      </w:divBdr>
    </w:div>
    <w:div w:id="1504474607">
      <w:bodyDiv w:val="1"/>
      <w:marLeft w:val="0"/>
      <w:marRight w:val="0"/>
      <w:marTop w:val="0"/>
      <w:marBottom w:val="0"/>
      <w:divBdr>
        <w:top w:val="none" w:sz="0" w:space="0" w:color="auto"/>
        <w:left w:val="none" w:sz="0" w:space="0" w:color="auto"/>
        <w:bottom w:val="none" w:sz="0" w:space="0" w:color="auto"/>
        <w:right w:val="none" w:sz="0" w:space="0" w:color="auto"/>
      </w:divBdr>
    </w:div>
    <w:div w:id="1548568486">
      <w:bodyDiv w:val="1"/>
      <w:marLeft w:val="0"/>
      <w:marRight w:val="0"/>
      <w:marTop w:val="0"/>
      <w:marBottom w:val="0"/>
      <w:divBdr>
        <w:top w:val="none" w:sz="0" w:space="0" w:color="auto"/>
        <w:left w:val="none" w:sz="0" w:space="0" w:color="auto"/>
        <w:bottom w:val="none" w:sz="0" w:space="0" w:color="auto"/>
        <w:right w:val="none" w:sz="0" w:space="0" w:color="auto"/>
      </w:divBdr>
    </w:div>
    <w:div w:id="1562861528">
      <w:bodyDiv w:val="1"/>
      <w:marLeft w:val="0"/>
      <w:marRight w:val="0"/>
      <w:marTop w:val="0"/>
      <w:marBottom w:val="0"/>
      <w:divBdr>
        <w:top w:val="none" w:sz="0" w:space="0" w:color="auto"/>
        <w:left w:val="none" w:sz="0" w:space="0" w:color="auto"/>
        <w:bottom w:val="none" w:sz="0" w:space="0" w:color="auto"/>
        <w:right w:val="none" w:sz="0" w:space="0" w:color="auto"/>
      </w:divBdr>
    </w:div>
    <w:div w:id="1670520626">
      <w:bodyDiv w:val="1"/>
      <w:marLeft w:val="0"/>
      <w:marRight w:val="0"/>
      <w:marTop w:val="0"/>
      <w:marBottom w:val="0"/>
      <w:divBdr>
        <w:top w:val="none" w:sz="0" w:space="0" w:color="auto"/>
        <w:left w:val="none" w:sz="0" w:space="0" w:color="auto"/>
        <w:bottom w:val="none" w:sz="0" w:space="0" w:color="auto"/>
        <w:right w:val="none" w:sz="0" w:space="0" w:color="auto"/>
      </w:divBdr>
    </w:div>
    <w:div w:id="1900358373">
      <w:bodyDiv w:val="1"/>
      <w:marLeft w:val="0"/>
      <w:marRight w:val="0"/>
      <w:marTop w:val="0"/>
      <w:marBottom w:val="0"/>
      <w:divBdr>
        <w:top w:val="none" w:sz="0" w:space="0" w:color="auto"/>
        <w:left w:val="none" w:sz="0" w:space="0" w:color="auto"/>
        <w:bottom w:val="none" w:sz="0" w:space="0" w:color="auto"/>
        <w:right w:val="none" w:sz="0" w:space="0" w:color="auto"/>
      </w:divBdr>
    </w:div>
    <w:div w:id="1902449366">
      <w:bodyDiv w:val="1"/>
      <w:marLeft w:val="0"/>
      <w:marRight w:val="0"/>
      <w:marTop w:val="0"/>
      <w:marBottom w:val="0"/>
      <w:divBdr>
        <w:top w:val="none" w:sz="0" w:space="0" w:color="auto"/>
        <w:left w:val="none" w:sz="0" w:space="0" w:color="auto"/>
        <w:bottom w:val="none" w:sz="0" w:space="0" w:color="auto"/>
        <w:right w:val="none" w:sz="0" w:space="0" w:color="auto"/>
      </w:divBdr>
    </w:div>
    <w:div w:id="1908606403">
      <w:bodyDiv w:val="1"/>
      <w:marLeft w:val="0"/>
      <w:marRight w:val="0"/>
      <w:marTop w:val="0"/>
      <w:marBottom w:val="0"/>
      <w:divBdr>
        <w:top w:val="none" w:sz="0" w:space="0" w:color="auto"/>
        <w:left w:val="none" w:sz="0" w:space="0" w:color="auto"/>
        <w:bottom w:val="none" w:sz="0" w:space="0" w:color="auto"/>
        <w:right w:val="none" w:sz="0" w:space="0" w:color="auto"/>
      </w:divBdr>
    </w:div>
    <w:div w:id="1985818059">
      <w:bodyDiv w:val="1"/>
      <w:marLeft w:val="0"/>
      <w:marRight w:val="0"/>
      <w:marTop w:val="0"/>
      <w:marBottom w:val="0"/>
      <w:divBdr>
        <w:top w:val="none" w:sz="0" w:space="0" w:color="auto"/>
        <w:left w:val="none" w:sz="0" w:space="0" w:color="auto"/>
        <w:bottom w:val="none" w:sz="0" w:space="0" w:color="auto"/>
        <w:right w:val="none" w:sz="0" w:space="0" w:color="auto"/>
      </w:divBdr>
    </w:div>
    <w:div w:id="1999072622">
      <w:bodyDiv w:val="1"/>
      <w:marLeft w:val="0"/>
      <w:marRight w:val="0"/>
      <w:marTop w:val="0"/>
      <w:marBottom w:val="0"/>
      <w:divBdr>
        <w:top w:val="none" w:sz="0" w:space="0" w:color="auto"/>
        <w:left w:val="none" w:sz="0" w:space="0" w:color="auto"/>
        <w:bottom w:val="none" w:sz="0" w:space="0" w:color="auto"/>
        <w:right w:val="none" w:sz="0" w:space="0" w:color="auto"/>
      </w:divBdr>
    </w:div>
    <w:div w:id="2035887451">
      <w:bodyDiv w:val="1"/>
      <w:marLeft w:val="0"/>
      <w:marRight w:val="0"/>
      <w:marTop w:val="0"/>
      <w:marBottom w:val="0"/>
      <w:divBdr>
        <w:top w:val="none" w:sz="0" w:space="0" w:color="auto"/>
        <w:left w:val="none" w:sz="0" w:space="0" w:color="auto"/>
        <w:bottom w:val="none" w:sz="0" w:space="0" w:color="auto"/>
        <w:right w:val="none" w:sz="0" w:space="0" w:color="auto"/>
      </w:divBdr>
    </w:div>
    <w:div w:id="205928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6.png"/><Relationship Id="rId42" Type="http://schemas.openxmlformats.org/officeDocument/2006/relationships/image" Target="media/image18.png"/><Relationship Id="rId47" Type="http://schemas.openxmlformats.org/officeDocument/2006/relationships/image" Target="media/image23.png"/><Relationship Id="rId63" Type="http://schemas.openxmlformats.org/officeDocument/2006/relationships/image" Target="media/image39.png"/><Relationship Id="rId68" Type="http://schemas.openxmlformats.org/officeDocument/2006/relationships/image" Target="media/image44.png"/><Relationship Id="rId84" Type="http://schemas.openxmlformats.org/officeDocument/2006/relationships/image" Target="media/image60.png"/><Relationship Id="rId89" Type="http://schemas.openxmlformats.org/officeDocument/2006/relationships/image" Target="media/image65.png"/><Relationship Id="rId16" Type="http://schemas.openxmlformats.org/officeDocument/2006/relationships/header" Target="header3.xml"/><Relationship Id="rId11" Type="http://schemas.openxmlformats.org/officeDocument/2006/relationships/footer" Target="footer2.xml"/><Relationship Id="rId32" Type="http://schemas.openxmlformats.org/officeDocument/2006/relationships/chart" Target="charts/chart7.xml"/><Relationship Id="rId37" Type="http://schemas.openxmlformats.org/officeDocument/2006/relationships/image" Target="media/image13.png"/><Relationship Id="rId53" Type="http://schemas.openxmlformats.org/officeDocument/2006/relationships/image" Target="media/image29.png"/><Relationship Id="rId58" Type="http://schemas.openxmlformats.org/officeDocument/2006/relationships/image" Target="media/image34.png"/><Relationship Id="rId74" Type="http://schemas.openxmlformats.org/officeDocument/2006/relationships/image" Target="media/image50.png"/><Relationship Id="rId79" Type="http://schemas.openxmlformats.org/officeDocument/2006/relationships/image" Target="media/image55.png"/><Relationship Id="rId5" Type="http://schemas.openxmlformats.org/officeDocument/2006/relationships/webSettings" Target="webSettings.xml"/><Relationship Id="rId90" Type="http://schemas.openxmlformats.org/officeDocument/2006/relationships/image" Target="media/image66.png"/><Relationship Id="rId22" Type="http://schemas.openxmlformats.org/officeDocument/2006/relationships/image" Target="media/image7.png"/><Relationship Id="rId27" Type="http://schemas.openxmlformats.org/officeDocument/2006/relationships/chart" Target="charts/chart2.xml"/><Relationship Id="rId43" Type="http://schemas.openxmlformats.org/officeDocument/2006/relationships/image" Target="media/image19.png"/><Relationship Id="rId48" Type="http://schemas.openxmlformats.org/officeDocument/2006/relationships/image" Target="media/image24.png"/><Relationship Id="rId64" Type="http://schemas.openxmlformats.org/officeDocument/2006/relationships/image" Target="media/image40.png"/><Relationship Id="rId69" Type="http://schemas.openxmlformats.org/officeDocument/2006/relationships/image" Target="media/image45.png"/><Relationship Id="rId8" Type="http://schemas.openxmlformats.org/officeDocument/2006/relationships/image" Target="media/image1.png"/><Relationship Id="rId51" Type="http://schemas.openxmlformats.org/officeDocument/2006/relationships/image" Target="media/image27.png"/><Relationship Id="rId72" Type="http://schemas.openxmlformats.org/officeDocument/2006/relationships/image" Target="media/image48.png"/><Relationship Id="rId80" Type="http://schemas.openxmlformats.org/officeDocument/2006/relationships/image" Target="media/image56.png"/><Relationship Id="rId85" Type="http://schemas.openxmlformats.org/officeDocument/2006/relationships/image" Target="media/image61.pn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image" Target="media/image9.png"/><Relationship Id="rId33" Type="http://schemas.openxmlformats.org/officeDocument/2006/relationships/image" Target="media/image11.png"/><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image" Target="media/image35.png"/><Relationship Id="rId67" Type="http://schemas.openxmlformats.org/officeDocument/2006/relationships/image" Target="media/image43.png"/><Relationship Id="rId20" Type="http://schemas.openxmlformats.org/officeDocument/2006/relationships/image" Target="media/image5.png"/><Relationship Id="rId41" Type="http://schemas.openxmlformats.org/officeDocument/2006/relationships/image" Target="media/image17.png"/><Relationship Id="rId54" Type="http://schemas.openxmlformats.org/officeDocument/2006/relationships/image" Target="media/image30.png"/><Relationship Id="rId62" Type="http://schemas.openxmlformats.org/officeDocument/2006/relationships/image" Target="media/image38.png"/><Relationship Id="rId70" Type="http://schemas.openxmlformats.org/officeDocument/2006/relationships/image" Target="media/image46.png"/><Relationship Id="rId75" Type="http://schemas.openxmlformats.org/officeDocument/2006/relationships/image" Target="media/image51.png"/><Relationship Id="rId83" Type="http://schemas.openxmlformats.org/officeDocument/2006/relationships/image" Target="media/image59.png"/><Relationship Id="rId88" Type="http://schemas.openxmlformats.org/officeDocument/2006/relationships/image" Target="media/image64.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8.png"/><Relationship Id="rId28" Type="http://schemas.openxmlformats.org/officeDocument/2006/relationships/chart" Target="charts/chart3.xml"/><Relationship Id="rId36" Type="http://schemas.openxmlformats.org/officeDocument/2006/relationships/image" Target="media/image12.png"/><Relationship Id="rId49" Type="http://schemas.openxmlformats.org/officeDocument/2006/relationships/image" Target="media/image25.png"/><Relationship Id="rId57" Type="http://schemas.openxmlformats.org/officeDocument/2006/relationships/image" Target="media/image33.png"/><Relationship Id="rId10" Type="http://schemas.openxmlformats.org/officeDocument/2006/relationships/footer" Target="footer1.xml"/><Relationship Id="rId31" Type="http://schemas.openxmlformats.org/officeDocument/2006/relationships/chart" Target="charts/chart6.xml"/><Relationship Id="rId44" Type="http://schemas.openxmlformats.org/officeDocument/2006/relationships/image" Target="media/image20.png"/><Relationship Id="rId52" Type="http://schemas.openxmlformats.org/officeDocument/2006/relationships/image" Target="media/image28.png"/><Relationship Id="rId60" Type="http://schemas.openxmlformats.org/officeDocument/2006/relationships/image" Target="media/image36.png"/><Relationship Id="rId65" Type="http://schemas.openxmlformats.org/officeDocument/2006/relationships/image" Target="media/image41.png"/><Relationship Id="rId73" Type="http://schemas.openxmlformats.org/officeDocument/2006/relationships/image" Target="media/image49.png"/><Relationship Id="rId78" Type="http://schemas.openxmlformats.org/officeDocument/2006/relationships/image" Target="media/image54.png"/><Relationship Id="rId81" Type="http://schemas.openxmlformats.org/officeDocument/2006/relationships/image" Target="media/image57.png"/><Relationship Id="rId86" Type="http://schemas.openxmlformats.org/officeDocument/2006/relationships/image" Target="media/image62.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tureng.com/tr/turkce-ingilizce/turkish%20electricity%20trade%20and%20contracting%20corporation" TargetMode="External"/><Relationship Id="rId18" Type="http://schemas.openxmlformats.org/officeDocument/2006/relationships/image" Target="media/image3.png"/><Relationship Id="rId39" Type="http://schemas.openxmlformats.org/officeDocument/2006/relationships/image" Target="media/image15.png"/><Relationship Id="rId34" Type="http://schemas.openxmlformats.org/officeDocument/2006/relationships/chart" Target="charts/chart8.xml"/><Relationship Id="rId50" Type="http://schemas.openxmlformats.org/officeDocument/2006/relationships/image" Target="media/image26.png"/><Relationship Id="rId55" Type="http://schemas.openxmlformats.org/officeDocument/2006/relationships/image" Target="media/image31.png"/><Relationship Id="rId76" Type="http://schemas.openxmlformats.org/officeDocument/2006/relationships/image" Target="media/image52.png"/><Relationship Id="rId7" Type="http://schemas.openxmlformats.org/officeDocument/2006/relationships/endnotes" Target="endnotes.xml"/><Relationship Id="rId71" Type="http://schemas.openxmlformats.org/officeDocument/2006/relationships/image" Target="media/image47.png"/><Relationship Id="rId92" Type="http://schemas.openxmlformats.org/officeDocument/2006/relationships/glossaryDocument" Target="glossary/document.xml"/><Relationship Id="rId2" Type="http://schemas.openxmlformats.org/officeDocument/2006/relationships/numbering" Target="numbering.xml"/><Relationship Id="rId29" Type="http://schemas.openxmlformats.org/officeDocument/2006/relationships/chart" Target="charts/chart4.xml"/><Relationship Id="rId24" Type="http://schemas.openxmlformats.org/officeDocument/2006/relationships/chart" Target="charts/chart1.xml"/><Relationship Id="rId40" Type="http://schemas.openxmlformats.org/officeDocument/2006/relationships/image" Target="media/image16.png"/><Relationship Id="rId45" Type="http://schemas.openxmlformats.org/officeDocument/2006/relationships/image" Target="media/image21.png"/><Relationship Id="rId66" Type="http://schemas.openxmlformats.org/officeDocument/2006/relationships/image" Target="media/image42.png"/><Relationship Id="rId87" Type="http://schemas.openxmlformats.org/officeDocument/2006/relationships/image" Target="media/image63.png"/><Relationship Id="rId61" Type="http://schemas.openxmlformats.org/officeDocument/2006/relationships/image" Target="media/image37.png"/><Relationship Id="rId82" Type="http://schemas.openxmlformats.org/officeDocument/2006/relationships/image" Target="media/image58.png"/><Relationship Id="rId19" Type="http://schemas.openxmlformats.org/officeDocument/2006/relationships/image" Target="media/image4.png"/><Relationship Id="rId14" Type="http://schemas.openxmlformats.org/officeDocument/2006/relationships/header" Target="header2.xml"/><Relationship Id="rId30" Type="http://schemas.openxmlformats.org/officeDocument/2006/relationships/chart" Target="charts/chart5.xml"/><Relationship Id="rId35" Type="http://schemas.openxmlformats.org/officeDocument/2006/relationships/chart" Target="charts/chart9.xml"/><Relationship Id="rId56" Type="http://schemas.openxmlformats.org/officeDocument/2006/relationships/image" Target="media/image32.png"/><Relationship Id="rId77" Type="http://schemas.openxmlformats.org/officeDocument/2006/relationships/image" Target="media/image53.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EPDK-Strateji\2018%20YILI%20EPGR%20&#350;EK&#304;LLER-TABLOLAR%20L&#304;STES&#304;(bilg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EPDK-Strateji\2018%20YILI%20EPGR%20&#350;EK&#304;LLER-TABLOLAR%20L&#304;STES&#304;(bilg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EPDK-Strateji\2018%20YILI%20EPGR%20&#350;EK&#304;LLER-TABLOLAR%20L&#304;STES&#304;(bilge).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EPDK-Strateji\2018%20YILI%20EPGR%20&#350;EK&#304;LLER-TABLOLAR%20L&#304;STES&#304;(bilg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esktop\EPDK-Strateji\2018%20YILI%20EPGR%20&#350;EK&#304;LLER-TABLOLAR%20L&#304;STES&#304;(bilge).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esktop\EPDK-Strateji\2018%20YILI%20EPGR%20&#350;EK&#304;LLER-TABLOLAR%20L&#304;STES&#304;(bilge).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esktop\EPDK-Strateji\2018%20YILI%20EPGR%20&#350;EK&#304;LLER-TABLOLAR%20L&#304;STES&#304;(bilge).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Desktop\EPDK-Strateji\2018%20YILI%20EPGR%20&#350;EK&#304;LLER-TABLOLAR%20L&#304;STES&#304;(bilge).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Desktop\EPDK-Strateji\2018%20YILI%20EPGR%20&#350;EK&#304;LLER-TABLOLAR%20L&#304;STES&#304;(bilg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1"/>
          <c:order val="0"/>
          <c:tx>
            <c:v>THERMAL</c:v>
          </c:tx>
          <c:invertIfNegative val="0"/>
          <c:cat>
            <c:numRef>
              <c:f>'şekil 1.8 YILLAR ÜRETİM'!$D$5:$D$33</c:f>
              <c:numCache>
                <c:formatCode>General</c:formatCode>
                <c:ptCount val="29"/>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numCache>
            </c:numRef>
          </c:cat>
          <c:val>
            <c:numRef>
              <c:f>'şekil 1.8 YILLAR ÜRETİM'!$E$5:$E$33</c:f>
              <c:numCache>
                <c:formatCode>#,##0.00</c:formatCode>
                <c:ptCount val="29"/>
                <c:pt idx="0">
                  <c:v>34314.9</c:v>
                </c:pt>
                <c:pt idx="1">
                  <c:v>37481.699999999997</c:v>
                </c:pt>
                <c:pt idx="2">
                  <c:v>40704.6</c:v>
                </c:pt>
                <c:pt idx="3">
                  <c:v>39779</c:v>
                </c:pt>
                <c:pt idx="4">
                  <c:v>47656.700000000004</c:v>
                </c:pt>
                <c:pt idx="5">
                  <c:v>50620.5</c:v>
                </c:pt>
                <c:pt idx="6">
                  <c:v>54302.8</c:v>
                </c:pt>
                <c:pt idx="7">
                  <c:v>63396.899999999994</c:v>
                </c:pt>
                <c:pt idx="8">
                  <c:v>68702.899999999994</c:v>
                </c:pt>
                <c:pt idx="9">
                  <c:v>81661</c:v>
                </c:pt>
                <c:pt idx="10">
                  <c:v>93934.2</c:v>
                </c:pt>
                <c:pt idx="11">
                  <c:v>98562.8</c:v>
                </c:pt>
                <c:pt idx="12">
                  <c:v>95563.1</c:v>
                </c:pt>
                <c:pt idx="13">
                  <c:v>105101</c:v>
                </c:pt>
                <c:pt idx="14">
                  <c:v>104463.7</c:v>
                </c:pt>
                <c:pt idx="15">
                  <c:v>122242.3</c:v>
                </c:pt>
                <c:pt idx="16">
                  <c:v>131835.1</c:v>
                </c:pt>
                <c:pt idx="17">
                  <c:v>155196.20000000001</c:v>
                </c:pt>
                <c:pt idx="18">
                  <c:v>164139.29999999999</c:v>
                </c:pt>
                <c:pt idx="19">
                  <c:v>156923.4</c:v>
                </c:pt>
                <c:pt idx="20">
                  <c:v>155827.6</c:v>
                </c:pt>
                <c:pt idx="21">
                  <c:v>171638.3</c:v>
                </c:pt>
                <c:pt idx="22">
                  <c:v>174871.7</c:v>
                </c:pt>
                <c:pt idx="23">
                  <c:v>171812.5</c:v>
                </c:pt>
                <c:pt idx="24">
                  <c:v>200416.6</c:v>
                </c:pt>
                <c:pt idx="25">
                  <c:v>177865.58387782855</c:v>
                </c:pt>
                <c:pt idx="26">
                  <c:v>182750.688295</c:v>
                </c:pt>
                <c:pt idx="27">
                  <c:v>208307.15358399999</c:v>
                </c:pt>
                <c:pt idx="28">
                  <c:v>205526.20925799996</c:v>
                </c:pt>
              </c:numCache>
            </c:numRef>
          </c:val>
          <c:extLst xmlns:c16r2="http://schemas.microsoft.com/office/drawing/2015/06/chart">
            <c:ext xmlns:c16="http://schemas.microsoft.com/office/drawing/2014/chart" uri="{C3380CC4-5D6E-409C-BE32-E72D297353CC}">
              <c16:uniqueId val="{00000000-1CE0-4BD6-99E3-6FDFC48259D5}"/>
            </c:ext>
          </c:extLst>
        </c:ser>
        <c:ser>
          <c:idx val="2"/>
          <c:order val="1"/>
          <c:tx>
            <c:v>HYDRO</c:v>
          </c:tx>
          <c:invertIfNegative val="0"/>
          <c:cat>
            <c:numRef>
              <c:f>'şekil 1.8 YILLAR ÜRETİM'!$D$5:$D$33</c:f>
              <c:numCache>
                <c:formatCode>General</c:formatCode>
                <c:ptCount val="29"/>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numCache>
            </c:numRef>
          </c:cat>
          <c:val>
            <c:numRef>
              <c:f>'şekil 1.8 YILLAR ÜRETİM'!$F$5:$F$33</c:f>
              <c:numCache>
                <c:formatCode>#,##0.00</c:formatCode>
                <c:ptCount val="29"/>
                <c:pt idx="0">
                  <c:v>23148</c:v>
                </c:pt>
                <c:pt idx="1">
                  <c:v>22683.3</c:v>
                </c:pt>
                <c:pt idx="2">
                  <c:v>26568</c:v>
                </c:pt>
                <c:pt idx="3">
                  <c:v>33950.9</c:v>
                </c:pt>
                <c:pt idx="4">
                  <c:v>30585.9</c:v>
                </c:pt>
                <c:pt idx="5">
                  <c:v>35540.9</c:v>
                </c:pt>
                <c:pt idx="6">
                  <c:v>40475.199999999997</c:v>
                </c:pt>
                <c:pt idx="7">
                  <c:v>39816.1</c:v>
                </c:pt>
                <c:pt idx="8">
                  <c:v>42229</c:v>
                </c:pt>
                <c:pt idx="9">
                  <c:v>34677.5</c:v>
                </c:pt>
                <c:pt idx="10">
                  <c:v>30878.5</c:v>
                </c:pt>
                <c:pt idx="11">
                  <c:v>24009.9</c:v>
                </c:pt>
                <c:pt idx="12">
                  <c:v>33683.800000000003</c:v>
                </c:pt>
                <c:pt idx="13">
                  <c:v>35329.5</c:v>
                </c:pt>
                <c:pt idx="14">
                  <c:v>46083.7</c:v>
                </c:pt>
                <c:pt idx="15">
                  <c:v>39560.5</c:v>
                </c:pt>
                <c:pt idx="16">
                  <c:v>44244.2</c:v>
                </c:pt>
                <c:pt idx="17">
                  <c:v>35850.800000000003</c:v>
                </c:pt>
                <c:pt idx="18">
                  <c:v>33269.800000000003</c:v>
                </c:pt>
                <c:pt idx="19">
                  <c:v>35958.400000000001</c:v>
                </c:pt>
                <c:pt idx="20">
                  <c:v>51795.5</c:v>
                </c:pt>
                <c:pt idx="21">
                  <c:v>52338.6</c:v>
                </c:pt>
                <c:pt idx="22">
                  <c:v>57865</c:v>
                </c:pt>
                <c:pt idx="23">
                  <c:v>59420.5</c:v>
                </c:pt>
                <c:pt idx="24">
                  <c:v>40644.699999999997</c:v>
                </c:pt>
                <c:pt idx="25">
                  <c:v>66903.179992157573</c:v>
                </c:pt>
                <c:pt idx="26">
                  <c:v>67303.060383000004</c:v>
                </c:pt>
                <c:pt idx="27">
                  <c:v>58408.456842</c:v>
                </c:pt>
                <c:pt idx="28">
                  <c:v>59937.429614000001</c:v>
                </c:pt>
              </c:numCache>
            </c:numRef>
          </c:val>
          <c:extLst xmlns:c16r2="http://schemas.microsoft.com/office/drawing/2015/06/chart">
            <c:ext xmlns:c16="http://schemas.microsoft.com/office/drawing/2014/chart" uri="{C3380CC4-5D6E-409C-BE32-E72D297353CC}">
              <c16:uniqueId val="{00000001-1CE0-4BD6-99E3-6FDFC48259D5}"/>
            </c:ext>
          </c:extLst>
        </c:ser>
        <c:ser>
          <c:idx val="3"/>
          <c:order val="2"/>
          <c:tx>
            <c:v>GEOTHERMAL+WIND+SOLAR+BİOMASS</c:v>
          </c:tx>
          <c:invertIfNegative val="0"/>
          <c:cat>
            <c:numRef>
              <c:f>'şekil 1.8 YILLAR ÜRETİM'!$D$5:$D$33</c:f>
              <c:numCache>
                <c:formatCode>General</c:formatCode>
                <c:ptCount val="29"/>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numCache>
            </c:numRef>
          </c:cat>
          <c:val>
            <c:numRef>
              <c:f>'şekil 1.8 YILLAR ÜRETİM'!$G$5:$G$33</c:f>
              <c:numCache>
                <c:formatCode>#,##0.00</c:formatCode>
                <c:ptCount val="29"/>
                <c:pt idx="0">
                  <c:v>80.099999999999994</c:v>
                </c:pt>
                <c:pt idx="1">
                  <c:v>81.3</c:v>
                </c:pt>
                <c:pt idx="2">
                  <c:v>69.599999999999994</c:v>
                </c:pt>
                <c:pt idx="3">
                  <c:v>77.599999999999994</c:v>
                </c:pt>
                <c:pt idx="4">
                  <c:v>79.099999999999994</c:v>
                </c:pt>
                <c:pt idx="5">
                  <c:v>86</c:v>
                </c:pt>
                <c:pt idx="6">
                  <c:v>83.7</c:v>
                </c:pt>
                <c:pt idx="7">
                  <c:v>82.8</c:v>
                </c:pt>
                <c:pt idx="8">
                  <c:v>90.5</c:v>
                </c:pt>
                <c:pt idx="9">
                  <c:v>101.4</c:v>
                </c:pt>
                <c:pt idx="10">
                  <c:v>108.9</c:v>
                </c:pt>
                <c:pt idx="11">
                  <c:v>152</c:v>
                </c:pt>
                <c:pt idx="12">
                  <c:v>152.6</c:v>
                </c:pt>
                <c:pt idx="13">
                  <c:v>150</c:v>
                </c:pt>
                <c:pt idx="14">
                  <c:v>150.9</c:v>
                </c:pt>
                <c:pt idx="15">
                  <c:v>153.4</c:v>
                </c:pt>
                <c:pt idx="16">
                  <c:v>220.5</c:v>
                </c:pt>
                <c:pt idx="17">
                  <c:v>511.1</c:v>
                </c:pt>
                <c:pt idx="18">
                  <c:v>1008.9</c:v>
                </c:pt>
                <c:pt idx="19">
                  <c:v>1931.1000000000001</c:v>
                </c:pt>
                <c:pt idx="20">
                  <c:v>3584.6</c:v>
                </c:pt>
                <c:pt idx="21">
                  <c:v>5418.2</c:v>
                </c:pt>
                <c:pt idx="22">
                  <c:v>6760.1</c:v>
                </c:pt>
                <c:pt idx="23">
                  <c:v>8921</c:v>
                </c:pt>
                <c:pt idx="24">
                  <c:v>10901.5</c:v>
                </c:pt>
                <c:pt idx="25">
                  <c:v>14921.541783299999</c:v>
                </c:pt>
                <c:pt idx="26">
                  <c:v>22510.216071999999</c:v>
                </c:pt>
                <c:pt idx="27">
                  <c:v>25858.967665</c:v>
                </c:pt>
                <c:pt idx="28">
                  <c:v>29978.508907000003</c:v>
                </c:pt>
              </c:numCache>
            </c:numRef>
          </c:val>
          <c:extLst xmlns:c16r2="http://schemas.microsoft.com/office/drawing/2015/06/chart">
            <c:ext xmlns:c16="http://schemas.microsoft.com/office/drawing/2014/chart" uri="{C3380CC4-5D6E-409C-BE32-E72D297353CC}">
              <c16:uniqueId val="{00000002-1CE0-4BD6-99E3-6FDFC48259D5}"/>
            </c:ext>
          </c:extLst>
        </c:ser>
        <c:dLbls>
          <c:showLegendKey val="0"/>
          <c:showVal val="0"/>
          <c:showCatName val="0"/>
          <c:showSerName val="0"/>
          <c:showPercent val="0"/>
          <c:showBubbleSize val="0"/>
        </c:dLbls>
        <c:gapWidth val="150"/>
        <c:overlap val="100"/>
        <c:axId val="627911808"/>
        <c:axId val="627915168"/>
      </c:barChart>
      <c:catAx>
        <c:axId val="627911808"/>
        <c:scaling>
          <c:orientation val="minMax"/>
        </c:scaling>
        <c:delete val="0"/>
        <c:axPos val="b"/>
        <c:numFmt formatCode="General" sourceLinked="1"/>
        <c:majorTickMark val="out"/>
        <c:minorTickMark val="none"/>
        <c:tickLblPos val="nextTo"/>
        <c:crossAx val="627915168"/>
        <c:crosses val="autoZero"/>
        <c:auto val="1"/>
        <c:lblAlgn val="ctr"/>
        <c:lblOffset val="100"/>
        <c:noMultiLvlLbl val="0"/>
      </c:catAx>
      <c:valAx>
        <c:axId val="627915168"/>
        <c:scaling>
          <c:orientation val="minMax"/>
        </c:scaling>
        <c:delete val="0"/>
        <c:axPos val="l"/>
        <c:majorGridlines/>
        <c:title>
          <c:tx>
            <c:rich>
              <a:bodyPr rot="-5400000" vert="horz"/>
              <a:lstStyle/>
              <a:p>
                <a:pPr>
                  <a:defRPr/>
                </a:pPr>
                <a:r>
                  <a:rPr lang="en-US"/>
                  <a:t>GWh</a:t>
                </a:r>
              </a:p>
            </c:rich>
          </c:tx>
          <c:overlay val="0"/>
        </c:title>
        <c:numFmt formatCode="#,##0.00" sourceLinked="1"/>
        <c:majorTickMark val="out"/>
        <c:minorTickMark val="none"/>
        <c:tickLblPos val="nextTo"/>
        <c:crossAx val="627911808"/>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1.925624122566074E-3"/>
          <c:y val="0.10775086235239703"/>
          <c:w val="0.82799145299145294"/>
          <c:h val="0.80148323564817558"/>
        </c:manualLayout>
      </c:layout>
      <c:pie3DChart>
        <c:varyColors val="1"/>
        <c:ser>
          <c:idx val="0"/>
          <c:order val="0"/>
          <c:explosion val="25"/>
          <c:dLbls>
            <c:dLbl>
              <c:idx val="0"/>
              <c:layout>
                <c:manualLayout>
                  <c:x val="-0.10244165425267787"/>
                  <c:y val="7.7136822865294705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8146-42A0-9F62-6066E081D6B8}"/>
                </c:ext>
                <c:ext xmlns:c15="http://schemas.microsoft.com/office/drawing/2012/chart" uri="{CE6537A1-D6FC-4f65-9D91-7224C49458BB}"/>
              </c:extLst>
            </c:dLbl>
            <c:dLbl>
              <c:idx val="1"/>
              <c:layout>
                <c:manualLayout>
                  <c:x val="1.2595272437792122E-3"/>
                  <c:y val="-0.11234286796952929"/>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8146-42A0-9F62-6066E081D6B8}"/>
                </c:ext>
                <c:ext xmlns:c15="http://schemas.microsoft.com/office/drawing/2012/chart" uri="{CE6537A1-D6FC-4f65-9D91-7224C49458BB}"/>
              </c:extLst>
            </c:dLbl>
            <c:dLbl>
              <c:idx val="2"/>
              <c:layout>
                <c:manualLayout>
                  <c:x val="-3.3033033033033035E-4"/>
                  <c:y val="-4.2251756746967135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2-8146-42A0-9F62-6066E081D6B8}"/>
                </c:ext>
                <c:ext xmlns:c15="http://schemas.microsoft.com/office/drawing/2012/chart" uri="{CE6537A1-D6FC-4f65-9D91-7224C49458BB}"/>
              </c:extLst>
            </c:dLbl>
            <c:dLbl>
              <c:idx val="3"/>
              <c:layout>
                <c:manualLayout>
                  <c:x val="1.6098699871818348E-2"/>
                  <c:y val="-7.4112041727268166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8146-42A0-9F62-6066E081D6B8}"/>
                </c:ext>
                <c:ext xmlns:c15="http://schemas.microsoft.com/office/drawing/2012/chart" uri="{CE6537A1-D6FC-4f65-9D91-7224C49458BB}"/>
              </c:extLst>
            </c:dLbl>
            <c:dLbl>
              <c:idx val="4"/>
              <c:layout>
                <c:manualLayout>
                  <c:x val="0"/>
                  <c:y val="-9.5172498342165832E-3"/>
                </c:manualLayout>
              </c:layout>
              <c:tx>
                <c:rich>
                  <a:bodyPr/>
                  <a:lstStyle/>
                  <a:p>
                    <a:r>
                      <a:rPr lang="en-US"/>
                      <a:t>İSKENDERUN EN.ÜR.VE TİC.A.Ş. 3,38%</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4-8146-42A0-9F62-6066E081D6B8}"/>
                </c:ext>
                <c:ext xmlns:c15="http://schemas.microsoft.com/office/drawing/2012/chart" uri="{CE6537A1-D6FC-4f65-9D91-7224C49458BB}"/>
              </c:extLst>
            </c:dLbl>
            <c:dLbl>
              <c:idx val="5"/>
              <c:layout>
                <c:manualLayout>
                  <c:x val="-6.6710919855948242E-3"/>
                  <c:y val="5.2785885840703033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8146-42A0-9F62-6066E081D6B8}"/>
                </c:ext>
                <c:ext xmlns:c15="http://schemas.microsoft.com/office/drawing/2012/chart" uri="{CE6537A1-D6FC-4f65-9D91-7224C49458BB}"/>
              </c:extLst>
            </c:dLbl>
            <c:dLbl>
              <c:idx val="6"/>
              <c:layout>
                <c:manualLayout>
                  <c:x val="6.8981261063297314E-2"/>
                  <c:y val="0.10009640514680888"/>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6-8146-42A0-9F62-6066E081D6B8}"/>
                </c:ext>
                <c:ext xmlns:c15="http://schemas.microsoft.com/office/drawing/2012/chart" uri="{CE6537A1-D6FC-4f65-9D91-7224C49458BB}"/>
              </c:extLst>
            </c:dLbl>
            <c:dLbl>
              <c:idx val="8"/>
              <c:layout>
                <c:manualLayout>
                  <c:x val="-2.7839757675639381E-2"/>
                  <c:y val="0.1063454647786861"/>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8146-42A0-9F62-6066E081D6B8}"/>
                </c:ext>
                <c:ext xmlns:c15="http://schemas.microsoft.com/office/drawing/2012/chart" uri="{CE6537A1-D6FC-4f65-9D91-7224C49458BB}"/>
              </c:extLst>
            </c:dLbl>
            <c:dLbl>
              <c:idx val="9"/>
              <c:layout>
                <c:manualLayout>
                  <c:x val="-0.1862120032960996"/>
                  <c:y val="5.4991501858446042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8-8146-42A0-9F62-6066E081D6B8}"/>
                </c:ext>
                <c:ext xmlns:c15="http://schemas.microsoft.com/office/drawing/2012/chart" uri="{CE6537A1-D6FC-4f65-9D91-7224C49458BB}"/>
              </c:extLst>
            </c:dLbl>
            <c:dLbl>
              <c:idx val="10"/>
              <c:layout>
                <c:manualLayout>
                  <c:x val="0.11903407344352226"/>
                  <c:y val="-9.2873486355606827E-2"/>
                </c:manualLayout>
              </c:layout>
              <c:tx>
                <c:rich>
                  <a:bodyPr/>
                  <a:lstStyle/>
                  <a:p>
                    <a:r>
                      <a:rPr lang="en-US"/>
                      <a:t>OTHERS</a:t>
                    </a:r>
                    <a:r>
                      <a:rPr lang="en-US" baseline="0"/>
                      <a:t>
53,43%</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8146-42A0-9F62-6066E081D6B8}"/>
                </c:ext>
                <c:ext xmlns:c15="http://schemas.microsoft.com/office/drawing/2012/chart" uri="{CE6537A1-D6FC-4f65-9D91-7224C49458BB}"/>
              </c:extLst>
            </c:dLbl>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'[LİSANSLI ÜRETİM İLK 10 ŞİRKET.xlsx]Sayfa2'!$A$2:$A$12</c:f>
              <c:strCache>
                <c:ptCount val="11"/>
                <c:pt idx="0">
                  <c:v>EÜAŞ</c:v>
                </c:pt>
                <c:pt idx="1">
                  <c:v>EREN EN.EL.ÜR.A.Ş.   </c:v>
                </c:pt>
                <c:pt idx="2">
                  <c:v>ENERJİSA EN.ÜR.A.Ş.   </c:v>
                </c:pt>
                <c:pt idx="3">
                  <c:v>CENAL EL.ÜR.A.Ş.    </c:v>
                </c:pt>
                <c:pt idx="4">
                  <c:v>İSKENDERUN EN.ÜR.VE TİC.A.Ş.    </c:v>
                </c:pt>
                <c:pt idx="5">
                  <c:v>İZMİR EL.ÜR.LTD.ŞTİ.   </c:v>
                </c:pt>
                <c:pt idx="6">
                  <c:v>İÇDAŞ EL.EN.ÜR.VE YAT.A.Ş. </c:v>
                </c:pt>
                <c:pt idx="7">
                  <c:v>GEBZE EL.ÜR.LTD.ŞTİ.   </c:v>
                </c:pt>
                <c:pt idx="8">
                  <c:v>ATLAS EN.ÜR.SAN.A.Ş.   </c:v>
                </c:pt>
                <c:pt idx="9">
                  <c:v>YENİKÖY KEMERKÖY EL.ÜR.VE TİC.A.Ş.   </c:v>
                </c:pt>
                <c:pt idx="10">
                  <c:v>DİĞERLERİ</c:v>
                </c:pt>
              </c:strCache>
            </c:strRef>
          </c:cat>
          <c:val>
            <c:numRef>
              <c:f>'[LİSANSLI ÜRETİM İLK 10 ŞİRKET.xlsx]Sayfa2'!$B$2:$B$12</c:f>
              <c:numCache>
                <c:formatCode>General</c:formatCode>
                <c:ptCount val="11"/>
                <c:pt idx="0">
                  <c:v>43345050.461948678</c:v>
                </c:pt>
                <c:pt idx="1">
                  <c:v>16990225</c:v>
                </c:pt>
                <c:pt idx="2">
                  <c:v>11495913.860270625</c:v>
                </c:pt>
                <c:pt idx="3">
                  <c:v>10141759.0015755</c:v>
                </c:pt>
                <c:pt idx="4">
                  <c:v>9886047</c:v>
                </c:pt>
                <c:pt idx="5">
                  <c:v>9624045.5999999009</c:v>
                </c:pt>
                <c:pt idx="6">
                  <c:v>9489334</c:v>
                </c:pt>
                <c:pt idx="7">
                  <c:v>9128968</c:v>
                </c:pt>
                <c:pt idx="8">
                  <c:v>8733277.9500732403</c:v>
                </c:pt>
                <c:pt idx="9">
                  <c:v>7523825</c:v>
                </c:pt>
                <c:pt idx="10">
                  <c:v>156420651.2673656</c:v>
                </c:pt>
              </c:numCache>
            </c:numRef>
          </c:val>
          <c:extLst xmlns:c16r2="http://schemas.microsoft.com/office/drawing/2015/06/chart">
            <c:ext xmlns:c16="http://schemas.microsoft.com/office/drawing/2014/chart" uri="{C3380CC4-5D6E-409C-BE32-E72D297353CC}">
              <c16:uniqueId val="{0000000A-8146-42A0-9F62-6066E081D6B8}"/>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explosion val="25"/>
          <c:dLbls>
            <c:dLbl>
              <c:idx val="0"/>
              <c:layout>
                <c:manualLayout>
                  <c:x val="-3.7779957539437262E-2"/>
                  <c:y val="-5.826481634547063E-3"/>
                </c:manualLayout>
              </c:layout>
              <c:tx>
                <c:rich>
                  <a:bodyPr/>
                  <a:lstStyle/>
                  <a:p>
                    <a:r>
                      <a:rPr lang="en-US"/>
                      <a:t>RUN OF RIVER</a:t>
                    </a:r>
                    <a:r>
                      <a:rPr lang="en-US" baseline="0"/>
                      <a:t>
9,32%</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534B-4189-A3FD-2C3DF6B4C565}"/>
                </c:ext>
                <c:ext xmlns:c15="http://schemas.microsoft.com/office/drawing/2012/chart" uri="{CE6537A1-D6FC-4f65-9D91-7224C49458BB}"/>
              </c:extLst>
            </c:dLbl>
            <c:dLbl>
              <c:idx val="1"/>
              <c:tx>
                <c:rich>
                  <a:bodyPr/>
                  <a:lstStyle/>
                  <a:p>
                    <a:r>
                      <a:rPr lang="en-US"/>
                      <a:t>ASPHALTITE COAL</a:t>
                    </a:r>
                    <a:r>
                      <a:rPr lang="en-US" baseline="0"/>
                      <a:t>
0,49%</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534B-4189-A3FD-2C3DF6B4C565}"/>
                </c:ext>
                <c:ext xmlns:c15="http://schemas.microsoft.com/office/drawing/2012/chart" uri="{CE6537A1-D6FC-4f65-9D91-7224C49458BB}"/>
              </c:extLst>
            </c:dLbl>
            <c:dLbl>
              <c:idx val="2"/>
              <c:tx>
                <c:rich>
                  <a:bodyPr/>
                  <a:lstStyle/>
                  <a:p>
                    <a:r>
                      <a:rPr lang="en-US"/>
                      <a:t>HYDRO DAM</a:t>
                    </a:r>
                    <a:r>
                      <a:rPr lang="en-US" baseline="0"/>
                      <a:t>
24,69%</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2-534B-4189-A3FD-2C3DF6B4C565}"/>
                </c:ext>
                <c:ext xmlns:c15="http://schemas.microsoft.com/office/drawing/2012/chart" uri="{CE6537A1-D6FC-4f65-9D91-7224C49458BB}"/>
              </c:extLst>
            </c:dLbl>
            <c:dLbl>
              <c:idx val="3"/>
              <c:tx>
                <c:rich>
                  <a:bodyPr/>
                  <a:lstStyle/>
                  <a:p>
                    <a:r>
                      <a:rPr lang="en-US"/>
                      <a:t>BIOMASS</a:t>
                    </a:r>
                    <a:r>
                      <a:rPr lang="en-US" baseline="0"/>
                      <a:t>
0,71%</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534B-4189-A3FD-2C3DF6B4C565}"/>
                </c:ext>
                <c:ext xmlns:c15="http://schemas.microsoft.com/office/drawing/2012/chart" uri="{CE6537A1-D6FC-4f65-9D91-7224C49458BB}"/>
              </c:extLst>
            </c:dLbl>
            <c:dLbl>
              <c:idx val="4"/>
              <c:tx>
                <c:rich>
                  <a:bodyPr/>
                  <a:lstStyle/>
                  <a:p>
                    <a:r>
                      <a:rPr lang="en-US" baseline="0"/>
                      <a:t>NATURAL GAS
30,93%</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4-534B-4189-A3FD-2C3DF6B4C565}"/>
                </c:ext>
                <c:ext xmlns:c15="http://schemas.microsoft.com/office/drawing/2012/chart" uri="{CE6537A1-D6FC-4f65-9D91-7224C49458BB}"/>
              </c:extLst>
            </c:dLbl>
            <c:dLbl>
              <c:idx val="6"/>
              <c:tx>
                <c:rich>
                  <a:bodyPr/>
                  <a:lstStyle/>
                  <a:p>
                    <a:r>
                      <a:rPr lang="en-US"/>
                      <a:t>SOLAR</a:t>
                    </a:r>
                    <a:r>
                      <a:rPr lang="en-US" baseline="0"/>
                      <a:t>
0,10%</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534B-4189-A3FD-2C3DF6B4C565}"/>
                </c:ext>
                <c:ext xmlns:c15="http://schemas.microsoft.com/office/drawing/2012/chart" uri="{CE6537A1-D6FC-4f65-9D91-7224C49458BB}"/>
              </c:extLst>
            </c:dLbl>
            <c:dLbl>
              <c:idx val="7"/>
              <c:tx>
                <c:rich>
                  <a:bodyPr/>
                  <a:lstStyle/>
                  <a:p>
                    <a:r>
                      <a:rPr lang="en-US"/>
                      <a:t>IMPORTED COAL</a:t>
                    </a:r>
                    <a:r>
                      <a:rPr lang="en-US" baseline="0"/>
                      <a:t>
10,75%</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6-534B-4189-A3FD-2C3DF6B4C565}"/>
                </c:ext>
                <c:ext xmlns:c15="http://schemas.microsoft.com/office/drawing/2012/chart" uri="{CE6537A1-D6FC-4f65-9D91-7224C49458BB}"/>
              </c:extLst>
            </c:dLbl>
            <c:dLbl>
              <c:idx val="8"/>
              <c:layout>
                <c:manualLayout>
                  <c:x val="1.7252843394575678E-3"/>
                  <c:y val="-2.8214498049622252E-2"/>
                </c:manualLayout>
              </c:layout>
              <c:tx>
                <c:rich>
                  <a:bodyPr/>
                  <a:lstStyle/>
                  <a:p>
                    <a:r>
                      <a:rPr lang="en-US"/>
                      <a:t>GEOTHERMAL</a:t>
                    </a:r>
                    <a:r>
                      <a:rPr lang="en-US" baseline="0"/>
                      <a:t>
1,54%</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534B-4189-A3FD-2C3DF6B4C565}"/>
                </c:ext>
                <c:ext xmlns:c15="http://schemas.microsoft.com/office/drawing/2012/chart" uri="{CE6537A1-D6FC-4f65-9D91-7224C49458BB}"/>
              </c:extLst>
            </c:dLbl>
            <c:dLbl>
              <c:idx val="9"/>
              <c:tx>
                <c:rich>
                  <a:bodyPr/>
                  <a:lstStyle/>
                  <a:p>
                    <a:r>
                      <a:rPr lang="en-US"/>
                      <a:t>LIGNITE</a:t>
                    </a:r>
                    <a:r>
                      <a:rPr lang="en-US" baseline="0"/>
                      <a:t>
11,54%</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8-534B-4189-A3FD-2C3DF6B4C565}"/>
                </c:ext>
                <c:ext xmlns:c15="http://schemas.microsoft.com/office/drawing/2012/chart" uri="{CE6537A1-D6FC-4f65-9D91-7224C49458BB}"/>
              </c:extLst>
            </c:dLbl>
            <c:dLbl>
              <c:idx val="11"/>
              <c:layout>
                <c:manualLayout>
                  <c:x val="-0.12777510705898604"/>
                  <c:y val="-1.1084236017459144E-2"/>
                </c:manualLayout>
              </c:layout>
              <c:tx>
                <c:rich>
                  <a:bodyPr/>
                  <a:lstStyle/>
                  <a:p>
                    <a:r>
                      <a:rPr lang="en-US"/>
                      <a:t>DIESEL</a:t>
                    </a:r>
                    <a:r>
                      <a:rPr lang="en-US" baseline="0"/>
                      <a:t>
0,00%</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534B-4189-A3FD-2C3DF6B4C565}"/>
                </c:ext>
                <c:ext xmlns:c15="http://schemas.microsoft.com/office/drawing/2012/chart" uri="{CE6537A1-D6FC-4f65-9D91-7224C49458BB}"/>
              </c:extLst>
            </c:dLbl>
            <c:dLbl>
              <c:idx val="12"/>
              <c:layout>
                <c:manualLayout>
                  <c:x val="9.379932457248305E-2"/>
                  <c:y val="-4.055016603587535E-2"/>
                </c:manualLayout>
              </c:layout>
              <c:tx>
                <c:rich>
                  <a:bodyPr/>
                  <a:lstStyle/>
                  <a:p>
                    <a:r>
                      <a:rPr lang="en-US"/>
                      <a:t>NAPHTA</a:t>
                    </a:r>
                    <a:r>
                      <a:rPr lang="en-US" baseline="0"/>
                      <a:t>
0,01%</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A-534B-4189-A3FD-2C3DF6B4C565}"/>
                </c:ext>
                <c:ext xmlns:c15="http://schemas.microsoft.com/office/drawing/2012/chart" uri="{CE6537A1-D6FC-4f65-9D91-7224C49458BB}"/>
              </c:extLst>
            </c:dLbl>
            <c:dLbl>
              <c:idx val="13"/>
              <c:tx>
                <c:rich>
                  <a:bodyPr/>
                  <a:lstStyle/>
                  <a:p>
                    <a:r>
                      <a:rPr lang="en-US"/>
                      <a:t>WIND</a:t>
                    </a:r>
                    <a:r>
                      <a:rPr lang="en-US" baseline="0"/>
                      <a:t>
8,35%</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B-534B-4189-A3FD-2C3DF6B4C565}"/>
                </c:ext>
                <c:ext xmlns:c15="http://schemas.microsoft.com/office/drawing/2012/chart" uri="{CE6537A1-D6FC-4f65-9D91-7224C49458BB}"/>
              </c:extLst>
            </c:dLbl>
            <c:dLbl>
              <c:idx val="14"/>
              <c:tx>
                <c:rich>
                  <a:bodyPr/>
                  <a:lstStyle/>
                  <a:p>
                    <a:r>
                      <a:rPr lang="en-US"/>
                      <a:t>HARD COAL</a:t>
                    </a:r>
                    <a:r>
                      <a:rPr lang="en-US" baseline="0"/>
                      <a:t>
0,74%</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C-534B-4189-A3FD-2C3DF6B4C565}"/>
                </c:ext>
                <c:ext xmlns:c15="http://schemas.microsoft.com/office/drawing/2012/chart" uri="{CE6537A1-D6FC-4f65-9D91-7224C49458BB}"/>
              </c:extLst>
            </c:dLbl>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'şekil 1.12 kaynak KG'!$A$3:$A$17</c:f>
              <c:strCache>
                <c:ptCount val="15"/>
                <c:pt idx="0">
                  <c:v>AKARSU</c:v>
                </c:pt>
                <c:pt idx="1">
                  <c:v>ASFALTİT KÖMÜR</c:v>
                </c:pt>
                <c:pt idx="2">
                  <c:v>BARAJLI</c:v>
                </c:pt>
                <c:pt idx="3">
                  <c:v>BİYOKÜTLE</c:v>
                </c:pt>
                <c:pt idx="4">
                  <c:v>DOĞAL GAZ</c:v>
                </c:pt>
                <c:pt idx="5">
                  <c:v>FUEL OİL</c:v>
                </c:pt>
                <c:pt idx="6">
                  <c:v>GÜNEŞ</c:v>
                </c:pt>
                <c:pt idx="7">
                  <c:v>İTHAL KÖMÜR</c:v>
                </c:pt>
                <c:pt idx="8">
                  <c:v>JEOTERMAL</c:v>
                </c:pt>
                <c:pt idx="9">
                  <c:v>LİNYİT</c:v>
                </c:pt>
                <c:pt idx="10">
                  <c:v>LNG</c:v>
                </c:pt>
                <c:pt idx="11">
                  <c:v>MOTORİN</c:v>
                </c:pt>
                <c:pt idx="12">
                  <c:v>NAFTA</c:v>
                </c:pt>
                <c:pt idx="13">
                  <c:v>RÜZGAR</c:v>
                </c:pt>
                <c:pt idx="14">
                  <c:v>TAŞ KÖMÜR</c:v>
                </c:pt>
              </c:strCache>
            </c:strRef>
          </c:cat>
          <c:val>
            <c:numRef>
              <c:f>'şekil 1.12 kaynak KG'!$B$3:$B$17</c:f>
              <c:numCache>
                <c:formatCode>#,##0.00</c:formatCode>
                <c:ptCount val="15"/>
                <c:pt idx="0">
                  <c:v>7748.9019927978516</c:v>
                </c:pt>
                <c:pt idx="1">
                  <c:v>405</c:v>
                </c:pt>
                <c:pt idx="2">
                  <c:v>20534.803910732269</c:v>
                </c:pt>
                <c:pt idx="3">
                  <c:v>590.9199985191226</c:v>
                </c:pt>
                <c:pt idx="4">
                  <c:v>25731.926023960114</c:v>
                </c:pt>
                <c:pt idx="5">
                  <c:v>709.20999455451965</c:v>
                </c:pt>
                <c:pt idx="6">
                  <c:v>81.657999515533447</c:v>
                </c:pt>
                <c:pt idx="7">
                  <c:v>8938.849999666214</c:v>
                </c:pt>
                <c:pt idx="8">
                  <c:v>1282.5180025100708</c:v>
                </c:pt>
                <c:pt idx="9">
                  <c:v>9597.1240019500256</c:v>
                </c:pt>
                <c:pt idx="10">
                  <c:v>1.9500000476837158</c:v>
                </c:pt>
                <c:pt idx="11">
                  <c:v>1.0399999618530273</c:v>
                </c:pt>
                <c:pt idx="12">
                  <c:v>4.7360000610351562</c:v>
                </c:pt>
                <c:pt idx="13">
                  <c:v>6942.2660143971443</c:v>
                </c:pt>
                <c:pt idx="14">
                  <c:v>616.14599609375</c:v>
                </c:pt>
              </c:numCache>
            </c:numRef>
          </c:val>
          <c:extLst xmlns:c16r2="http://schemas.microsoft.com/office/drawing/2015/06/chart">
            <c:ext xmlns:c16="http://schemas.microsoft.com/office/drawing/2014/chart" uri="{C3380CC4-5D6E-409C-BE32-E72D297353CC}">
              <c16:uniqueId val="{0000000D-534B-4189-A3FD-2C3DF6B4C565}"/>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explosion val="25"/>
          <c:dLbls>
            <c:dLbl>
              <c:idx val="0"/>
              <c:layout>
                <c:manualLayout>
                  <c:x val="-0.27136422334419574"/>
                  <c:y val="-0.10852133308917787"/>
                </c:manualLayout>
              </c:layout>
              <c:tx>
                <c:rich>
                  <a:bodyPr/>
                  <a:lstStyle/>
                  <a:p>
                    <a:r>
                      <a:rPr lang="en-US"/>
                      <a:t>INDEPENDENT GENERATION COMPANY</a:t>
                    </a:r>
                    <a:r>
                      <a:rPr lang="en-US" baseline="0"/>
                      <a:t>
64,73%</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797D-4206-9DD3-AEE9632889B4}"/>
                </c:ext>
                <c:ext xmlns:c15="http://schemas.microsoft.com/office/drawing/2012/chart" uri="{CE6537A1-D6FC-4f65-9D91-7224C49458BB}"/>
              </c:extLst>
            </c:dLbl>
            <c:dLbl>
              <c:idx val="1"/>
              <c:tx>
                <c:rich>
                  <a:bodyPr/>
                  <a:lstStyle/>
                  <a:p>
                    <a:r>
                      <a:rPr lang="en-US"/>
                      <a:t>EÜAŞ POWER PLANTS</a:t>
                    </a:r>
                    <a:r>
                      <a:rPr lang="en-US" baseline="0"/>
                      <a:t>
22,23%</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797D-4206-9DD3-AEE9632889B4}"/>
                </c:ext>
                <c:ext xmlns:c15="http://schemas.microsoft.com/office/drawing/2012/chart" uri="{CE6537A1-D6FC-4f65-9D91-7224C49458BB}"/>
              </c:extLst>
            </c:dLbl>
            <c:dLbl>
              <c:idx val="2"/>
              <c:tx>
                <c:rich>
                  <a:bodyPr/>
                  <a:lstStyle/>
                  <a:p>
                    <a:r>
                      <a:rPr lang="en-US"/>
                      <a:t>BUILD OPERATE POWER PLANTS</a:t>
                    </a:r>
                    <a:r>
                      <a:rPr lang="en-US" baseline="0"/>
                      <a:t>
7,34%</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2-797D-4206-9DD3-AEE9632889B4}"/>
                </c:ext>
                <c:ext xmlns:c15="http://schemas.microsoft.com/office/drawing/2012/chart" uri="{CE6537A1-D6FC-4f65-9D91-7224C49458BB}"/>
              </c:extLst>
            </c:dLbl>
            <c:dLbl>
              <c:idx val="3"/>
              <c:tx>
                <c:rich>
                  <a:bodyPr/>
                  <a:lstStyle/>
                  <a:p>
                    <a:r>
                      <a:rPr lang="en-US"/>
                      <a:t>TRANSFER OF OPERATION RIGHTS</a:t>
                    </a:r>
                    <a:r>
                      <a:rPr lang="en-US" baseline="0"/>
                      <a:t>
4,07</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797D-4206-9DD3-AEE9632889B4}"/>
                </c:ext>
                <c:ext xmlns:c15="http://schemas.microsoft.com/office/drawing/2012/chart" uri="{CE6537A1-D6FC-4f65-9D91-7224C49458BB}"/>
              </c:extLst>
            </c:dLbl>
            <c:dLbl>
              <c:idx val="4"/>
              <c:tx>
                <c:rich>
                  <a:bodyPr/>
                  <a:lstStyle/>
                  <a:p>
                    <a:r>
                      <a:rPr lang="en-US"/>
                      <a:t>BUILD OPERATE TRANSFER POWER PLANTS</a:t>
                    </a:r>
                    <a:r>
                      <a:rPr lang="en-US" baseline="0"/>
                      <a:t>
1,63%</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4-797D-4206-9DD3-AEE9632889B4}"/>
                </c:ext>
                <c:ext xmlns:c15="http://schemas.microsoft.com/office/drawing/2012/chart" uri="{CE6537A1-D6FC-4f65-9D91-7224C49458BB}"/>
              </c:extLst>
            </c:dLbl>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'şekil 1.13 kuruluş KG'!$A$5:$A$9</c:f>
              <c:strCache>
                <c:ptCount val="5"/>
                <c:pt idx="0">
                  <c:v>SERBEST ÜRETİM ŞİRKETİ </c:v>
                </c:pt>
                <c:pt idx="1">
                  <c:v>EÜAŞ SANTRALLARI</c:v>
                </c:pt>
                <c:pt idx="2">
                  <c:v>YAP İŞLET SANTRALLARI</c:v>
                </c:pt>
                <c:pt idx="3">
                  <c:v>İŞLETME HAKKI DEVREDİLEN </c:v>
                </c:pt>
                <c:pt idx="4">
                  <c:v>YAP İŞLET DEVRET SANTRALLARI</c:v>
                </c:pt>
              </c:strCache>
            </c:strRef>
          </c:cat>
          <c:val>
            <c:numRef>
              <c:f>'şekil 1.13 kuruluş KG'!$B$5:$B$9</c:f>
              <c:numCache>
                <c:formatCode>#,##0.00</c:formatCode>
                <c:ptCount val="5"/>
                <c:pt idx="0">
                  <c:v>53850.825909994543</c:v>
                </c:pt>
                <c:pt idx="1">
                  <c:v>18488.904016956687</c:v>
                </c:pt>
                <c:pt idx="2">
                  <c:v>6101.8099975585937</c:v>
                </c:pt>
                <c:pt idx="3">
                  <c:v>3386.7069981247187</c:v>
                </c:pt>
                <c:pt idx="4">
                  <c:v>1358.8030121326447</c:v>
                </c:pt>
              </c:numCache>
            </c:numRef>
          </c:val>
          <c:extLst xmlns:c16r2="http://schemas.microsoft.com/office/drawing/2015/06/chart">
            <c:ext xmlns:c16="http://schemas.microsoft.com/office/drawing/2014/chart" uri="{C3380CC4-5D6E-409C-BE32-E72D297353CC}">
              <c16:uniqueId val="{00000005-797D-4206-9DD3-AEE9632889B4}"/>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v>THERMAL</c:v>
          </c:tx>
          <c:invertIfNegative val="0"/>
          <c:cat>
            <c:numRef>
              <c:f>'şekil 1.14 kg kaynak bazında yı'!$A$4:$A$32</c:f>
              <c:numCache>
                <c:formatCode>General</c:formatCode>
                <c:ptCount val="29"/>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numCache>
            </c:numRef>
          </c:cat>
          <c:val>
            <c:numRef>
              <c:f>'şekil 1.14 kg kaynak bazında yı'!$B$4:$B$32</c:f>
              <c:numCache>
                <c:formatCode>#,##0.00</c:formatCode>
                <c:ptCount val="29"/>
                <c:pt idx="0">
                  <c:v>9535.7999999999993</c:v>
                </c:pt>
                <c:pt idx="1">
                  <c:v>10077.799999999999</c:v>
                </c:pt>
                <c:pt idx="2">
                  <c:v>10319.9</c:v>
                </c:pt>
                <c:pt idx="3">
                  <c:v>10638.4</c:v>
                </c:pt>
                <c:pt idx="4">
                  <c:v>10977.7</c:v>
                </c:pt>
                <c:pt idx="5">
                  <c:v>11074</c:v>
                </c:pt>
                <c:pt idx="6">
                  <c:v>11297.1</c:v>
                </c:pt>
                <c:pt idx="7">
                  <c:v>11771.8</c:v>
                </c:pt>
                <c:pt idx="8">
                  <c:v>13021.3</c:v>
                </c:pt>
                <c:pt idx="9">
                  <c:v>15555.9</c:v>
                </c:pt>
                <c:pt idx="10">
                  <c:v>16052.5</c:v>
                </c:pt>
                <c:pt idx="11">
                  <c:v>16623.099999999999</c:v>
                </c:pt>
                <c:pt idx="12">
                  <c:v>19568.5</c:v>
                </c:pt>
                <c:pt idx="13">
                  <c:v>22974.400000000001</c:v>
                </c:pt>
                <c:pt idx="14">
                  <c:v>24144.7</c:v>
                </c:pt>
                <c:pt idx="15">
                  <c:v>25902.3</c:v>
                </c:pt>
                <c:pt idx="16">
                  <c:v>27420.2</c:v>
                </c:pt>
                <c:pt idx="17">
                  <c:v>27271.599999999999</c:v>
                </c:pt>
                <c:pt idx="18">
                  <c:v>27595</c:v>
                </c:pt>
                <c:pt idx="19">
                  <c:v>29339.1</c:v>
                </c:pt>
                <c:pt idx="20">
                  <c:v>32278.5</c:v>
                </c:pt>
                <c:pt idx="21">
                  <c:v>33931.1</c:v>
                </c:pt>
                <c:pt idx="22">
                  <c:v>35027.199999999997</c:v>
                </c:pt>
                <c:pt idx="23">
                  <c:v>38648</c:v>
                </c:pt>
                <c:pt idx="24">
                  <c:v>41801.800000000003</c:v>
                </c:pt>
                <c:pt idx="25">
                  <c:v>41540.594599999989</c:v>
                </c:pt>
                <c:pt idx="26">
                  <c:v>43992.893039911985</c:v>
                </c:pt>
                <c:pt idx="27">
                  <c:v>46278.22</c:v>
                </c:pt>
                <c:pt idx="28">
                  <c:v>46005.982016295195</c:v>
                </c:pt>
              </c:numCache>
            </c:numRef>
          </c:val>
          <c:extLst xmlns:c16r2="http://schemas.microsoft.com/office/drawing/2015/06/chart">
            <c:ext xmlns:c16="http://schemas.microsoft.com/office/drawing/2014/chart" uri="{C3380CC4-5D6E-409C-BE32-E72D297353CC}">
              <c16:uniqueId val="{00000000-D7EA-4710-BB82-5503458CD3AD}"/>
            </c:ext>
          </c:extLst>
        </c:ser>
        <c:ser>
          <c:idx val="1"/>
          <c:order val="1"/>
          <c:tx>
            <c:v>HYDRAULIC</c:v>
          </c:tx>
          <c:invertIfNegative val="0"/>
          <c:cat>
            <c:numRef>
              <c:f>'şekil 1.14 kg kaynak bazında yı'!$A$4:$A$32</c:f>
              <c:numCache>
                <c:formatCode>General</c:formatCode>
                <c:ptCount val="29"/>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numCache>
            </c:numRef>
          </c:cat>
          <c:val>
            <c:numRef>
              <c:f>'şekil 1.14 kg kaynak bazında yı'!$C$4:$C$32</c:f>
              <c:numCache>
                <c:formatCode>#,##0.00</c:formatCode>
                <c:ptCount val="29"/>
                <c:pt idx="0">
                  <c:v>6764.3</c:v>
                </c:pt>
                <c:pt idx="1">
                  <c:v>7113.8</c:v>
                </c:pt>
                <c:pt idx="2">
                  <c:v>8378.7000000000007</c:v>
                </c:pt>
                <c:pt idx="3">
                  <c:v>9681.7000000000007</c:v>
                </c:pt>
                <c:pt idx="4">
                  <c:v>9864.6</c:v>
                </c:pt>
                <c:pt idx="5">
                  <c:v>9862.7999999999993</c:v>
                </c:pt>
                <c:pt idx="6">
                  <c:v>9934.7999999999993</c:v>
                </c:pt>
                <c:pt idx="7">
                  <c:v>10102.6</c:v>
                </c:pt>
                <c:pt idx="8">
                  <c:v>10306.5</c:v>
                </c:pt>
                <c:pt idx="9">
                  <c:v>10537.2</c:v>
                </c:pt>
                <c:pt idx="10">
                  <c:v>11175.2</c:v>
                </c:pt>
                <c:pt idx="11">
                  <c:v>11672.9</c:v>
                </c:pt>
                <c:pt idx="12">
                  <c:v>12240.9</c:v>
                </c:pt>
                <c:pt idx="13">
                  <c:v>12578.7</c:v>
                </c:pt>
                <c:pt idx="14">
                  <c:v>12645.4</c:v>
                </c:pt>
                <c:pt idx="15">
                  <c:v>12906.1</c:v>
                </c:pt>
                <c:pt idx="16">
                  <c:v>13062.7</c:v>
                </c:pt>
                <c:pt idx="17">
                  <c:v>13394.9</c:v>
                </c:pt>
                <c:pt idx="18">
                  <c:v>13828.7</c:v>
                </c:pt>
                <c:pt idx="19">
                  <c:v>14553.3</c:v>
                </c:pt>
                <c:pt idx="20">
                  <c:v>15831.2</c:v>
                </c:pt>
                <c:pt idx="21">
                  <c:v>17137.099999999999</c:v>
                </c:pt>
                <c:pt idx="22">
                  <c:v>19609.400000000001</c:v>
                </c:pt>
                <c:pt idx="23">
                  <c:v>22289</c:v>
                </c:pt>
                <c:pt idx="24">
                  <c:v>23643.200000000001</c:v>
                </c:pt>
                <c:pt idx="25">
                  <c:v>25867.839889999996</c:v>
                </c:pt>
                <c:pt idx="26">
                  <c:v>26678.037938475609</c:v>
                </c:pt>
                <c:pt idx="27">
                  <c:v>27265.63</c:v>
                </c:pt>
                <c:pt idx="28">
                  <c:v>28283.705903530121</c:v>
                </c:pt>
              </c:numCache>
            </c:numRef>
          </c:val>
          <c:extLst xmlns:c16r2="http://schemas.microsoft.com/office/drawing/2015/06/chart">
            <c:ext xmlns:c16="http://schemas.microsoft.com/office/drawing/2014/chart" uri="{C3380CC4-5D6E-409C-BE32-E72D297353CC}">
              <c16:uniqueId val="{00000001-D7EA-4710-BB82-5503458CD3AD}"/>
            </c:ext>
          </c:extLst>
        </c:ser>
        <c:ser>
          <c:idx val="2"/>
          <c:order val="2"/>
          <c:tx>
            <c:v>GEOTHERMAL+WIND+BIOMASS+SOLAR</c:v>
          </c:tx>
          <c:invertIfNegative val="0"/>
          <c:cat>
            <c:numRef>
              <c:f>'şekil 1.14 kg kaynak bazında yı'!$A$4:$A$32</c:f>
              <c:numCache>
                <c:formatCode>General</c:formatCode>
                <c:ptCount val="29"/>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numCache>
            </c:numRef>
          </c:cat>
          <c:val>
            <c:numRef>
              <c:f>'şekil 1.14 kg kaynak bazında yı'!$D$4:$D$32</c:f>
              <c:numCache>
                <c:formatCode>#,##0.00</c:formatCode>
                <c:ptCount val="29"/>
                <c:pt idx="0">
                  <c:v>17.5</c:v>
                </c:pt>
                <c:pt idx="1">
                  <c:v>17.5</c:v>
                </c:pt>
                <c:pt idx="2">
                  <c:v>17.5</c:v>
                </c:pt>
                <c:pt idx="3">
                  <c:v>17.5</c:v>
                </c:pt>
                <c:pt idx="4">
                  <c:v>17.5</c:v>
                </c:pt>
                <c:pt idx="5">
                  <c:v>17.5</c:v>
                </c:pt>
                <c:pt idx="6">
                  <c:v>17.5</c:v>
                </c:pt>
                <c:pt idx="7">
                  <c:v>17.5</c:v>
                </c:pt>
                <c:pt idx="8">
                  <c:v>26.2</c:v>
                </c:pt>
                <c:pt idx="9">
                  <c:v>26.2</c:v>
                </c:pt>
                <c:pt idx="10">
                  <c:v>36.4</c:v>
                </c:pt>
                <c:pt idx="11">
                  <c:v>36.4</c:v>
                </c:pt>
                <c:pt idx="12">
                  <c:v>36.4</c:v>
                </c:pt>
                <c:pt idx="13">
                  <c:v>33.9</c:v>
                </c:pt>
                <c:pt idx="14">
                  <c:v>33.9</c:v>
                </c:pt>
                <c:pt idx="15">
                  <c:v>35.1</c:v>
                </c:pt>
                <c:pt idx="16">
                  <c:v>81.900000000000006</c:v>
                </c:pt>
                <c:pt idx="17">
                  <c:v>169.2</c:v>
                </c:pt>
                <c:pt idx="18">
                  <c:v>393.5</c:v>
                </c:pt>
                <c:pt idx="19">
                  <c:v>868.8</c:v>
                </c:pt>
                <c:pt idx="20">
                  <c:v>1414.4</c:v>
                </c:pt>
                <c:pt idx="21">
                  <c:v>1842.9</c:v>
                </c:pt>
                <c:pt idx="22">
                  <c:v>2422.8000000000002</c:v>
                </c:pt>
                <c:pt idx="23">
                  <c:v>3070.5</c:v>
                </c:pt>
                <c:pt idx="24">
                  <c:v>4074.7999999999997</c:v>
                </c:pt>
                <c:pt idx="25">
                  <c:v>5738.2981999999993</c:v>
                </c:pt>
                <c:pt idx="26">
                  <c:v>7065.8580141589046</c:v>
                </c:pt>
                <c:pt idx="27">
                  <c:v>8019.47</c:v>
                </c:pt>
                <c:pt idx="28">
                  <c:v>8897.3620149418712</c:v>
                </c:pt>
              </c:numCache>
            </c:numRef>
          </c:val>
          <c:extLst xmlns:c16r2="http://schemas.microsoft.com/office/drawing/2015/06/chart">
            <c:ext xmlns:c16="http://schemas.microsoft.com/office/drawing/2014/chart" uri="{C3380CC4-5D6E-409C-BE32-E72D297353CC}">
              <c16:uniqueId val="{00000002-D7EA-4710-BB82-5503458CD3AD}"/>
            </c:ext>
          </c:extLst>
        </c:ser>
        <c:dLbls>
          <c:showLegendKey val="0"/>
          <c:showVal val="0"/>
          <c:showCatName val="0"/>
          <c:showSerName val="0"/>
          <c:showPercent val="0"/>
          <c:showBubbleSize val="0"/>
        </c:dLbls>
        <c:gapWidth val="150"/>
        <c:overlap val="100"/>
        <c:axId val="627935888"/>
        <c:axId val="627925808"/>
      </c:barChart>
      <c:catAx>
        <c:axId val="627935888"/>
        <c:scaling>
          <c:orientation val="minMax"/>
        </c:scaling>
        <c:delete val="0"/>
        <c:axPos val="b"/>
        <c:numFmt formatCode="General" sourceLinked="1"/>
        <c:majorTickMark val="out"/>
        <c:minorTickMark val="none"/>
        <c:tickLblPos val="nextTo"/>
        <c:crossAx val="627925808"/>
        <c:crosses val="autoZero"/>
        <c:auto val="1"/>
        <c:lblAlgn val="ctr"/>
        <c:lblOffset val="100"/>
        <c:noMultiLvlLbl val="0"/>
      </c:catAx>
      <c:valAx>
        <c:axId val="627925808"/>
        <c:scaling>
          <c:orientation val="minMax"/>
        </c:scaling>
        <c:delete val="0"/>
        <c:axPos val="l"/>
        <c:majorGridlines/>
        <c:title>
          <c:tx>
            <c:rich>
              <a:bodyPr rot="-5400000" vert="horz"/>
              <a:lstStyle/>
              <a:p>
                <a:pPr>
                  <a:defRPr/>
                </a:pPr>
                <a:r>
                  <a:rPr lang="en-US"/>
                  <a:t>MW</a:t>
                </a:r>
              </a:p>
            </c:rich>
          </c:tx>
          <c:overlay val="0"/>
        </c:title>
        <c:numFmt formatCode="#,##0.00" sourceLinked="1"/>
        <c:majorTickMark val="out"/>
        <c:minorTickMark val="none"/>
        <c:tickLblPos val="nextTo"/>
        <c:crossAx val="627935888"/>
        <c:crosses val="autoZero"/>
        <c:crossBetween val="between"/>
      </c:valAx>
    </c:plotArea>
    <c:legend>
      <c:legendPos val="b"/>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8.0562804311120575E-2"/>
          <c:y val="4.1408004905457471E-2"/>
          <c:w val="0.8804855302266803"/>
          <c:h val="0.690124800781866"/>
        </c:manualLayout>
      </c:layout>
      <c:bar3DChart>
        <c:barDir val="col"/>
        <c:grouping val="percentStacked"/>
        <c:varyColors val="0"/>
        <c:ser>
          <c:idx val="0"/>
          <c:order val="0"/>
          <c:tx>
            <c:v>THERMAL</c:v>
          </c:tx>
          <c:invertIfNegative val="0"/>
          <c:cat>
            <c:numRef>
              <c:f>'şekil 1.15 kaynakların oranları'!$A$4:$A$32</c:f>
              <c:numCache>
                <c:formatCode>General</c:formatCode>
                <c:ptCount val="29"/>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numCache>
            </c:numRef>
          </c:cat>
          <c:val>
            <c:numRef>
              <c:f>'şekil 1.15 kaynakların oranları'!$B$4:$B$32</c:f>
              <c:numCache>
                <c:formatCode>#,##0.00</c:formatCode>
                <c:ptCount val="29"/>
                <c:pt idx="0">
                  <c:v>9535.7999999999993</c:v>
                </c:pt>
                <c:pt idx="1">
                  <c:v>10077.799999999999</c:v>
                </c:pt>
                <c:pt idx="2">
                  <c:v>10319.9</c:v>
                </c:pt>
                <c:pt idx="3">
                  <c:v>10638.4</c:v>
                </c:pt>
                <c:pt idx="4">
                  <c:v>10977.7</c:v>
                </c:pt>
                <c:pt idx="5">
                  <c:v>11074</c:v>
                </c:pt>
                <c:pt idx="6">
                  <c:v>11297.1</c:v>
                </c:pt>
                <c:pt idx="7">
                  <c:v>11771.8</c:v>
                </c:pt>
                <c:pt idx="8">
                  <c:v>13021.3</c:v>
                </c:pt>
                <c:pt idx="9">
                  <c:v>15555.9</c:v>
                </c:pt>
                <c:pt idx="10">
                  <c:v>16052.5</c:v>
                </c:pt>
                <c:pt idx="11">
                  <c:v>16623.099999999999</c:v>
                </c:pt>
                <c:pt idx="12">
                  <c:v>19568.5</c:v>
                </c:pt>
                <c:pt idx="13">
                  <c:v>22974.400000000001</c:v>
                </c:pt>
                <c:pt idx="14">
                  <c:v>24144.7</c:v>
                </c:pt>
                <c:pt idx="15">
                  <c:v>25902.3</c:v>
                </c:pt>
                <c:pt idx="16">
                  <c:v>27420.2</c:v>
                </c:pt>
                <c:pt idx="17">
                  <c:v>27271.599999999999</c:v>
                </c:pt>
                <c:pt idx="18">
                  <c:v>27595</c:v>
                </c:pt>
                <c:pt idx="19">
                  <c:v>29339.1</c:v>
                </c:pt>
                <c:pt idx="20">
                  <c:v>32278.5</c:v>
                </c:pt>
                <c:pt idx="21">
                  <c:v>33931.1</c:v>
                </c:pt>
                <c:pt idx="22">
                  <c:v>35027.199999999997</c:v>
                </c:pt>
                <c:pt idx="23">
                  <c:v>38648</c:v>
                </c:pt>
                <c:pt idx="24">
                  <c:v>41801.800000000003</c:v>
                </c:pt>
                <c:pt idx="25">
                  <c:v>41540.594599999989</c:v>
                </c:pt>
                <c:pt idx="26">
                  <c:v>43976.763039916754</c:v>
                </c:pt>
                <c:pt idx="27">
                  <c:v>46278.22</c:v>
                </c:pt>
                <c:pt idx="28">
                  <c:v>46005.982016295195</c:v>
                </c:pt>
              </c:numCache>
            </c:numRef>
          </c:val>
          <c:extLst xmlns:c16r2="http://schemas.microsoft.com/office/drawing/2015/06/chart">
            <c:ext xmlns:c16="http://schemas.microsoft.com/office/drawing/2014/chart" uri="{C3380CC4-5D6E-409C-BE32-E72D297353CC}">
              <c16:uniqueId val="{00000000-4EBB-4AA5-896C-855ADC9B52F2}"/>
            </c:ext>
          </c:extLst>
        </c:ser>
        <c:ser>
          <c:idx val="1"/>
          <c:order val="1"/>
          <c:tx>
            <c:v>HYDRAULIC</c:v>
          </c:tx>
          <c:invertIfNegative val="0"/>
          <c:cat>
            <c:numRef>
              <c:f>'şekil 1.15 kaynakların oranları'!$A$4:$A$32</c:f>
              <c:numCache>
                <c:formatCode>General</c:formatCode>
                <c:ptCount val="29"/>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numCache>
            </c:numRef>
          </c:cat>
          <c:val>
            <c:numRef>
              <c:f>'şekil 1.15 kaynakların oranları'!$C$4:$C$32</c:f>
              <c:numCache>
                <c:formatCode>#,##0.00</c:formatCode>
                <c:ptCount val="29"/>
                <c:pt idx="0">
                  <c:v>6764.3</c:v>
                </c:pt>
                <c:pt idx="1">
                  <c:v>7113.8</c:v>
                </c:pt>
                <c:pt idx="2">
                  <c:v>8378.7000000000007</c:v>
                </c:pt>
                <c:pt idx="3">
                  <c:v>9681.7000000000007</c:v>
                </c:pt>
                <c:pt idx="4">
                  <c:v>9864.6</c:v>
                </c:pt>
                <c:pt idx="5">
                  <c:v>9862.7999999999993</c:v>
                </c:pt>
                <c:pt idx="6">
                  <c:v>9934.7999999999993</c:v>
                </c:pt>
                <c:pt idx="7">
                  <c:v>10102.6</c:v>
                </c:pt>
                <c:pt idx="8">
                  <c:v>10306.5</c:v>
                </c:pt>
                <c:pt idx="9">
                  <c:v>10537.2</c:v>
                </c:pt>
                <c:pt idx="10">
                  <c:v>11175.2</c:v>
                </c:pt>
                <c:pt idx="11">
                  <c:v>11672.9</c:v>
                </c:pt>
                <c:pt idx="12">
                  <c:v>12240.9</c:v>
                </c:pt>
                <c:pt idx="13">
                  <c:v>12578.7</c:v>
                </c:pt>
                <c:pt idx="14">
                  <c:v>12645.4</c:v>
                </c:pt>
                <c:pt idx="15">
                  <c:v>12906.1</c:v>
                </c:pt>
                <c:pt idx="16">
                  <c:v>13062.7</c:v>
                </c:pt>
                <c:pt idx="17">
                  <c:v>13394.9</c:v>
                </c:pt>
                <c:pt idx="18">
                  <c:v>13828.7</c:v>
                </c:pt>
                <c:pt idx="19">
                  <c:v>14553.3</c:v>
                </c:pt>
                <c:pt idx="20">
                  <c:v>15831.2</c:v>
                </c:pt>
                <c:pt idx="21">
                  <c:v>17137.099999999999</c:v>
                </c:pt>
                <c:pt idx="22">
                  <c:v>19609.400000000001</c:v>
                </c:pt>
                <c:pt idx="23">
                  <c:v>22289</c:v>
                </c:pt>
                <c:pt idx="24">
                  <c:v>23643.200000000001</c:v>
                </c:pt>
                <c:pt idx="25">
                  <c:v>25867.839889999996</c:v>
                </c:pt>
                <c:pt idx="26">
                  <c:v>26678.037938475609</c:v>
                </c:pt>
                <c:pt idx="27">
                  <c:v>27265.63</c:v>
                </c:pt>
                <c:pt idx="28">
                  <c:v>28283.705903530121</c:v>
                </c:pt>
              </c:numCache>
            </c:numRef>
          </c:val>
          <c:extLst xmlns:c16r2="http://schemas.microsoft.com/office/drawing/2015/06/chart">
            <c:ext xmlns:c16="http://schemas.microsoft.com/office/drawing/2014/chart" uri="{C3380CC4-5D6E-409C-BE32-E72D297353CC}">
              <c16:uniqueId val="{00000001-4EBB-4AA5-896C-855ADC9B52F2}"/>
            </c:ext>
          </c:extLst>
        </c:ser>
        <c:ser>
          <c:idx val="2"/>
          <c:order val="2"/>
          <c:tx>
            <c:v>GEOTHERMAL+WIND+BIOMASS+GÜNEŞ</c:v>
          </c:tx>
          <c:invertIfNegative val="0"/>
          <c:cat>
            <c:numRef>
              <c:f>'şekil 1.15 kaynakların oranları'!$A$4:$A$32</c:f>
              <c:numCache>
                <c:formatCode>General</c:formatCode>
                <c:ptCount val="29"/>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numCache>
            </c:numRef>
          </c:cat>
          <c:val>
            <c:numRef>
              <c:f>'şekil 1.15 kaynakların oranları'!$D$4:$D$32</c:f>
              <c:numCache>
                <c:formatCode>#,##0.00</c:formatCode>
                <c:ptCount val="29"/>
                <c:pt idx="0">
                  <c:v>17.5</c:v>
                </c:pt>
                <c:pt idx="1">
                  <c:v>17.5</c:v>
                </c:pt>
                <c:pt idx="2">
                  <c:v>17.5</c:v>
                </c:pt>
                <c:pt idx="3">
                  <c:v>17.5</c:v>
                </c:pt>
                <c:pt idx="4">
                  <c:v>17.5</c:v>
                </c:pt>
                <c:pt idx="5">
                  <c:v>17.5</c:v>
                </c:pt>
                <c:pt idx="6">
                  <c:v>17.5</c:v>
                </c:pt>
                <c:pt idx="7">
                  <c:v>17.5</c:v>
                </c:pt>
                <c:pt idx="8">
                  <c:v>26.2</c:v>
                </c:pt>
                <c:pt idx="9">
                  <c:v>26.2</c:v>
                </c:pt>
                <c:pt idx="10">
                  <c:v>36.4</c:v>
                </c:pt>
                <c:pt idx="11">
                  <c:v>36.4</c:v>
                </c:pt>
                <c:pt idx="12">
                  <c:v>36.4</c:v>
                </c:pt>
                <c:pt idx="13">
                  <c:v>33.9</c:v>
                </c:pt>
                <c:pt idx="14">
                  <c:v>33.9</c:v>
                </c:pt>
                <c:pt idx="15">
                  <c:v>35.1</c:v>
                </c:pt>
                <c:pt idx="16">
                  <c:v>81.900000000000006</c:v>
                </c:pt>
                <c:pt idx="17">
                  <c:v>169.2</c:v>
                </c:pt>
                <c:pt idx="18">
                  <c:v>393.5</c:v>
                </c:pt>
                <c:pt idx="19">
                  <c:v>868.8</c:v>
                </c:pt>
                <c:pt idx="20">
                  <c:v>1414.4</c:v>
                </c:pt>
                <c:pt idx="21">
                  <c:v>1842.9</c:v>
                </c:pt>
                <c:pt idx="22">
                  <c:v>2422.8000000000002</c:v>
                </c:pt>
                <c:pt idx="23">
                  <c:v>3070.5</c:v>
                </c:pt>
                <c:pt idx="24">
                  <c:v>4074.7999999999997</c:v>
                </c:pt>
                <c:pt idx="25">
                  <c:v>5738.2981999999993</c:v>
                </c:pt>
                <c:pt idx="26">
                  <c:v>7048.1280146166682</c:v>
                </c:pt>
                <c:pt idx="27">
                  <c:v>8019.47</c:v>
                </c:pt>
                <c:pt idx="28">
                  <c:v>8897.3620149418712</c:v>
                </c:pt>
              </c:numCache>
            </c:numRef>
          </c:val>
          <c:extLst xmlns:c16r2="http://schemas.microsoft.com/office/drawing/2015/06/chart">
            <c:ext xmlns:c16="http://schemas.microsoft.com/office/drawing/2014/chart" uri="{C3380CC4-5D6E-409C-BE32-E72D297353CC}">
              <c16:uniqueId val="{00000002-4EBB-4AA5-896C-855ADC9B52F2}"/>
            </c:ext>
          </c:extLst>
        </c:ser>
        <c:dLbls>
          <c:showLegendKey val="0"/>
          <c:showVal val="0"/>
          <c:showCatName val="0"/>
          <c:showSerName val="0"/>
          <c:showPercent val="0"/>
          <c:showBubbleSize val="0"/>
        </c:dLbls>
        <c:gapWidth val="150"/>
        <c:shape val="box"/>
        <c:axId val="627942048"/>
        <c:axId val="627939808"/>
        <c:axId val="0"/>
      </c:bar3DChart>
      <c:catAx>
        <c:axId val="627942048"/>
        <c:scaling>
          <c:orientation val="minMax"/>
        </c:scaling>
        <c:delete val="0"/>
        <c:axPos val="b"/>
        <c:numFmt formatCode="General" sourceLinked="1"/>
        <c:majorTickMark val="out"/>
        <c:minorTickMark val="none"/>
        <c:tickLblPos val="nextTo"/>
        <c:crossAx val="627939808"/>
        <c:crosses val="autoZero"/>
        <c:auto val="1"/>
        <c:lblAlgn val="ctr"/>
        <c:lblOffset val="100"/>
        <c:noMultiLvlLbl val="0"/>
      </c:catAx>
      <c:valAx>
        <c:axId val="627939808"/>
        <c:scaling>
          <c:orientation val="minMax"/>
        </c:scaling>
        <c:delete val="0"/>
        <c:axPos val="l"/>
        <c:majorGridlines/>
        <c:title>
          <c:tx>
            <c:rich>
              <a:bodyPr rot="-5400000" vert="horz"/>
              <a:lstStyle/>
              <a:p>
                <a:pPr>
                  <a:defRPr/>
                </a:pPr>
                <a:r>
                  <a:rPr lang="en-US"/>
                  <a:t>%</a:t>
                </a:r>
              </a:p>
            </c:rich>
          </c:tx>
          <c:layout>
            <c:manualLayout>
              <c:xMode val="edge"/>
              <c:yMode val="edge"/>
              <c:x val="8.8192359029235102E-3"/>
              <c:y val="0.3759767084744538"/>
            </c:manualLayout>
          </c:layout>
          <c:overlay val="0"/>
        </c:title>
        <c:numFmt formatCode="0%" sourceLinked="1"/>
        <c:majorTickMark val="out"/>
        <c:minorTickMark val="none"/>
        <c:tickLblPos val="nextTo"/>
        <c:crossAx val="627942048"/>
        <c:crosses val="autoZero"/>
        <c:crossBetween val="between"/>
      </c:valAx>
    </c:plotArea>
    <c:legend>
      <c:legendPos val="b"/>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1.3977918779956831E-3"/>
          <c:y val="1.5433281969446114E-2"/>
          <c:w val="0.82699159331761107"/>
          <c:h val="0.80328072522591432"/>
        </c:manualLayout>
      </c:layout>
      <c:pie3DChart>
        <c:varyColors val="1"/>
        <c:ser>
          <c:idx val="0"/>
          <c:order val="0"/>
          <c:explosion val="25"/>
          <c:dLbls>
            <c:dLbl>
              <c:idx val="0"/>
              <c:layout>
                <c:manualLayout>
                  <c:x val="-0.1306755845372029"/>
                  <c:y val="4.9998087367394271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24CE-471C-BDB0-7160EDF8ABFF}"/>
                </c:ext>
                <c:ext xmlns:c15="http://schemas.microsoft.com/office/drawing/2012/chart" uri="{CE6537A1-D6FC-4f65-9D91-7224C49458BB}"/>
              </c:extLst>
            </c:dLbl>
            <c:dLbl>
              <c:idx val="1"/>
              <c:layout>
                <c:manualLayout>
                  <c:x val="6.0568289312139785E-3"/>
                  <c:y val="-0.17448697788248285"/>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24CE-471C-BDB0-7160EDF8ABFF}"/>
                </c:ext>
                <c:ext xmlns:c15="http://schemas.microsoft.com/office/drawing/2012/chart" uri="{CE6537A1-D6FC-4f65-9D91-7224C49458BB}"/>
              </c:extLst>
            </c:dLbl>
            <c:dLbl>
              <c:idx val="2"/>
              <c:layout>
                <c:manualLayout>
                  <c:x val="2.0002828691645894E-2"/>
                  <c:y val="-9.2593870760920099E-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2-24CE-471C-BDB0-7160EDF8ABFF}"/>
                </c:ext>
                <c:ext xmlns:c15="http://schemas.microsoft.com/office/drawing/2012/chart" uri="{CE6537A1-D6FC-4f65-9D91-7224C49458BB}"/>
              </c:extLst>
            </c:dLbl>
            <c:dLbl>
              <c:idx val="8"/>
              <c:layout>
                <c:manualLayout>
                  <c:x val="-8.4297624828361728E-2"/>
                  <c:y val="0.2315318690328981"/>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24CE-471C-BDB0-7160EDF8ABFF}"/>
                </c:ext>
                <c:ext xmlns:c15="http://schemas.microsoft.com/office/drawing/2012/chart" uri="{CE6537A1-D6FC-4f65-9D91-7224C49458BB}"/>
              </c:extLst>
            </c:dLbl>
            <c:dLbl>
              <c:idx val="9"/>
              <c:layout>
                <c:manualLayout>
                  <c:x val="-0.26111784227352242"/>
                  <c:y val="0.14322894794396152"/>
                </c:manualLayout>
              </c:layout>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4-24CE-471C-BDB0-7160EDF8ABFF}"/>
                </c:ext>
                <c:ext xmlns:c15="http://schemas.microsoft.com/office/drawing/2012/chart" uri="{CE6537A1-D6FC-4f65-9D91-7224C49458BB}"/>
              </c:extLst>
            </c:dLbl>
            <c:dLbl>
              <c:idx val="10"/>
              <c:layout>
                <c:manualLayout>
                  <c:x val="0.12211125000536963"/>
                  <c:y val="-9.8134268472080968E-2"/>
                </c:manualLayout>
              </c:layout>
              <c:tx>
                <c:rich>
                  <a:bodyPr/>
                  <a:lstStyle/>
                  <a:p>
                    <a:r>
                      <a:rPr lang="en-US"/>
                      <a:t>OTHERS</a:t>
                    </a:r>
                    <a:r>
                      <a:rPr lang="en-US" baseline="0"/>
                      <a:t>
58,56%</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24CE-471C-BDB0-7160EDF8ABFF}"/>
                </c:ext>
                <c:ext xmlns:c15="http://schemas.microsoft.com/office/drawing/2012/chart" uri="{CE6537A1-D6FC-4f65-9D91-7224C49458BB}"/>
              </c:extLst>
            </c:dLbl>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'[kg- üretim.xlsx]kg'!$A$3:$A$13</c:f>
              <c:strCache>
                <c:ptCount val="11"/>
                <c:pt idx="0">
                  <c:v>EÜAŞ</c:v>
                </c:pt>
                <c:pt idx="1">
                  <c:v>ENERJİSA EN.ÜR.A.Ş.  </c:v>
                </c:pt>
                <c:pt idx="2">
                  <c:v>EREN EN.EL.ÜR.A.Ş.  </c:v>
                </c:pt>
                <c:pt idx="3">
                  <c:v>GEBZE EL.ÜR.LTD.ŞTİ.   </c:v>
                </c:pt>
                <c:pt idx="4">
                  <c:v>İZMİR EL.ÜR.LTD.ŞTİ.    </c:v>
                </c:pt>
                <c:pt idx="5">
                  <c:v>AFŞİN ELBİSTAN EL.ÜR.VE TİC.A.Ş.    </c:v>
                </c:pt>
                <c:pt idx="6">
                  <c:v>CENAL EL.ÜR.A.Ş.  </c:v>
                </c:pt>
                <c:pt idx="7">
                  <c:v>İSKENDERUN EN.ÜR.VE TİC.A.Ş.   </c:v>
                </c:pt>
                <c:pt idx="8">
                  <c:v>HAMİTABAT EL.ÜR.VE TİC.A.Ş.   </c:v>
                </c:pt>
                <c:pt idx="9">
                  <c:v>ATLAS EN.ÜR.SAN.A.Ş.    </c:v>
                </c:pt>
                <c:pt idx="10">
                  <c:v>DİĞERLERİ</c:v>
                </c:pt>
              </c:strCache>
            </c:strRef>
          </c:cat>
          <c:val>
            <c:numRef>
              <c:f>'[kg- üretim.xlsx]kg'!$B$3:$B$13</c:f>
              <c:numCache>
                <c:formatCode>General</c:formatCode>
                <c:ptCount val="11"/>
                <c:pt idx="0">
                  <c:v>18487.86401699483</c:v>
                </c:pt>
                <c:pt idx="1">
                  <c:v>3588.7359867095952</c:v>
                </c:pt>
                <c:pt idx="2">
                  <c:v>2790</c:v>
                </c:pt>
                <c:pt idx="3">
                  <c:v>1595.38000488281</c:v>
                </c:pt>
                <c:pt idx="4">
                  <c:v>1590.73999023438</c:v>
                </c:pt>
                <c:pt idx="5">
                  <c:v>1355</c:v>
                </c:pt>
                <c:pt idx="6">
                  <c:v>1320</c:v>
                </c:pt>
                <c:pt idx="7">
                  <c:v>1320</c:v>
                </c:pt>
                <c:pt idx="8">
                  <c:v>1220</c:v>
                </c:pt>
                <c:pt idx="9">
                  <c:v>1200</c:v>
                </c:pt>
                <c:pt idx="10">
                  <c:v>48701.249935545027</c:v>
                </c:pt>
              </c:numCache>
            </c:numRef>
          </c:val>
          <c:extLst xmlns:c16r2="http://schemas.microsoft.com/office/drawing/2015/06/chart">
            <c:ext xmlns:c16="http://schemas.microsoft.com/office/drawing/2014/chart" uri="{C3380CC4-5D6E-409C-BE32-E72D297353CC}">
              <c16:uniqueId val="{00000006-24CE-471C-BDB0-7160EDF8ABFF}"/>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0.10416666666666667"/>
          <c:y val="0.19934189805221716"/>
          <c:w val="0.81388888888888888"/>
          <c:h val="0.79780743196574111"/>
        </c:manualLayout>
      </c:layout>
      <c:pie3DChart>
        <c:varyColors val="1"/>
        <c:ser>
          <c:idx val="0"/>
          <c:order val="0"/>
          <c:explosion val="25"/>
          <c:dLbls>
            <c:dLbl>
              <c:idx val="0"/>
              <c:layout>
                <c:manualLayout>
                  <c:x val="-7.7462707786526683E-2"/>
                  <c:y val="-0.29047299350739053"/>
                </c:manualLayout>
              </c:layout>
              <c:tx>
                <c:rich>
                  <a:bodyPr/>
                  <a:lstStyle/>
                  <a:p>
                    <a:r>
                      <a:rPr lang="en-US" baseline="0"/>
                      <a:t>Solar
95,71%</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5F12-41C3-959F-F5E39BF8CE69}"/>
                </c:ext>
                <c:ext xmlns:c15="http://schemas.microsoft.com/office/drawing/2012/chart" uri="{CE6537A1-D6FC-4f65-9D91-7224C49458BB}"/>
              </c:extLst>
            </c:dLbl>
            <c:dLbl>
              <c:idx val="1"/>
              <c:layout>
                <c:manualLayout>
                  <c:x val="-0.10386089238845145"/>
                  <c:y val="3.5286827678650261E-2"/>
                </c:manualLayout>
              </c:layout>
              <c:tx>
                <c:rich>
                  <a:bodyPr/>
                  <a:lstStyle/>
                  <a:p>
                    <a:r>
                      <a:rPr lang="en-US"/>
                      <a:t>Biomass</a:t>
                    </a:r>
                    <a:r>
                      <a:rPr lang="en-US" baseline="0"/>
                      <a:t>
2,51%</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5F12-41C3-959F-F5E39BF8CE69}"/>
                </c:ext>
                <c:ext xmlns:c15="http://schemas.microsoft.com/office/drawing/2012/chart" uri="{CE6537A1-D6FC-4f65-9D91-7224C49458BB}"/>
              </c:extLst>
            </c:dLbl>
            <c:dLbl>
              <c:idx val="2"/>
              <c:layout>
                <c:manualLayout>
                  <c:x val="2.1283245844269466E-2"/>
                  <c:y val="-0.13171957452686836"/>
                </c:manualLayout>
              </c:layout>
              <c:tx>
                <c:rich>
                  <a:bodyPr/>
                  <a:lstStyle/>
                  <a:p>
                    <a:r>
                      <a:rPr lang="en-US"/>
                      <a:t>Wind</a:t>
                    </a:r>
                    <a:r>
                      <a:rPr lang="en-US" baseline="0"/>
                      <a:t>
1,36%</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2-5F12-41C3-959F-F5E39BF8CE69}"/>
                </c:ext>
                <c:ext xmlns:c15="http://schemas.microsoft.com/office/drawing/2012/chart" uri="{CE6537A1-D6FC-4f65-9D91-7224C49458BB}"/>
              </c:extLst>
            </c:dLbl>
            <c:dLbl>
              <c:idx val="3"/>
              <c:layout>
                <c:manualLayout>
                  <c:x val="0.1903163823272091"/>
                  <c:y val="2.3747903071749059E-2"/>
                </c:manualLayout>
              </c:layout>
              <c:tx>
                <c:rich>
                  <a:bodyPr/>
                  <a:lstStyle/>
                  <a:p>
                    <a:r>
                      <a:rPr lang="en-US" baseline="0"/>
                      <a:t>Hyraulic
0,42%</a:t>
                    </a:r>
                  </a:p>
                </c:rich>
              </c:tx>
              <c:showLegendKey val="0"/>
              <c:showVal val="0"/>
              <c:showCatName val="1"/>
              <c:showSerName val="1"/>
              <c:showPercent val="1"/>
              <c:showBubbleSize val="0"/>
              <c:extLst xmlns:c16r2="http://schemas.microsoft.com/office/drawing/2015/06/chart">
                <c:ext xmlns:c16="http://schemas.microsoft.com/office/drawing/2014/chart" uri="{C3380CC4-5D6E-409C-BE32-E72D297353CC}">
                  <c16:uniqueId val="{00000003-5F12-41C3-959F-F5E39BF8CE69}"/>
                </c:ext>
                <c:ext xmlns:c15="http://schemas.microsoft.com/office/drawing/2012/chart" uri="{CE6537A1-D6FC-4f65-9D91-7224C49458BB}"/>
              </c:extLst>
            </c:dLbl>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'tablo 1.7 üretim şekil 1.19'!$I$16:$I$19</c:f>
              <c:strCache>
                <c:ptCount val="4"/>
                <c:pt idx="0">
                  <c:v>Güneş</c:v>
                </c:pt>
                <c:pt idx="1">
                  <c:v>Biyokütle</c:v>
                </c:pt>
                <c:pt idx="2">
                  <c:v>Rüzgar</c:v>
                </c:pt>
                <c:pt idx="3">
                  <c:v>Hidrolik</c:v>
                </c:pt>
              </c:strCache>
            </c:strRef>
          </c:cat>
          <c:val>
            <c:numRef>
              <c:f>'tablo 1.7 üretim şekil 1.19'!$J$16:$J$19</c:f>
              <c:numCache>
                <c:formatCode>#,##0.00</c:formatCode>
                <c:ptCount val="4"/>
                <c:pt idx="0">
                  <c:v>7859766.4164710846</c:v>
                </c:pt>
                <c:pt idx="1">
                  <c:v>205901.94650871999</c:v>
                </c:pt>
                <c:pt idx="2">
                  <c:v>111990.43272638002</c:v>
                </c:pt>
                <c:pt idx="3">
                  <c:v>34750.575953999993</c:v>
                </c:pt>
              </c:numCache>
            </c:numRef>
          </c:val>
          <c:extLst xmlns:c16r2="http://schemas.microsoft.com/office/drawing/2015/06/chart">
            <c:ext xmlns:c16="http://schemas.microsoft.com/office/drawing/2014/chart" uri="{C3380CC4-5D6E-409C-BE32-E72D297353CC}">
              <c16:uniqueId val="{00000004-5F12-41C3-959F-F5E39BF8CE69}"/>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explosion val="25"/>
          <c:dLbls>
            <c:dLbl>
              <c:idx val="0"/>
              <c:layout>
                <c:manualLayout>
                  <c:x val="-0.18615883688696216"/>
                  <c:y val="8.3001238537114396E-3"/>
                </c:manualLayout>
              </c:layout>
              <c:tx>
                <c:rich>
                  <a:bodyPr/>
                  <a:lstStyle/>
                  <a:p>
                    <a:r>
                      <a:rPr lang="en-US"/>
                      <a:t>Industry</a:t>
                    </a:r>
                    <a:r>
                      <a:rPr lang="en-US" baseline="0"/>
                      <a:t>
41,52%</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0-2105-4720-BE1F-D689D6E62D8A}"/>
                </c:ext>
                <c:ext xmlns:c15="http://schemas.microsoft.com/office/drawing/2012/chart" uri="{CE6537A1-D6FC-4f65-9D91-7224C49458BB}"/>
              </c:extLst>
            </c:dLbl>
            <c:dLbl>
              <c:idx val="1"/>
              <c:layout>
                <c:manualLayout>
                  <c:x val="0.13763501472428305"/>
                  <c:y val="-0.24839997689775331"/>
                </c:manualLayout>
              </c:layout>
              <c:tx>
                <c:rich>
                  <a:bodyPr/>
                  <a:lstStyle/>
                  <a:p>
                    <a:r>
                      <a:rPr lang="en-US"/>
                      <a:t>Commercial</a:t>
                    </a:r>
                    <a:r>
                      <a:rPr lang="en-US" baseline="0"/>
                      <a:t>
29,23%</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2105-4720-BE1F-D689D6E62D8A}"/>
                </c:ext>
                <c:ext xmlns:c15="http://schemas.microsoft.com/office/drawing/2012/chart" uri="{CE6537A1-D6FC-4f65-9D91-7224C49458BB}"/>
              </c:extLst>
            </c:dLbl>
            <c:dLbl>
              <c:idx val="2"/>
              <c:layout>
                <c:manualLayout>
                  <c:x val="0.12994089221993319"/>
                  <c:y val="4.6834015199797151E-2"/>
                </c:manualLayout>
              </c:layout>
              <c:tx>
                <c:rich>
                  <a:bodyPr/>
                  <a:lstStyle/>
                  <a:p>
                    <a:r>
                      <a:rPr lang="en-US"/>
                      <a:t>Household</a:t>
                    </a:r>
                    <a:r>
                      <a:rPr lang="en-US" baseline="0"/>
                      <a:t>
23,45%</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2-2105-4720-BE1F-D689D6E62D8A}"/>
                </c:ext>
                <c:ext xmlns:c15="http://schemas.microsoft.com/office/drawing/2012/chart" uri="{CE6537A1-D6FC-4f65-9D91-7224C49458BB}"/>
              </c:extLst>
            </c:dLbl>
            <c:dLbl>
              <c:idx val="3"/>
              <c:layout>
                <c:manualLayout>
                  <c:x val="-1.0431027582226379E-2"/>
                  <c:y val="-4.777544616213927E-3"/>
                </c:manualLayout>
              </c:layout>
              <c:tx>
                <c:rich>
                  <a:bodyPr/>
                  <a:lstStyle/>
                  <a:p>
                    <a:r>
                      <a:rPr lang="en-US" baseline="0"/>
                      <a:t>Irrigation
3,77%</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2105-4720-BE1F-D689D6E62D8A}"/>
                </c:ext>
                <c:ext xmlns:c15="http://schemas.microsoft.com/office/drawing/2012/chart" uri="{CE6537A1-D6FC-4f65-9D91-7224C49458BB}"/>
              </c:extLst>
            </c:dLbl>
            <c:dLbl>
              <c:idx val="4"/>
              <c:layout>
                <c:manualLayout>
                  <c:x val="9.4107421965512736E-2"/>
                  <c:y val="-2.6449248856117925E-2"/>
                </c:manualLayout>
              </c:layout>
              <c:tx>
                <c:rich>
                  <a:bodyPr/>
                  <a:lstStyle/>
                  <a:p>
                    <a:r>
                      <a:rPr lang="en-US"/>
                      <a:t>Lighting</a:t>
                    </a:r>
                    <a:r>
                      <a:rPr lang="en-US" baseline="0"/>
                      <a:t>
2,04%</a:t>
                    </a:r>
                  </a:p>
                </c:rich>
              </c:tx>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4-2105-4720-BE1F-D689D6E62D8A}"/>
                </c:ext>
                <c:ext xmlns:c15="http://schemas.microsoft.com/office/drawing/2012/chart" uri="{CE6537A1-D6FC-4f65-9D91-7224C49458BB}"/>
              </c:extLst>
            </c:dLbl>
            <c:numFmt formatCode="0.00%" sourceLinked="0"/>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'tablo 1.12- şekil 1.20'!$A$14:$A$18</c:f>
              <c:strCache>
                <c:ptCount val="5"/>
                <c:pt idx="0">
                  <c:v>Sanayi</c:v>
                </c:pt>
                <c:pt idx="1">
                  <c:v>Ticarethane</c:v>
                </c:pt>
                <c:pt idx="2">
                  <c:v>Mesken</c:v>
                </c:pt>
                <c:pt idx="3">
                  <c:v>Tarımsal Sulama</c:v>
                </c:pt>
                <c:pt idx="4">
                  <c:v>Aydınlatma</c:v>
                </c:pt>
              </c:strCache>
            </c:strRef>
          </c:cat>
          <c:val>
            <c:numRef>
              <c:f>'tablo 1.12- şekil 1.20'!$B$14:$B$18</c:f>
              <c:numCache>
                <c:formatCode>#,##0.00</c:formatCode>
                <c:ptCount val="5"/>
                <c:pt idx="0">
                  <c:v>96995848.191580012</c:v>
                </c:pt>
                <c:pt idx="1">
                  <c:v>68289253.669280022</c:v>
                </c:pt>
                <c:pt idx="2">
                  <c:v>54769979.563479997</c:v>
                </c:pt>
                <c:pt idx="3">
                  <c:v>8799145.2235200051</c:v>
                </c:pt>
                <c:pt idx="4">
                  <c:v>4755802.887500002</c:v>
                </c:pt>
              </c:numCache>
            </c:numRef>
          </c:val>
          <c:extLst xmlns:c16r2="http://schemas.microsoft.com/office/drawing/2015/06/chart">
            <c:ext xmlns:c16="http://schemas.microsoft.com/office/drawing/2014/chart" uri="{C3380CC4-5D6E-409C-BE32-E72D297353CC}">
              <c16:uniqueId val="{00000005-2105-4720-BE1F-D689D6E62D8A}"/>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Consolas">
    <w:panose1 w:val="020B0609020204030204"/>
    <w:charset w:val="A2"/>
    <w:family w:val="modern"/>
    <w:pitch w:val="fixed"/>
    <w:sig w:usb0="E10002FF" w:usb1="4000FCFF" w:usb2="00000009" w:usb3="00000000" w:csb0="0000019F" w:csb1="00000000"/>
  </w:font>
  <w:font w:name="Microsoft JhengHei">
    <w:panose1 w:val="020B0604030504040204"/>
    <w:charset w:val="88"/>
    <w:family w:val="swiss"/>
    <w:pitch w:val="variable"/>
    <w:sig w:usb0="00000087" w:usb1="288F4000" w:usb2="00000016" w:usb3="00000000" w:csb0="00100009"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0D9"/>
    <w:rsid w:val="00FA2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8CF1BA98182A43128C52E9BC520C0BA8">
    <w:name w:val="8CF1BA98182A43128C52E9BC520C0BA8"/>
    <w:rsid w:val="00FA20D9"/>
  </w:style>
  <w:style w:type="paragraph" w:customStyle="1" w:styleId="F1A2D0DD82A44E8DBEAEBD7BD5C045FE">
    <w:name w:val="F1A2D0DD82A44E8DBEAEBD7BD5C045FE"/>
    <w:rsid w:val="00FA20D9"/>
  </w:style>
  <w:style w:type="paragraph" w:customStyle="1" w:styleId="D60A278334C6400988ED8B1DA913ABB5">
    <w:name w:val="D60A278334C6400988ED8B1DA913ABB5"/>
    <w:rsid w:val="00FA20D9"/>
  </w:style>
  <w:style w:type="paragraph" w:customStyle="1" w:styleId="FB70815D31034B14B13B763EC6A22E37">
    <w:name w:val="FB70815D31034B14B13B763EC6A22E37"/>
    <w:rsid w:val="00FA20D9"/>
  </w:style>
  <w:style w:type="paragraph" w:customStyle="1" w:styleId="4775B7E8FD2C4B5BA96DC7E9EA41A257">
    <w:name w:val="4775B7E8FD2C4B5BA96DC7E9EA41A257"/>
    <w:rsid w:val="00FA20D9"/>
  </w:style>
  <w:style w:type="paragraph" w:customStyle="1" w:styleId="3632AA5B771B48B8A31685163884B447">
    <w:name w:val="3632AA5B771B48B8A31685163884B447"/>
    <w:rsid w:val="00FA20D9"/>
  </w:style>
  <w:style w:type="paragraph" w:customStyle="1" w:styleId="871FBE193A29461386D9CD30906B0915">
    <w:name w:val="871FBE193A29461386D9CD30906B0915"/>
    <w:rsid w:val="00FA20D9"/>
  </w:style>
  <w:style w:type="paragraph" w:customStyle="1" w:styleId="D3C205843F954088A5BB3BF66EAE5A3A">
    <w:name w:val="D3C205843F954088A5BB3BF66EAE5A3A"/>
    <w:rsid w:val="00FA20D9"/>
  </w:style>
  <w:style w:type="paragraph" w:customStyle="1" w:styleId="5C285A0F6E324C0FBF532A851F4109FD">
    <w:name w:val="5C285A0F6E324C0FBF532A851F4109FD"/>
    <w:rsid w:val="00FA20D9"/>
  </w:style>
  <w:style w:type="paragraph" w:customStyle="1" w:styleId="63FEDE847DC44AB9BB98003340613A96">
    <w:name w:val="63FEDE847DC44AB9BB98003340613A96"/>
    <w:rsid w:val="00FA20D9"/>
  </w:style>
  <w:style w:type="paragraph" w:customStyle="1" w:styleId="570C4C11007A4F82BFE7FF56E705CFC4">
    <w:name w:val="570C4C11007A4F82BFE7FF56E705CFC4"/>
    <w:rsid w:val="00FA20D9"/>
  </w:style>
  <w:style w:type="paragraph" w:customStyle="1" w:styleId="3196700C6C1C4E429C51B8767362AAA4">
    <w:name w:val="3196700C6C1C4E429C51B8767362AAA4"/>
    <w:rsid w:val="00FA20D9"/>
  </w:style>
  <w:style w:type="paragraph" w:customStyle="1" w:styleId="CCF7EB942C5D486A9CDA2AF1B2888A5E">
    <w:name w:val="CCF7EB942C5D486A9CDA2AF1B2888A5E"/>
    <w:rsid w:val="00FA20D9"/>
  </w:style>
  <w:style w:type="paragraph" w:customStyle="1" w:styleId="C5CE6F2281ED4ACB8C1D488DAF973183">
    <w:name w:val="C5CE6F2281ED4ACB8C1D488DAF973183"/>
    <w:rsid w:val="00FA20D9"/>
  </w:style>
  <w:style w:type="paragraph" w:customStyle="1" w:styleId="C5F71735578D444C8052B88FEA79C789">
    <w:name w:val="C5F71735578D444C8052B88FEA79C789"/>
    <w:rsid w:val="00FA20D9"/>
  </w:style>
  <w:style w:type="paragraph" w:customStyle="1" w:styleId="085E6753DD574D5E81192F8F3189FE74">
    <w:name w:val="085E6753DD574D5E81192F8F3189FE74"/>
    <w:rsid w:val="00FA20D9"/>
  </w:style>
  <w:style w:type="paragraph" w:customStyle="1" w:styleId="790FF89A935B40858CBC2938C91673D8">
    <w:name w:val="790FF89A935B40858CBC2938C91673D8"/>
    <w:rsid w:val="00FA20D9"/>
  </w:style>
  <w:style w:type="paragraph" w:customStyle="1" w:styleId="CDF11F9B8B2D42F08C701C0E0FF315AA">
    <w:name w:val="CDF11F9B8B2D42F08C701C0E0FF315AA"/>
    <w:rsid w:val="00FA20D9"/>
  </w:style>
  <w:style w:type="paragraph" w:customStyle="1" w:styleId="3FAC75404F284C19A96E012E10FFAF8C">
    <w:name w:val="3FAC75404F284C19A96E012E10FFAF8C"/>
    <w:rsid w:val="00FA20D9"/>
  </w:style>
  <w:style w:type="paragraph" w:customStyle="1" w:styleId="8FD3124DB43044D98E2E0AE051B94804">
    <w:name w:val="8FD3124DB43044D98E2E0AE051B94804"/>
    <w:rsid w:val="00FA20D9"/>
  </w:style>
  <w:style w:type="paragraph" w:customStyle="1" w:styleId="B7DD21BBD5D645D5BF074B058EBD8D7F">
    <w:name w:val="B7DD21BBD5D645D5BF074B058EBD8D7F"/>
    <w:rsid w:val="00FA20D9"/>
  </w:style>
  <w:style w:type="paragraph" w:customStyle="1" w:styleId="9A97609DE2C9438CAFA07CD9131FCAD5">
    <w:name w:val="9A97609DE2C9438CAFA07CD9131FCAD5"/>
    <w:rsid w:val="00FA20D9"/>
  </w:style>
  <w:style w:type="paragraph" w:customStyle="1" w:styleId="126B13F0AC794FE183519273FB50F9CB">
    <w:name w:val="126B13F0AC794FE183519273FB50F9CB"/>
    <w:rsid w:val="00FA20D9"/>
  </w:style>
  <w:style w:type="paragraph" w:customStyle="1" w:styleId="CCCE08F6354D4B42AE15127EAE2B0BD0">
    <w:name w:val="CCCE08F6354D4B42AE15127EAE2B0BD0"/>
    <w:rsid w:val="00FA20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226B1-787A-4AE1-B0F2-A2F7065FA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115</Pages>
  <Words>21292</Words>
  <Characters>121366</Characters>
  <Application>Microsoft Office Word</Application>
  <DocSecurity>0</DocSecurity>
  <Lines>1011</Lines>
  <Paragraphs>284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142374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User</cp:lastModifiedBy>
  <cp:revision>11</cp:revision>
  <dcterms:created xsi:type="dcterms:W3CDTF">2019-05-31T11:37:00Z</dcterms:created>
  <dcterms:modified xsi:type="dcterms:W3CDTF">2019-06-27T10:53:00Z</dcterms:modified>
</cp:coreProperties>
</file>