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42061398" w:displacedByCustomXml="next"/>
    <w:bookmarkEnd w:id="0" w:displacedByCustomXml="next"/>
    <w:sdt>
      <w:sdtPr>
        <w:rPr>
          <w:rFonts w:ascii="Times New Roman" w:eastAsiaTheme="majorEastAsia" w:hAnsi="Times New Roman" w:cs="Times New Roman"/>
          <w:b/>
          <w:caps/>
          <w:highlight w:val="yellow"/>
          <w:lang w:eastAsia="en-US"/>
        </w:rPr>
        <w:id w:val="584655442"/>
        <w:docPartObj>
          <w:docPartGallery w:val="Cover Pages"/>
          <w:docPartUnique/>
        </w:docPartObj>
      </w:sdtPr>
      <w:sdtEndPr>
        <w:rPr>
          <w:rFonts w:eastAsia="Calibri"/>
          <w:caps w:val="0"/>
        </w:rPr>
      </w:sdtEndPr>
      <w:sdtContent>
        <w:tbl>
          <w:tblPr>
            <w:tblW w:w="5000" w:type="pct"/>
            <w:jc w:val="center"/>
            <w:tblLook w:val="04A0" w:firstRow="1" w:lastRow="0" w:firstColumn="1" w:lastColumn="0" w:noHBand="0" w:noVBand="1"/>
          </w:tblPr>
          <w:tblGrid>
            <w:gridCol w:w="9922"/>
          </w:tblGrid>
          <w:tr w:rsidR="00A569F9" w:rsidRPr="008902F2" w14:paraId="672A6659" w14:textId="77777777" w:rsidTr="00943F68">
            <w:trPr>
              <w:trHeight w:val="4105"/>
              <w:jc w:val="center"/>
            </w:trPr>
            <w:tc>
              <w:tcPr>
                <w:tcW w:w="5000" w:type="pct"/>
              </w:tcPr>
              <w:p w14:paraId="0A37501D"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5DAB6C7B"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02EB378F"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6A05A809"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5A39BBE3"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41C8F396"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72A3D3EC"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0D0B940D"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0E27B00A"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60061E4C"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44EAFD9C"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4B94D5A5" w14:textId="77777777" w:rsidR="00A569F9" w:rsidRPr="008902F2" w:rsidRDefault="00A569F9" w:rsidP="009B7289">
                <w:pPr>
                  <w:pStyle w:val="AralkYok"/>
                  <w:jc w:val="both"/>
                  <w:rPr>
                    <w:rFonts w:ascii="Times New Roman" w:eastAsiaTheme="majorEastAsia" w:hAnsi="Times New Roman" w:cs="Times New Roman"/>
                    <w:b/>
                    <w:caps/>
                    <w:highlight w:val="yellow"/>
                  </w:rPr>
                </w:pPr>
              </w:p>
              <w:p w14:paraId="3DEEC669" w14:textId="77777777" w:rsidR="00A569F9" w:rsidRPr="008902F2" w:rsidRDefault="00A569F9" w:rsidP="009B7289">
                <w:pPr>
                  <w:pStyle w:val="AralkYok"/>
                  <w:jc w:val="both"/>
                  <w:rPr>
                    <w:rFonts w:ascii="Times New Roman" w:eastAsiaTheme="majorEastAsia" w:hAnsi="Times New Roman" w:cs="Times New Roman"/>
                    <w:b/>
                    <w:caps/>
                    <w:highlight w:val="yellow"/>
                  </w:rPr>
                </w:pPr>
              </w:p>
            </w:tc>
          </w:tr>
          <w:tr w:rsidR="00A569F9" w:rsidRPr="008902F2" w14:paraId="3A4C3C45" w14:textId="77777777">
            <w:trPr>
              <w:trHeight w:val="1440"/>
              <w:jc w:val="center"/>
            </w:trPr>
            <w:sdt>
              <w:sdtPr>
                <w:rPr>
                  <w:rFonts w:ascii="Times New Roman" w:eastAsiaTheme="majorEastAsia" w:hAnsi="Times New Roman"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16070271" w14:textId="77777777" w:rsidR="00A569F9" w:rsidRPr="008902F2" w:rsidRDefault="00867BFD" w:rsidP="009B7289">
                    <w:pPr>
                      <w:pStyle w:val="AralkYok"/>
                      <w:jc w:val="center"/>
                      <w:rPr>
                        <w:rFonts w:ascii="Times New Roman" w:eastAsiaTheme="majorEastAsia" w:hAnsi="Times New Roman" w:cs="Times New Roman"/>
                        <w:sz w:val="96"/>
                        <w:szCs w:val="96"/>
                      </w:rPr>
                    </w:pPr>
                    <w:r w:rsidRPr="008902F2">
                      <w:rPr>
                        <w:rFonts w:ascii="Times New Roman" w:eastAsiaTheme="majorEastAsia" w:hAnsi="Times New Roman" w:cs="Times New Roman"/>
                        <w:sz w:val="96"/>
                        <w:szCs w:val="96"/>
                      </w:rPr>
                      <w:t>ENERGY MARKET REGULATORY AUTHORITY</w:t>
                    </w:r>
                  </w:p>
                </w:tc>
              </w:sdtContent>
            </w:sdt>
          </w:tr>
          <w:tr w:rsidR="00A569F9" w:rsidRPr="008902F2" w14:paraId="4E1B53EF" w14:textId="77777777" w:rsidTr="00943F68">
            <w:trPr>
              <w:trHeight w:val="2333"/>
              <w:jc w:val="center"/>
            </w:trPr>
            <w:sdt>
              <w:sdtPr>
                <w:rPr>
                  <w:rFonts w:ascii="Times New Roman" w:eastAsia="Times New Roman" w:hAnsi="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51C6935E" w14:textId="1DB67F12" w:rsidR="00A569F9" w:rsidRPr="008902F2" w:rsidRDefault="00867BFD" w:rsidP="00914AD7">
                    <w:pPr>
                      <w:pStyle w:val="AralkYok"/>
                      <w:jc w:val="center"/>
                      <w:rPr>
                        <w:rFonts w:ascii="Times New Roman" w:eastAsiaTheme="majorEastAsia" w:hAnsi="Times New Roman" w:cs="Times New Roman"/>
                        <w:sz w:val="96"/>
                        <w:szCs w:val="96"/>
                      </w:rPr>
                    </w:pPr>
                    <w:r w:rsidRPr="008902F2">
                      <w:rPr>
                        <w:rFonts w:ascii="Times New Roman" w:eastAsia="Times New Roman" w:hAnsi="Times New Roman" w:cs="Times New Roman"/>
                        <w:sz w:val="96"/>
                        <w:szCs w:val="96"/>
                      </w:rPr>
                      <w:t xml:space="preserve">2022 </w:t>
                    </w:r>
                    <w:r w:rsidR="00914AD7" w:rsidRPr="008902F2">
                      <w:rPr>
                        <w:rFonts w:ascii="Times New Roman" w:eastAsia="Times New Roman" w:hAnsi="Times New Roman" w:cs="Times New Roman"/>
                        <w:sz w:val="96"/>
                        <w:szCs w:val="96"/>
                      </w:rPr>
                      <w:t>ACTIVITY</w:t>
                    </w:r>
                    <w:r w:rsidRPr="008902F2">
                      <w:rPr>
                        <w:rFonts w:ascii="Times New Roman" w:eastAsia="Times New Roman" w:hAnsi="Times New Roman" w:cs="Times New Roman"/>
                        <w:sz w:val="96"/>
                        <w:szCs w:val="96"/>
                      </w:rPr>
                      <w:t xml:space="preserve"> REPORT</w:t>
                    </w:r>
                  </w:p>
                </w:tc>
              </w:sdtContent>
            </w:sdt>
          </w:tr>
          <w:tr w:rsidR="00A569F9" w:rsidRPr="008902F2" w14:paraId="3656B9AB" w14:textId="77777777">
            <w:trPr>
              <w:trHeight w:val="360"/>
              <w:jc w:val="center"/>
            </w:trPr>
            <w:tc>
              <w:tcPr>
                <w:tcW w:w="5000" w:type="pct"/>
                <w:vAlign w:val="center"/>
              </w:tcPr>
              <w:p w14:paraId="45FB0818" w14:textId="77777777" w:rsidR="00A569F9" w:rsidRPr="008902F2" w:rsidRDefault="00A569F9" w:rsidP="009B7289">
                <w:pPr>
                  <w:pStyle w:val="AralkYok"/>
                  <w:jc w:val="both"/>
                  <w:rPr>
                    <w:rFonts w:ascii="Times New Roman" w:hAnsi="Times New Roman" w:cs="Times New Roman"/>
                    <w:highlight w:val="yellow"/>
                  </w:rPr>
                </w:pPr>
              </w:p>
            </w:tc>
          </w:tr>
          <w:tr w:rsidR="00A569F9" w:rsidRPr="008902F2" w14:paraId="049F31CB" w14:textId="77777777">
            <w:trPr>
              <w:trHeight w:val="360"/>
              <w:jc w:val="center"/>
            </w:trPr>
            <w:tc>
              <w:tcPr>
                <w:tcW w:w="5000" w:type="pct"/>
                <w:vAlign w:val="center"/>
              </w:tcPr>
              <w:p w14:paraId="53128261" w14:textId="77777777" w:rsidR="00A569F9" w:rsidRPr="008902F2" w:rsidRDefault="00A569F9" w:rsidP="009B7289">
                <w:pPr>
                  <w:pStyle w:val="AralkYok"/>
                  <w:jc w:val="both"/>
                  <w:rPr>
                    <w:rFonts w:ascii="Times New Roman" w:hAnsi="Times New Roman" w:cs="Times New Roman"/>
                    <w:b/>
                    <w:bCs/>
                    <w:highlight w:val="yellow"/>
                  </w:rPr>
                </w:pPr>
              </w:p>
            </w:tc>
          </w:tr>
          <w:tr w:rsidR="00A569F9" w:rsidRPr="008902F2" w14:paraId="62486C05" w14:textId="77777777">
            <w:trPr>
              <w:trHeight w:val="360"/>
              <w:jc w:val="center"/>
            </w:trPr>
            <w:tc>
              <w:tcPr>
                <w:tcW w:w="5000" w:type="pct"/>
                <w:vAlign w:val="center"/>
              </w:tcPr>
              <w:p w14:paraId="4101652C" w14:textId="77777777" w:rsidR="00A569F9" w:rsidRPr="008902F2" w:rsidRDefault="00A569F9" w:rsidP="009B7289">
                <w:pPr>
                  <w:pStyle w:val="AralkYok"/>
                  <w:jc w:val="both"/>
                  <w:rPr>
                    <w:rFonts w:ascii="Times New Roman" w:hAnsi="Times New Roman" w:cs="Times New Roman"/>
                    <w:b/>
                    <w:bCs/>
                    <w:highlight w:val="yellow"/>
                  </w:rPr>
                </w:pPr>
              </w:p>
            </w:tc>
          </w:tr>
        </w:tbl>
        <w:p w14:paraId="4B99056E" w14:textId="77777777" w:rsidR="00A569F9" w:rsidRPr="008902F2" w:rsidRDefault="00A569F9" w:rsidP="009B7289">
          <w:pPr>
            <w:rPr>
              <w:rFonts w:ascii="Times New Roman" w:hAnsi="Times New Roman"/>
              <w:highlight w:val="yellow"/>
            </w:rPr>
          </w:pPr>
        </w:p>
        <w:p w14:paraId="1299C43A" w14:textId="77777777" w:rsidR="00A569F9" w:rsidRPr="008902F2" w:rsidRDefault="00A569F9" w:rsidP="009B7289">
          <w:pPr>
            <w:rPr>
              <w:rFonts w:ascii="Times New Roman" w:hAnsi="Times New Roman"/>
              <w:highlight w:val="yellow"/>
            </w:rPr>
          </w:pPr>
        </w:p>
        <w:p w14:paraId="4DDBEF00" w14:textId="77777777" w:rsidR="008354F9" w:rsidRPr="008902F2" w:rsidRDefault="008354F9">
          <w:pPr>
            <w:rPr>
              <w:rFonts w:ascii="Times New Roman" w:eastAsiaTheme="minorHAnsi" w:hAnsi="Times New Roman"/>
              <w:b/>
              <w:color w:val="000000"/>
              <w:highlight w:val="yellow"/>
            </w:rPr>
          </w:pPr>
          <w:r w:rsidRPr="008902F2">
            <w:rPr>
              <w:rFonts w:ascii="Times New Roman" w:eastAsiaTheme="minorHAnsi" w:hAnsi="Times New Roman"/>
              <w:b/>
              <w:color w:val="000000"/>
              <w:highlight w:val="yellow"/>
            </w:rPr>
            <w:br w:type="page"/>
          </w:r>
        </w:p>
      </w:sdtContent>
    </w:sdt>
    <w:p w14:paraId="3461D779" w14:textId="77777777" w:rsidR="00E65EAD" w:rsidRPr="008902F2" w:rsidRDefault="00E65EAD" w:rsidP="00F52D5E">
      <w:pPr>
        <w:pStyle w:val="Balk1"/>
        <w:rPr>
          <w:rFonts w:ascii="Times New Roman" w:hAnsi="Times New Roman" w:cs="Times New Roman"/>
          <w:highlight w:val="yellow"/>
        </w:rPr>
        <w:sectPr w:rsidR="00E65EAD" w:rsidRPr="008902F2"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14:paraId="43210490" w14:textId="77777777" w:rsidR="007675C6" w:rsidRPr="008902F2" w:rsidRDefault="007675C6" w:rsidP="008C40F5">
      <w:pPr>
        <w:jc w:val="center"/>
        <w:rPr>
          <w:rFonts w:ascii="Times New Roman" w:hAnsi="Times New Roman"/>
          <w:b/>
        </w:rPr>
      </w:pPr>
      <w:r w:rsidRPr="008902F2">
        <w:rPr>
          <w:rFonts w:ascii="Times New Roman" w:hAnsi="Times New Roman"/>
          <w:b/>
        </w:rPr>
        <w:lastRenderedPageBreak/>
        <w:t>TABLE OF CONTENTS</w:t>
      </w:r>
    </w:p>
    <w:p w14:paraId="5524AC1D" w14:textId="7092EE79" w:rsidR="00AF69EA" w:rsidRPr="008902F2" w:rsidRDefault="00443693">
      <w:pPr>
        <w:pStyle w:val="T1"/>
        <w:rPr>
          <w:rFonts w:ascii="Times New Roman" w:eastAsiaTheme="minorEastAsia" w:hAnsi="Times New Roman"/>
          <w:b w:val="0"/>
          <w:noProof/>
          <w:lang w:val="en-US"/>
        </w:rPr>
      </w:pPr>
      <w:r w:rsidRPr="008902F2">
        <w:rPr>
          <w:rFonts w:ascii="Times New Roman" w:hAnsi="Times New Roman"/>
        </w:rPr>
        <w:fldChar w:fldCharType="begin"/>
      </w:r>
      <w:r w:rsidR="00364BDD" w:rsidRPr="008902F2">
        <w:rPr>
          <w:rFonts w:ascii="Times New Roman" w:hAnsi="Times New Roman"/>
        </w:rPr>
        <w:instrText>TOC \o "1-4" \h \z \u</w:instrText>
      </w:r>
      <w:r w:rsidRPr="008902F2">
        <w:rPr>
          <w:rFonts w:ascii="Times New Roman" w:hAnsi="Times New Roman"/>
        </w:rPr>
        <w:fldChar w:fldCharType="separate"/>
      </w:r>
      <w:hyperlink w:anchor="_Toc143113390" w:history="1">
        <w:r w:rsidR="00AF69EA" w:rsidRPr="008902F2">
          <w:rPr>
            <w:rStyle w:val="Kpr"/>
            <w:rFonts w:ascii="Times New Roman" w:hAnsi="Times New Roman"/>
            <w:bCs/>
            <w:smallCaps/>
            <w:noProof/>
          </w:rPr>
          <w:t>PART ONE</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_Toc143113390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1</w:t>
        </w:r>
        <w:r w:rsidR="00AF69EA" w:rsidRPr="008902F2">
          <w:rPr>
            <w:rFonts w:ascii="Times New Roman" w:hAnsi="Times New Roman"/>
            <w:noProof/>
            <w:webHidden/>
          </w:rPr>
          <w:fldChar w:fldCharType="end"/>
        </w:r>
      </w:hyperlink>
    </w:p>
    <w:p w14:paraId="7AEBC3F3" w14:textId="64C9BC6F" w:rsidR="00AF69EA" w:rsidRPr="008902F2" w:rsidRDefault="00027659">
      <w:pPr>
        <w:pStyle w:val="T1"/>
        <w:tabs>
          <w:tab w:val="left" w:pos="660"/>
        </w:tabs>
        <w:rPr>
          <w:rFonts w:ascii="Times New Roman" w:eastAsiaTheme="minorEastAsia" w:hAnsi="Times New Roman"/>
          <w:b w:val="0"/>
          <w:noProof/>
          <w:lang w:val="en-US"/>
        </w:rPr>
      </w:pPr>
      <w:hyperlink w:anchor="_Toc143113391" w:history="1">
        <w:r w:rsidR="00AF69EA" w:rsidRPr="008902F2">
          <w:rPr>
            <w:rStyle w:val="Kpr"/>
            <w:rFonts w:ascii="Times New Roman" w:hAnsi="Times New Roman"/>
            <w:noProof/>
            <w:lang w:val="en-US"/>
          </w:rPr>
          <w:t>1.</w:t>
        </w:r>
        <w:r w:rsidR="00AF69EA" w:rsidRPr="008902F2">
          <w:rPr>
            <w:rFonts w:ascii="Times New Roman" w:eastAsiaTheme="minorEastAsia" w:hAnsi="Times New Roman"/>
            <w:b w:val="0"/>
            <w:noProof/>
            <w:lang w:val="en-US"/>
          </w:rPr>
          <w:tab/>
        </w:r>
        <w:r w:rsidR="00AF69EA" w:rsidRPr="008902F2">
          <w:rPr>
            <w:rStyle w:val="Kpr"/>
            <w:rFonts w:ascii="Times New Roman" w:hAnsi="Times New Roman"/>
            <w:noProof/>
            <w:lang w:val="en-US"/>
          </w:rPr>
          <w:t>ENERGY MARKET REGULATORY AUTHORITY</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_Toc143113391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1</w:t>
        </w:r>
        <w:r w:rsidR="00AF69EA" w:rsidRPr="008902F2">
          <w:rPr>
            <w:rFonts w:ascii="Times New Roman" w:hAnsi="Times New Roman"/>
            <w:noProof/>
            <w:webHidden/>
          </w:rPr>
          <w:fldChar w:fldCharType="end"/>
        </w:r>
      </w:hyperlink>
    </w:p>
    <w:p w14:paraId="41C9454D" w14:textId="63ECBD1D" w:rsidR="00AF69EA" w:rsidRPr="008902F2" w:rsidRDefault="00027659">
      <w:pPr>
        <w:pStyle w:val="T2"/>
        <w:rPr>
          <w:rFonts w:ascii="Times New Roman" w:eastAsiaTheme="minorEastAsia" w:hAnsi="Times New Roman"/>
          <w:bCs w:val="0"/>
          <w:lang w:val="en-US"/>
        </w:rPr>
      </w:pPr>
      <w:hyperlink w:anchor="_Toc143113392" w:history="1">
        <w:r w:rsidR="00AF69EA" w:rsidRPr="008902F2">
          <w:rPr>
            <w:rStyle w:val="Kpr"/>
            <w:rFonts w:ascii="Times New Roman" w:hAnsi="Times New Roman"/>
            <w:lang w:val="en-US"/>
          </w:rPr>
          <w:t>1.1.</w:t>
        </w:r>
        <w:r w:rsidR="00AF69EA" w:rsidRPr="008902F2">
          <w:rPr>
            <w:rFonts w:ascii="Times New Roman" w:eastAsiaTheme="minorEastAsia" w:hAnsi="Times New Roman"/>
            <w:bCs w:val="0"/>
            <w:lang w:val="en-US"/>
          </w:rPr>
          <w:tab/>
        </w:r>
        <w:r w:rsidR="00AF69EA" w:rsidRPr="008902F2">
          <w:rPr>
            <w:rStyle w:val="Kpr"/>
            <w:rFonts w:ascii="Times New Roman" w:hAnsi="Times New Roman"/>
            <w:lang w:val="en-US"/>
          </w:rPr>
          <w:t>Duties, Authorities and Responsibilities of the Institution</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_Toc143113392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w:t>
        </w:r>
        <w:r w:rsidR="00AF69EA" w:rsidRPr="008902F2">
          <w:rPr>
            <w:rFonts w:ascii="Times New Roman" w:hAnsi="Times New Roman"/>
            <w:webHidden/>
          </w:rPr>
          <w:fldChar w:fldCharType="end"/>
        </w:r>
      </w:hyperlink>
    </w:p>
    <w:p w14:paraId="617476E8" w14:textId="2433E4AB" w:rsidR="00AF69EA" w:rsidRPr="008902F2" w:rsidRDefault="00027659">
      <w:pPr>
        <w:pStyle w:val="T2"/>
        <w:rPr>
          <w:rFonts w:ascii="Times New Roman" w:eastAsiaTheme="minorEastAsia" w:hAnsi="Times New Roman"/>
          <w:bCs w:val="0"/>
          <w:lang w:val="en-US"/>
        </w:rPr>
      </w:pPr>
      <w:hyperlink w:anchor="_Toc143113393" w:history="1">
        <w:r w:rsidR="00AF69EA" w:rsidRPr="008902F2">
          <w:rPr>
            <w:rStyle w:val="Kpr"/>
            <w:rFonts w:ascii="Times New Roman" w:hAnsi="Times New Roman"/>
            <w:lang w:val="en-US"/>
          </w:rPr>
          <w:t>1.2.</w:t>
        </w:r>
        <w:r w:rsidR="00AF69EA" w:rsidRPr="008902F2">
          <w:rPr>
            <w:rFonts w:ascii="Times New Roman" w:eastAsiaTheme="minorEastAsia" w:hAnsi="Times New Roman"/>
            <w:bCs w:val="0"/>
            <w:lang w:val="en-US"/>
          </w:rPr>
          <w:tab/>
        </w:r>
        <w:r w:rsidR="00AF69EA" w:rsidRPr="008902F2">
          <w:rPr>
            <w:rStyle w:val="Kpr"/>
            <w:rFonts w:ascii="Times New Roman" w:hAnsi="Times New Roman"/>
            <w:lang w:val="en-US"/>
          </w:rPr>
          <w:t>Structure of the Authority</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_Toc143113393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2</w:t>
        </w:r>
        <w:r w:rsidR="00AF69EA" w:rsidRPr="008902F2">
          <w:rPr>
            <w:rFonts w:ascii="Times New Roman" w:hAnsi="Times New Roman"/>
            <w:webHidden/>
          </w:rPr>
          <w:fldChar w:fldCharType="end"/>
        </w:r>
      </w:hyperlink>
    </w:p>
    <w:p w14:paraId="4C029D9D" w14:textId="4F9A8AFE" w:rsidR="00AF69EA" w:rsidRPr="008902F2" w:rsidRDefault="00027659">
      <w:pPr>
        <w:pStyle w:val="T3"/>
        <w:rPr>
          <w:rFonts w:ascii="Times New Roman" w:eastAsiaTheme="minorEastAsia" w:hAnsi="Times New Roman"/>
          <w:noProof/>
          <w:lang w:val="en-US"/>
        </w:rPr>
      </w:pPr>
      <w:hyperlink w:anchor="_Toc143113394" w:history="1">
        <w:r w:rsidR="00AF69EA" w:rsidRPr="008902F2">
          <w:rPr>
            <w:rStyle w:val="Kpr"/>
            <w:rFonts w:ascii="Times New Roman" w:hAnsi="Times New Roman"/>
            <w:noProof/>
            <w:lang w:val="en-US"/>
          </w:rPr>
          <w:t>1.2.1.</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lang w:val="en-US"/>
          </w:rPr>
          <w:t>Energy Market Regulatory Authority</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_Toc143113394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2</w:t>
        </w:r>
        <w:r w:rsidR="00AF69EA" w:rsidRPr="008902F2">
          <w:rPr>
            <w:rFonts w:ascii="Times New Roman" w:hAnsi="Times New Roman"/>
            <w:noProof/>
            <w:webHidden/>
          </w:rPr>
          <w:fldChar w:fldCharType="end"/>
        </w:r>
      </w:hyperlink>
    </w:p>
    <w:p w14:paraId="1B656921" w14:textId="4A40C570" w:rsidR="00AF69EA" w:rsidRPr="008902F2" w:rsidRDefault="00027659">
      <w:pPr>
        <w:pStyle w:val="T3"/>
        <w:rPr>
          <w:rFonts w:ascii="Times New Roman" w:eastAsiaTheme="minorEastAsia" w:hAnsi="Times New Roman"/>
          <w:noProof/>
          <w:lang w:val="en-US"/>
        </w:rPr>
      </w:pPr>
      <w:hyperlink w:anchor="_Toc143113395" w:history="1">
        <w:r w:rsidR="00AF69EA" w:rsidRPr="008902F2">
          <w:rPr>
            <w:rStyle w:val="Kpr"/>
            <w:rFonts w:ascii="Times New Roman" w:hAnsi="Times New Roman"/>
            <w:noProof/>
            <w:lang w:val="en-US"/>
          </w:rPr>
          <w:t>1.2.2.</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lang w:val="en-US"/>
          </w:rPr>
          <w:t>Presidency</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_Toc143113395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5</w:t>
        </w:r>
        <w:r w:rsidR="00AF69EA" w:rsidRPr="008902F2">
          <w:rPr>
            <w:rFonts w:ascii="Times New Roman" w:hAnsi="Times New Roman"/>
            <w:noProof/>
            <w:webHidden/>
          </w:rPr>
          <w:fldChar w:fldCharType="end"/>
        </w:r>
      </w:hyperlink>
    </w:p>
    <w:p w14:paraId="1C7EC958" w14:textId="0A4244C7" w:rsidR="00AF69EA" w:rsidRPr="008902F2" w:rsidRDefault="00027659">
      <w:pPr>
        <w:pStyle w:val="T3"/>
        <w:rPr>
          <w:rFonts w:ascii="Times New Roman" w:eastAsiaTheme="minorEastAsia" w:hAnsi="Times New Roman"/>
          <w:noProof/>
          <w:lang w:val="en-US"/>
        </w:rPr>
      </w:pPr>
      <w:hyperlink w:anchor="_Toc143113396" w:history="1">
        <w:r w:rsidR="00AF69EA" w:rsidRPr="008902F2">
          <w:rPr>
            <w:rStyle w:val="Kpr"/>
            <w:rFonts w:ascii="Times New Roman" w:hAnsi="Times New Roman"/>
            <w:noProof/>
            <w:lang w:val="en-US"/>
          </w:rPr>
          <w:t>1.2.3.</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lang w:val="en-US"/>
          </w:rPr>
          <w:t>Service Units</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_Toc143113396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6</w:t>
        </w:r>
        <w:r w:rsidR="00AF69EA" w:rsidRPr="008902F2">
          <w:rPr>
            <w:rFonts w:ascii="Times New Roman" w:hAnsi="Times New Roman"/>
            <w:noProof/>
            <w:webHidden/>
          </w:rPr>
          <w:fldChar w:fldCharType="end"/>
        </w:r>
      </w:hyperlink>
    </w:p>
    <w:p w14:paraId="46FEEAD8" w14:textId="184F20BB" w:rsidR="00AF69EA" w:rsidRPr="008902F2" w:rsidRDefault="00027659">
      <w:pPr>
        <w:pStyle w:val="T2"/>
        <w:rPr>
          <w:rFonts w:ascii="Times New Roman" w:eastAsiaTheme="minorEastAsia" w:hAnsi="Times New Roman"/>
          <w:bCs w:val="0"/>
          <w:lang w:val="en-US"/>
        </w:rPr>
      </w:pPr>
      <w:hyperlink w:anchor="_Toc143113397" w:history="1">
        <w:r w:rsidR="00AF69EA" w:rsidRPr="008902F2">
          <w:rPr>
            <w:rStyle w:val="Kpr"/>
            <w:rFonts w:ascii="Times New Roman" w:hAnsi="Times New Roman"/>
            <w:lang w:val="en-US"/>
          </w:rPr>
          <w:t>1.3.</w:t>
        </w:r>
        <w:r w:rsidR="00AF69EA" w:rsidRPr="008902F2">
          <w:rPr>
            <w:rFonts w:ascii="Times New Roman" w:eastAsiaTheme="minorEastAsia" w:hAnsi="Times New Roman"/>
            <w:bCs w:val="0"/>
            <w:lang w:val="en-US"/>
          </w:rPr>
          <w:tab/>
        </w:r>
        <w:r w:rsidR="00AF69EA" w:rsidRPr="008902F2">
          <w:rPr>
            <w:rStyle w:val="Kpr"/>
            <w:rFonts w:ascii="Times New Roman" w:hAnsi="Times New Roman"/>
            <w:lang w:val="en-US"/>
          </w:rPr>
          <w:t>Supervision of the Activities of the Institution</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_Toc143113397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8</w:t>
        </w:r>
        <w:r w:rsidR="00AF69EA" w:rsidRPr="008902F2">
          <w:rPr>
            <w:rFonts w:ascii="Times New Roman" w:hAnsi="Times New Roman"/>
            <w:webHidden/>
          </w:rPr>
          <w:fldChar w:fldCharType="end"/>
        </w:r>
      </w:hyperlink>
    </w:p>
    <w:p w14:paraId="0F4FE3BE" w14:textId="77777777" w:rsidR="00120E6C" w:rsidRPr="008902F2" w:rsidRDefault="00027659" w:rsidP="00120E6C">
      <w:pPr>
        <w:pStyle w:val="T1"/>
        <w:tabs>
          <w:tab w:val="left" w:pos="660"/>
        </w:tabs>
        <w:rPr>
          <w:rFonts w:ascii="Times New Roman" w:hAnsi="Times New Roman"/>
          <w:noProof/>
        </w:rPr>
      </w:pPr>
      <w:hyperlink w:anchor="_Toc113615310" w:history="1">
        <w:r w:rsidR="00120E6C" w:rsidRPr="008902F2">
          <w:rPr>
            <w:rStyle w:val="Kpr"/>
            <w:rFonts w:ascii="Times New Roman" w:hAnsi="Times New Roman"/>
            <w:noProof/>
          </w:rPr>
          <w:t>PART TWO</w:t>
        </w:r>
        <w:r w:rsidRPr="008902F2">
          <w:rPr>
            <w:rFonts w:ascii="Times New Roman" w:hAnsi="Times New Roman"/>
            <w:noProof/>
            <w:webHidden/>
          </w:rPr>
          <w:tab/>
        </w:r>
      </w:hyperlink>
      <w:r w:rsidR="006E67B0" w:rsidRPr="008902F2">
        <w:rPr>
          <w:rFonts w:ascii="Times New Roman" w:hAnsi="Times New Roman"/>
          <w:noProof/>
        </w:rPr>
        <w:t>9</w:t>
      </w:r>
      <w:r w:rsidR="00120E6C" w:rsidRPr="008902F2">
        <w:rPr>
          <w:rFonts w:ascii="Times New Roman" w:hAnsi="Times New Roman"/>
          <w:noProof/>
        </w:rPr>
        <w:t xml:space="preserve"> </w:t>
      </w:r>
    </w:p>
    <w:p w14:paraId="59A1D9FF" w14:textId="1316F583" w:rsidR="00120E6C" w:rsidRPr="008902F2" w:rsidRDefault="00120E6C" w:rsidP="00120E6C">
      <w:pPr>
        <w:pStyle w:val="T1"/>
        <w:tabs>
          <w:tab w:val="left" w:pos="660"/>
        </w:tabs>
        <w:rPr>
          <w:rFonts w:ascii="Times New Roman" w:hAnsi="Times New Roman"/>
        </w:rPr>
      </w:pPr>
      <w:r w:rsidRPr="008902F2">
        <w:rPr>
          <w:rFonts w:ascii="Times New Roman" w:hAnsi="Times New Roman"/>
          <w:noProof/>
        </w:rPr>
        <w:t>2.        LEGISLATIVE ACTIVITIES………………………………………………………………</w:t>
      </w:r>
      <w:r w:rsidR="000E41E1" w:rsidRPr="008902F2">
        <w:rPr>
          <w:rFonts w:ascii="Times New Roman" w:hAnsi="Times New Roman"/>
          <w:noProof/>
        </w:rPr>
        <w:t>…9</w:t>
      </w:r>
    </w:p>
    <w:p w14:paraId="316D0CD0" w14:textId="1ABFF4E4" w:rsidR="00027659" w:rsidRPr="008902F2" w:rsidRDefault="00027659" w:rsidP="00027659">
      <w:pPr>
        <w:pStyle w:val="T2"/>
        <w:rPr>
          <w:rFonts w:ascii="Times New Roman" w:eastAsiaTheme="minorEastAsia" w:hAnsi="Times New Roman"/>
          <w:bCs w:val="0"/>
        </w:rPr>
      </w:pPr>
      <w:hyperlink w:anchor="_Toc113615311" w:history="1">
        <w:r w:rsidRPr="008902F2">
          <w:rPr>
            <w:rStyle w:val="Kpr"/>
            <w:rFonts w:ascii="Times New Roman" w:hAnsi="Times New Roman"/>
          </w:rPr>
          <w:t>2.1</w:t>
        </w:r>
        <w:r w:rsidRPr="008902F2">
          <w:rPr>
            <w:rFonts w:ascii="Times New Roman" w:eastAsiaTheme="minorEastAsia" w:hAnsi="Times New Roman"/>
            <w:bCs w:val="0"/>
          </w:rPr>
          <w:tab/>
        </w:r>
        <w:r w:rsidRPr="008902F2">
          <w:rPr>
            <w:rStyle w:val="Kpr"/>
            <w:rFonts w:ascii="Times New Roman" w:hAnsi="Times New Roman"/>
          </w:rPr>
          <w:t>Electricity Market Legislation</w:t>
        </w:r>
        <w:r w:rsidRPr="008902F2">
          <w:rPr>
            <w:rFonts w:ascii="Times New Roman" w:hAnsi="Times New Roman"/>
            <w:webHidden/>
          </w:rPr>
          <w:tab/>
        </w:r>
        <w:r w:rsidR="000E41E1" w:rsidRPr="008902F2">
          <w:rPr>
            <w:rFonts w:ascii="Times New Roman" w:hAnsi="Times New Roman"/>
            <w:webHidden/>
          </w:rPr>
          <w:t>9</w:t>
        </w:r>
      </w:hyperlink>
    </w:p>
    <w:p w14:paraId="3F9158DC" w14:textId="57CEF5A6" w:rsidR="00027659" w:rsidRPr="008902F2" w:rsidRDefault="00027659" w:rsidP="00027659">
      <w:pPr>
        <w:pStyle w:val="T3"/>
        <w:rPr>
          <w:rFonts w:ascii="Times New Roman" w:eastAsiaTheme="minorEastAsia" w:hAnsi="Times New Roman"/>
          <w:noProof/>
        </w:rPr>
      </w:pPr>
      <w:hyperlink w:anchor="_Toc113615312" w:history="1">
        <w:r w:rsidRPr="008902F2">
          <w:rPr>
            <w:rStyle w:val="Kpr"/>
            <w:rFonts w:ascii="Times New Roman" w:hAnsi="Times New Roman"/>
            <w:noProof/>
          </w:rPr>
          <w:t>2.1.1</w:t>
        </w:r>
        <w:r w:rsidR="00047ABC" w:rsidRPr="008902F2">
          <w:rPr>
            <w:rFonts w:ascii="Times New Roman" w:eastAsiaTheme="minorEastAsia" w:hAnsi="Times New Roman"/>
            <w:noProof/>
          </w:rPr>
          <w:t xml:space="preserve">       </w:t>
        </w:r>
        <w:r w:rsidRPr="008902F2">
          <w:rPr>
            <w:rStyle w:val="Kpr"/>
            <w:rFonts w:ascii="Times New Roman" w:hAnsi="Times New Roman"/>
            <w:noProof/>
          </w:rPr>
          <w:t>Law</w:t>
        </w:r>
        <w:r w:rsidR="00047ABC" w:rsidRPr="008902F2">
          <w:rPr>
            <w:rStyle w:val="Kpr"/>
            <w:rFonts w:ascii="Times New Roman" w:hAnsi="Times New Roman"/>
            <w:noProof/>
          </w:rPr>
          <w:t>…………………………………………………………………………………………</w:t>
        </w:r>
      </w:hyperlink>
      <w:r w:rsidR="000E41E1" w:rsidRPr="008902F2">
        <w:rPr>
          <w:rFonts w:ascii="Times New Roman" w:hAnsi="Times New Roman"/>
          <w:noProof/>
        </w:rPr>
        <w:t>….9</w:t>
      </w:r>
    </w:p>
    <w:p w14:paraId="7B9DD006" w14:textId="7F21F221" w:rsidR="00047ABC" w:rsidRPr="008902F2" w:rsidRDefault="00027659" w:rsidP="00027659">
      <w:pPr>
        <w:pStyle w:val="T3"/>
        <w:rPr>
          <w:rFonts w:ascii="Times New Roman" w:hAnsi="Times New Roman"/>
          <w:noProof/>
        </w:rPr>
      </w:pPr>
      <w:hyperlink w:anchor="_Toc113615313" w:history="1">
        <w:r w:rsidRPr="008902F2">
          <w:rPr>
            <w:rStyle w:val="Kpr"/>
            <w:rFonts w:ascii="Times New Roman" w:hAnsi="Times New Roman"/>
            <w:noProof/>
          </w:rPr>
          <w:t>2.1.2</w:t>
        </w:r>
        <w:r w:rsidR="00047ABC" w:rsidRPr="008902F2">
          <w:rPr>
            <w:rFonts w:ascii="Times New Roman" w:eastAsiaTheme="minorEastAsia" w:hAnsi="Times New Roman"/>
            <w:noProof/>
          </w:rPr>
          <w:t xml:space="preserve">       </w:t>
        </w:r>
        <w:r w:rsidRPr="008902F2">
          <w:rPr>
            <w:rStyle w:val="Kpr"/>
            <w:rFonts w:ascii="Times New Roman" w:hAnsi="Times New Roman"/>
            <w:noProof/>
          </w:rPr>
          <w:t>Regulations</w:t>
        </w:r>
        <w:r w:rsidRPr="008902F2">
          <w:rPr>
            <w:rFonts w:ascii="Times New Roman" w:hAnsi="Times New Roman"/>
            <w:noProof/>
            <w:webHidden/>
          </w:rPr>
          <w:tab/>
        </w:r>
      </w:hyperlink>
      <w:r w:rsidR="00047ABC" w:rsidRPr="008902F2">
        <w:rPr>
          <w:rFonts w:ascii="Times New Roman" w:hAnsi="Times New Roman"/>
          <w:noProof/>
        </w:rPr>
        <w:t xml:space="preserve">12 </w:t>
      </w:r>
    </w:p>
    <w:p w14:paraId="7228E475" w14:textId="77777777" w:rsidR="000E41E1" w:rsidRPr="008902F2" w:rsidRDefault="00047ABC" w:rsidP="00027659">
      <w:pPr>
        <w:pStyle w:val="T3"/>
        <w:rPr>
          <w:rFonts w:ascii="Times New Roman" w:hAnsi="Times New Roman"/>
          <w:noProof/>
        </w:rPr>
      </w:pPr>
      <w:r w:rsidRPr="008902F2">
        <w:rPr>
          <w:rFonts w:ascii="Times New Roman" w:hAnsi="Times New Roman"/>
          <w:noProof/>
        </w:rPr>
        <w:t>2.1.3.   Communiques………………………………………………………………………………</w:t>
      </w:r>
      <w:r w:rsidR="000E41E1" w:rsidRPr="008902F2">
        <w:rPr>
          <w:rFonts w:ascii="Times New Roman" w:hAnsi="Times New Roman"/>
          <w:noProof/>
        </w:rPr>
        <w:t>40</w:t>
      </w:r>
      <w:r w:rsidRPr="008902F2">
        <w:rPr>
          <w:rFonts w:ascii="Times New Roman" w:hAnsi="Times New Roman"/>
          <w:noProof/>
        </w:rPr>
        <w:t xml:space="preserve"> 2.1.4.</w:t>
      </w:r>
      <w:r w:rsidRPr="008902F2">
        <w:rPr>
          <w:rFonts w:ascii="Times New Roman" w:hAnsi="Times New Roman"/>
        </w:rPr>
        <w:t xml:space="preserve">      </w:t>
      </w:r>
      <w:r w:rsidRPr="008902F2">
        <w:rPr>
          <w:rFonts w:ascii="Times New Roman" w:hAnsi="Times New Roman"/>
          <w:noProof/>
        </w:rPr>
        <w:t>Board Decisions………………………………………………………………………</w:t>
      </w:r>
      <w:r w:rsidR="000E41E1" w:rsidRPr="008902F2">
        <w:rPr>
          <w:rFonts w:ascii="Times New Roman" w:hAnsi="Times New Roman"/>
          <w:noProof/>
        </w:rPr>
        <w:t xml:space="preserve">………40 </w:t>
      </w:r>
    </w:p>
    <w:p w14:paraId="460ACCD5" w14:textId="70E8A478" w:rsidR="00027659" w:rsidRPr="008902F2" w:rsidRDefault="000E41E1" w:rsidP="00027659">
      <w:pPr>
        <w:pStyle w:val="T3"/>
        <w:rPr>
          <w:rFonts w:ascii="Times New Roman" w:hAnsi="Times New Roman"/>
          <w:noProof/>
        </w:rPr>
      </w:pPr>
      <w:r w:rsidRPr="008902F2">
        <w:rPr>
          <w:rFonts w:ascii="Times New Roman" w:hAnsi="Times New Roman"/>
          <w:noProof/>
        </w:rPr>
        <w:t xml:space="preserve">2.2.       </w:t>
      </w:r>
      <w:r w:rsidRPr="008902F2">
        <w:rPr>
          <w:rFonts w:ascii="Times New Roman" w:hAnsi="Times New Roman"/>
        </w:rPr>
        <w:t>Charging Service Market Legislation………………………………………………………….58</w:t>
      </w:r>
      <w:r w:rsidR="00047ABC" w:rsidRPr="008902F2">
        <w:rPr>
          <w:rFonts w:ascii="Times New Roman" w:hAnsi="Times New Roman"/>
          <w:noProof/>
        </w:rPr>
        <w:t xml:space="preserve">           </w:t>
      </w:r>
    </w:p>
    <w:p w14:paraId="140E346B" w14:textId="54FB844A" w:rsidR="000E41E1" w:rsidRPr="008902F2" w:rsidRDefault="000E41E1" w:rsidP="000E41E1">
      <w:pPr>
        <w:pStyle w:val="T3"/>
        <w:rPr>
          <w:rFonts w:ascii="Times New Roman" w:eastAsiaTheme="minorEastAsia" w:hAnsi="Times New Roman"/>
          <w:noProof/>
        </w:rPr>
      </w:pPr>
      <w:hyperlink w:anchor="_Toc113615315" w:history="1">
        <w:r w:rsidRPr="008902F2">
          <w:rPr>
            <w:rStyle w:val="Kpr"/>
            <w:rFonts w:ascii="Times New Roman" w:hAnsi="Times New Roman"/>
            <w:noProof/>
          </w:rPr>
          <w:t>2.2.1</w:t>
        </w:r>
        <w:r w:rsidRPr="008902F2">
          <w:rPr>
            <w:rStyle w:val="Kpr"/>
            <w:rFonts w:ascii="Times New Roman" w:eastAsia="Times New Roman" w:hAnsi="Times New Roman"/>
            <w:noProof/>
          </w:rPr>
          <w:t xml:space="preserve">       </w:t>
        </w:r>
        <w:r w:rsidRPr="008902F2">
          <w:rPr>
            <w:rStyle w:val="Kpr"/>
            <w:rFonts w:ascii="Times New Roman" w:hAnsi="Times New Roman"/>
            <w:noProof/>
          </w:rPr>
          <w:t>Law…………...............</w:t>
        </w:r>
        <w:r w:rsidRPr="008902F2">
          <w:rPr>
            <w:rFonts w:ascii="Times New Roman" w:hAnsi="Times New Roman"/>
            <w:noProof/>
            <w:webHidden/>
          </w:rPr>
          <w:tab/>
        </w:r>
      </w:hyperlink>
      <w:r w:rsidRPr="008902F2">
        <w:rPr>
          <w:rFonts w:ascii="Times New Roman" w:hAnsi="Times New Roman"/>
          <w:noProof/>
        </w:rPr>
        <w:t>58</w:t>
      </w:r>
    </w:p>
    <w:p w14:paraId="7FFD9CF9" w14:textId="3562F62B" w:rsidR="000E41E1" w:rsidRPr="008902F2" w:rsidRDefault="000E41E1" w:rsidP="000E41E1">
      <w:pPr>
        <w:pStyle w:val="T3"/>
        <w:rPr>
          <w:rFonts w:ascii="Times New Roman" w:eastAsiaTheme="minorEastAsia" w:hAnsi="Times New Roman"/>
          <w:noProof/>
        </w:rPr>
      </w:pPr>
      <w:hyperlink w:anchor="_Toc113615316" w:history="1">
        <w:r w:rsidRPr="008902F2">
          <w:rPr>
            <w:rStyle w:val="Kpr"/>
            <w:rFonts w:ascii="Times New Roman" w:hAnsi="Times New Roman"/>
            <w:noProof/>
          </w:rPr>
          <w:t>2.2.2</w:t>
        </w:r>
        <w:r w:rsidRPr="008902F2">
          <w:rPr>
            <w:rStyle w:val="Kpr"/>
            <w:rFonts w:ascii="Times New Roman" w:eastAsia="Times New Roman" w:hAnsi="Times New Roman"/>
            <w:noProof/>
          </w:rPr>
          <w:t xml:space="preserve">       </w:t>
        </w:r>
        <w:r w:rsidRPr="008902F2">
          <w:rPr>
            <w:rStyle w:val="Kpr"/>
            <w:rFonts w:ascii="Times New Roman" w:hAnsi="Times New Roman"/>
            <w:noProof/>
          </w:rPr>
          <w:t>Regulations</w:t>
        </w:r>
        <w:r w:rsidRPr="008902F2">
          <w:rPr>
            <w:rFonts w:ascii="Times New Roman" w:hAnsi="Times New Roman"/>
            <w:noProof/>
            <w:webHidden/>
          </w:rPr>
          <w:tab/>
          <w:t>58</w:t>
        </w:r>
      </w:hyperlink>
    </w:p>
    <w:p w14:paraId="105F8AC0" w14:textId="57955703" w:rsidR="000E41E1" w:rsidRPr="008902F2" w:rsidRDefault="000E41E1" w:rsidP="000E41E1">
      <w:pPr>
        <w:pStyle w:val="T3"/>
        <w:rPr>
          <w:rFonts w:ascii="Times New Roman" w:eastAsiaTheme="minorEastAsia" w:hAnsi="Times New Roman"/>
          <w:noProof/>
        </w:rPr>
      </w:pPr>
      <w:hyperlink w:anchor="_Toc113615317" w:history="1">
        <w:r w:rsidRPr="008902F2">
          <w:rPr>
            <w:rStyle w:val="Kpr"/>
            <w:rFonts w:ascii="Times New Roman" w:hAnsi="Times New Roman"/>
            <w:noProof/>
          </w:rPr>
          <w:t>2.2.3</w:t>
        </w:r>
        <w:r w:rsidRPr="008902F2">
          <w:rPr>
            <w:rStyle w:val="Kpr"/>
            <w:rFonts w:ascii="Times New Roman" w:eastAsia="Times New Roman" w:hAnsi="Times New Roman"/>
            <w:noProof/>
          </w:rPr>
          <w:t xml:space="preserve">       </w:t>
        </w:r>
      </w:hyperlink>
      <w:hyperlink w:anchor="_Toc113615318" w:history="1">
        <w:r w:rsidRPr="008902F2">
          <w:rPr>
            <w:rStyle w:val="Kpr"/>
            <w:rFonts w:ascii="Times New Roman" w:eastAsia="Times New Roman" w:hAnsi="Times New Roman"/>
            <w:noProof/>
          </w:rPr>
          <w:t xml:space="preserve"> </w:t>
        </w:r>
        <w:r w:rsidRPr="008902F2">
          <w:rPr>
            <w:rStyle w:val="Kpr"/>
            <w:rFonts w:ascii="Times New Roman" w:hAnsi="Times New Roman"/>
            <w:noProof/>
          </w:rPr>
          <w:t>Board Decisions</w:t>
        </w:r>
        <w:r w:rsidRPr="008902F2">
          <w:rPr>
            <w:rFonts w:ascii="Times New Roman" w:hAnsi="Times New Roman"/>
            <w:noProof/>
            <w:webHidden/>
          </w:rPr>
          <w:tab/>
          <w:t>59</w:t>
        </w:r>
      </w:hyperlink>
    </w:p>
    <w:p w14:paraId="2760EA36" w14:textId="1EC64C15" w:rsidR="00027659" w:rsidRPr="008902F2" w:rsidRDefault="00027659" w:rsidP="00027659">
      <w:pPr>
        <w:pStyle w:val="T2"/>
        <w:rPr>
          <w:rFonts w:ascii="Times New Roman" w:hAnsi="Times New Roman"/>
        </w:rPr>
      </w:pPr>
      <w:hyperlink w:anchor="_Toc113615314" w:history="1">
        <w:r w:rsidR="000E41E1" w:rsidRPr="008902F2">
          <w:rPr>
            <w:rStyle w:val="Kpr"/>
            <w:rFonts w:ascii="Times New Roman" w:hAnsi="Times New Roman"/>
          </w:rPr>
          <w:t>2.3.</w:t>
        </w:r>
        <w:r w:rsidRPr="008902F2">
          <w:rPr>
            <w:rStyle w:val="Kpr"/>
            <w:rFonts w:ascii="Times New Roman" w:hAnsi="Times New Roman"/>
          </w:rPr>
          <w:t xml:space="preserve">  </w:t>
        </w:r>
        <w:r w:rsidRPr="008902F2">
          <w:rPr>
            <w:rStyle w:val="Kpr"/>
            <w:rFonts w:ascii="Times New Roman" w:hAnsi="Times New Roman"/>
          </w:rPr>
          <w:tab/>
          <w:t>Natural Gas Market Legislation</w:t>
        </w:r>
        <w:r w:rsidRPr="008902F2">
          <w:rPr>
            <w:rFonts w:ascii="Times New Roman" w:hAnsi="Times New Roman"/>
            <w:webHidden/>
          </w:rPr>
          <w:tab/>
        </w:r>
        <w:r w:rsidR="000E41E1" w:rsidRPr="008902F2">
          <w:rPr>
            <w:rFonts w:ascii="Times New Roman" w:hAnsi="Times New Roman"/>
            <w:webHidden/>
          </w:rPr>
          <w:t>60</w:t>
        </w:r>
      </w:hyperlink>
    </w:p>
    <w:p w14:paraId="4026AF42" w14:textId="7F52C494" w:rsidR="000E41E1" w:rsidRPr="008902F2" w:rsidRDefault="000E41E1" w:rsidP="000E41E1">
      <w:pPr>
        <w:pStyle w:val="T3"/>
        <w:rPr>
          <w:rFonts w:ascii="Times New Roman" w:eastAsiaTheme="minorEastAsia" w:hAnsi="Times New Roman"/>
          <w:noProof/>
        </w:rPr>
      </w:pPr>
      <w:hyperlink w:anchor="_Toc113615325" w:history="1">
        <w:r w:rsidRPr="008902F2">
          <w:rPr>
            <w:rStyle w:val="Kpr"/>
            <w:rFonts w:ascii="Times New Roman" w:hAnsi="Times New Roman"/>
            <w:noProof/>
          </w:rPr>
          <w:t xml:space="preserve">2.3.1 </w:t>
        </w:r>
        <w:r w:rsidRPr="008902F2">
          <w:rPr>
            <w:rStyle w:val="Kpr"/>
            <w:rFonts w:ascii="Times New Roman" w:hAnsi="Times New Roman"/>
            <w:noProof/>
          </w:rPr>
          <w:tab/>
          <w:t>Law</w:t>
        </w:r>
        <w:r w:rsidRPr="008902F2">
          <w:rPr>
            <w:rFonts w:ascii="Times New Roman" w:hAnsi="Times New Roman"/>
            <w:noProof/>
            <w:webHidden/>
          </w:rPr>
          <w:tab/>
          <w:t>60</w:t>
        </w:r>
      </w:hyperlink>
    </w:p>
    <w:p w14:paraId="271E4B59" w14:textId="535B579D" w:rsidR="000E41E1" w:rsidRPr="008902F2" w:rsidRDefault="000E41E1" w:rsidP="000E41E1">
      <w:pPr>
        <w:pStyle w:val="T3"/>
        <w:rPr>
          <w:rFonts w:ascii="Times New Roman" w:eastAsiaTheme="minorEastAsia" w:hAnsi="Times New Roman"/>
          <w:noProof/>
        </w:rPr>
      </w:pPr>
      <w:hyperlink w:anchor="_Toc113615326" w:history="1">
        <w:r w:rsidRPr="008902F2">
          <w:rPr>
            <w:rStyle w:val="Kpr"/>
            <w:rFonts w:ascii="Times New Roman" w:hAnsi="Times New Roman"/>
            <w:noProof/>
          </w:rPr>
          <w:t>2.3.2</w:t>
        </w:r>
        <w:r w:rsidRPr="008902F2">
          <w:rPr>
            <w:rFonts w:ascii="Times New Roman" w:eastAsiaTheme="minorEastAsia" w:hAnsi="Times New Roman"/>
            <w:noProof/>
          </w:rPr>
          <w:tab/>
        </w:r>
        <w:r w:rsidRPr="008902F2">
          <w:rPr>
            <w:rStyle w:val="Kpr"/>
            <w:rFonts w:ascii="Times New Roman" w:hAnsi="Times New Roman"/>
            <w:noProof/>
          </w:rPr>
          <w:t>Regulations</w:t>
        </w:r>
        <w:r w:rsidRPr="008902F2">
          <w:rPr>
            <w:rFonts w:ascii="Times New Roman" w:hAnsi="Times New Roman"/>
            <w:noProof/>
            <w:webHidden/>
          </w:rPr>
          <w:tab/>
          <w:t>61</w:t>
        </w:r>
      </w:hyperlink>
    </w:p>
    <w:p w14:paraId="503D5D0A" w14:textId="65950DDD" w:rsidR="000E41E1" w:rsidRPr="008902F2" w:rsidRDefault="000E41E1" w:rsidP="000E41E1">
      <w:pPr>
        <w:pStyle w:val="T3"/>
        <w:rPr>
          <w:rFonts w:ascii="Times New Roman" w:eastAsiaTheme="minorEastAsia" w:hAnsi="Times New Roman"/>
          <w:noProof/>
        </w:rPr>
      </w:pPr>
      <w:hyperlink w:anchor="_Toc113615327" w:history="1">
        <w:r w:rsidRPr="008902F2">
          <w:rPr>
            <w:rStyle w:val="Kpr"/>
            <w:rFonts w:ascii="Times New Roman" w:hAnsi="Times New Roman"/>
            <w:noProof/>
          </w:rPr>
          <w:t>2.3.3</w:t>
        </w:r>
        <w:r w:rsidRPr="008902F2">
          <w:rPr>
            <w:rFonts w:ascii="Times New Roman" w:eastAsiaTheme="minorEastAsia" w:hAnsi="Times New Roman"/>
            <w:noProof/>
          </w:rPr>
          <w:tab/>
        </w:r>
        <w:r w:rsidRPr="008902F2">
          <w:rPr>
            <w:rStyle w:val="Kpr"/>
            <w:rFonts w:ascii="Times New Roman" w:hAnsi="Times New Roman"/>
            <w:noProof/>
          </w:rPr>
          <w:t>Communiques</w:t>
        </w:r>
        <w:r w:rsidRPr="008902F2">
          <w:rPr>
            <w:rFonts w:ascii="Times New Roman" w:hAnsi="Times New Roman"/>
            <w:noProof/>
            <w:webHidden/>
          </w:rPr>
          <w:tab/>
        </w:r>
        <w:r w:rsidR="00C04D2D" w:rsidRPr="008902F2">
          <w:rPr>
            <w:rFonts w:ascii="Times New Roman" w:hAnsi="Times New Roman"/>
            <w:noProof/>
            <w:webHidden/>
          </w:rPr>
          <w:t>89</w:t>
        </w:r>
      </w:hyperlink>
    </w:p>
    <w:p w14:paraId="5D271BF4" w14:textId="01521916" w:rsidR="000E41E1" w:rsidRPr="008902F2" w:rsidRDefault="000E41E1" w:rsidP="000E41E1">
      <w:pPr>
        <w:pStyle w:val="T3"/>
        <w:rPr>
          <w:rFonts w:ascii="Times New Roman" w:eastAsiaTheme="minorEastAsia" w:hAnsi="Times New Roman"/>
          <w:noProof/>
        </w:rPr>
      </w:pPr>
      <w:hyperlink w:anchor="_Toc113615328" w:history="1">
        <w:r w:rsidR="00C04D2D" w:rsidRPr="008902F2">
          <w:rPr>
            <w:rStyle w:val="Kpr"/>
            <w:rFonts w:ascii="Times New Roman" w:hAnsi="Times New Roman"/>
            <w:noProof/>
          </w:rPr>
          <w:t>2.3</w:t>
        </w:r>
        <w:r w:rsidRPr="008902F2">
          <w:rPr>
            <w:rStyle w:val="Kpr"/>
            <w:rFonts w:ascii="Times New Roman" w:hAnsi="Times New Roman"/>
            <w:noProof/>
          </w:rPr>
          <w:t>.4</w:t>
        </w:r>
        <w:r w:rsidRPr="008902F2">
          <w:rPr>
            <w:rFonts w:ascii="Times New Roman" w:eastAsiaTheme="minorEastAsia" w:hAnsi="Times New Roman"/>
            <w:noProof/>
          </w:rPr>
          <w:tab/>
        </w:r>
        <w:r w:rsidRPr="008902F2">
          <w:rPr>
            <w:rStyle w:val="Kpr"/>
            <w:rFonts w:ascii="Times New Roman" w:hAnsi="Times New Roman"/>
            <w:noProof/>
          </w:rPr>
          <w:t>Board Decisions</w:t>
        </w:r>
        <w:r w:rsidRPr="008902F2">
          <w:rPr>
            <w:rFonts w:ascii="Times New Roman" w:hAnsi="Times New Roman"/>
            <w:noProof/>
            <w:webHidden/>
          </w:rPr>
          <w:tab/>
        </w:r>
        <w:r w:rsidR="00C04D2D" w:rsidRPr="008902F2">
          <w:rPr>
            <w:rFonts w:ascii="Times New Roman" w:hAnsi="Times New Roman"/>
            <w:noProof/>
            <w:webHidden/>
          </w:rPr>
          <w:t>89</w:t>
        </w:r>
      </w:hyperlink>
    </w:p>
    <w:p w14:paraId="3370F29F" w14:textId="4130E3C1" w:rsidR="00027659" w:rsidRPr="008902F2" w:rsidRDefault="00027659" w:rsidP="00027659">
      <w:pPr>
        <w:pStyle w:val="T2"/>
        <w:rPr>
          <w:rFonts w:ascii="Times New Roman" w:eastAsiaTheme="minorEastAsia" w:hAnsi="Times New Roman"/>
          <w:bCs w:val="0"/>
        </w:rPr>
      </w:pPr>
      <w:hyperlink w:anchor="_Toc113615319" w:history="1">
        <w:r w:rsidR="00C04D2D" w:rsidRPr="008902F2">
          <w:rPr>
            <w:rStyle w:val="Kpr"/>
            <w:rFonts w:ascii="Times New Roman" w:hAnsi="Times New Roman"/>
          </w:rPr>
          <w:t>2.4</w:t>
        </w:r>
        <w:r w:rsidRPr="008902F2">
          <w:rPr>
            <w:rStyle w:val="Kpr"/>
            <w:rFonts w:ascii="Times New Roman" w:hAnsi="Times New Roman"/>
          </w:rPr>
          <w:t xml:space="preserve">. </w:t>
        </w:r>
        <w:r w:rsidRPr="008902F2">
          <w:rPr>
            <w:rStyle w:val="Kpr"/>
            <w:rFonts w:ascii="Times New Roman" w:hAnsi="Times New Roman"/>
          </w:rPr>
          <w:tab/>
          <w:t>Petroleum Market Legislation</w:t>
        </w:r>
        <w:r w:rsidRPr="008902F2">
          <w:rPr>
            <w:rFonts w:ascii="Times New Roman" w:hAnsi="Times New Roman"/>
            <w:webHidden/>
          </w:rPr>
          <w:tab/>
        </w:r>
        <w:r w:rsidR="00C04D2D" w:rsidRPr="008902F2">
          <w:rPr>
            <w:rFonts w:ascii="Times New Roman" w:hAnsi="Times New Roman"/>
            <w:webHidden/>
          </w:rPr>
          <w:t>116</w:t>
        </w:r>
      </w:hyperlink>
    </w:p>
    <w:p w14:paraId="3DBBFDC6" w14:textId="13C38D3F" w:rsidR="00027659" w:rsidRPr="008902F2" w:rsidRDefault="00027659" w:rsidP="00027659">
      <w:pPr>
        <w:pStyle w:val="T3"/>
        <w:rPr>
          <w:rFonts w:ascii="Times New Roman" w:eastAsiaTheme="minorEastAsia" w:hAnsi="Times New Roman"/>
          <w:noProof/>
        </w:rPr>
      </w:pPr>
      <w:hyperlink w:anchor="_Toc113615321" w:history="1">
        <w:r w:rsidR="00C04D2D" w:rsidRPr="008902F2">
          <w:rPr>
            <w:rStyle w:val="Kpr"/>
            <w:rFonts w:ascii="Times New Roman" w:hAnsi="Times New Roman"/>
            <w:noProof/>
          </w:rPr>
          <w:t>2.4.1.</w:t>
        </w:r>
        <w:r w:rsidRPr="008902F2">
          <w:rPr>
            <w:rFonts w:ascii="Times New Roman" w:eastAsiaTheme="minorEastAsia" w:hAnsi="Times New Roman"/>
            <w:noProof/>
          </w:rPr>
          <w:tab/>
        </w:r>
        <w:r w:rsidRPr="008902F2">
          <w:rPr>
            <w:rStyle w:val="Kpr"/>
            <w:rFonts w:ascii="Times New Roman" w:hAnsi="Times New Roman"/>
            <w:noProof/>
          </w:rPr>
          <w:t>Regulations</w:t>
        </w:r>
        <w:r w:rsidRPr="008902F2">
          <w:rPr>
            <w:rFonts w:ascii="Times New Roman" w:hAnsi="Times New Roman"/>
            <w:noProof/>
            <w:webHidden/>
          </w:rPr>
          <w:tab/>
        </w:r>
        <w:r w:rsidR="00C04D2D" w:rsidRPr="008902F2">
          <w:rPr>
            <w:rFonts w:ascii="Times New Roman" w:hAnsi="Times New Roman"/>
            <w:noProof/>
            <w:webHidden/>
          </w:rPr>
          <w:t>116</w:t>
        </w:r>
      </w:hyperlink>
    </w:p>
    <w:p w14:paraId="70036061" w14:textId="62ADA034" w:rsidR="00027659" w:rsidRPr="008902F2" w:rsidRDefault="00027659" w:rsidP="00027659">
      <w:pPr>
        <w:pStyle w:val="T3"/>
        <w:rPr>
          <w:rFonts w:ascii="Times New Roman" w:eastAsiaTheme="minorEastAsia" w:hAnsi="Times New Roman"/>
          <w:noProof/>
        </w:rPr>
      </w:pPr>
      <w:hyperlink w:anchor="_Toc113615322" w:history="1">
        <w:r w:rsidR="00C04D2D" w:rsidRPr="008902F2">
          <w:rPr>
            <w:rStyle w:val="Kpr"/>
            <w:rFonts w:ascii="Times New Roman" w:hAnsi="Times New Roman"/>
            <w:noProof/>
          </w:rPr>
          <w:t>2.4.2.</w:t>
        </w:r>
        <w:r w:rsidRPr="008902F2">
          <w:rPr>
            <w:rFonts w:ascii="Times New Roman" w:eastAsiaTheme="minorEastAsia" w:hAnsi="Times New Roman"/>
            <w:noProof/>
          </w:rPr>
          <w:tab/>
        </w:r>
        <w:r w:rsidR="00C04D2D" w:rsidRPr="008902F2">
          <w:rPr>
            <w:rStyle w:val="Kpr"/>
            <w:rFonts w:ascii="Times New Roman" w:hAnsi="Times New Roman"/>
            <w:noProof/>
          </w:rPr>
          <w:t>Communiques</w:t>
        </w:r>
        <w:r w:rsidRPr="008902F2">
          <w:rPr>
            <w:rFonts w:ascii="Times New Roman" w:hAnsi="Times New Roman"/>
            <w:noProof/>
            <w:webHidden/>
          </w:rPr>
          <w:tab/>
        </w:r>
        <w:r w:rsidR="00C04D2D" w:rsidRPr="008902F2">
          <w:rPr>
            <w:rFonts w:ascii="Times New Roman" w:hAnsi="Times New Roman"/>
            <w:noProof/>
            <w:webHidden/>
          </w:rPr>
          <w:t>116</w:t>
        </w:r>
      </w:hyperlink>
    </w:p>
    <w:p w14:paraId="4C956612" w14:textId="01BD1067" w:rsidR="00027659" w:rsidRPr="008902F2" w:rsidRDefault="00027659" w:rsidP="00027659">
      <w:pPr>
        <w:pStyle w:val="T3"/>
        <w:rPr>
          <w:rFonts w:ascii="Times New Roman" w:eastAsiaTheme="minorEastAsia" w:hAnsi="Times New Roman"/>
          <w:noProof/>
        </w:rPr>
      </w:pPr>
      <w:hyperlink w:anchor="_Toc113615323" w:history="1">
        <w:r w:rsidR="00C04D2D" w:rsidRPr="008902F2">
          <w:rPr>
            <w:rStyle w:val="Kpr"/>
            <w:rFonts w:ascii="Times New Roman" w:hAnsi="Times New Roman"/>
            <w:noProof/>
          </w:rPr>
          <w:t>2.4.3.</w:t>
        </w:r>
        <w:r w:rsidRPr="008902F2">
          <w:rPr>
            <w:rFonts w:ascii="Times New Roman" w:eastAsiaTheme="minorEastAsia" w:hAnsi="Times New Roman"/>
            <w:noProof/>
          </w:rPr>
          <w:tab/>
        </w:r>
        <w:r w:rsidRPr="008902F2">
          <w:rPr>
            <w:rStyle w:val="Kpr"/>
            <w:rFonts w:ascii="Times New Roman" w:hAnsi="Times New Roman"/>
            <w:noProof/>
          </w:rPr>
          <w:t>Board Decisions</w:t>
        </w:r>
        <w:r w:rsidRPr="008902F2">
          <w:rPr>
            <w:rFonts w:ascii="Times New Roman" w:hAnsi="Times New Roman"/>
            <w:noProof/>
            <w:webHidden/>
          </w:rPr>
          <w:tab/>
        </w:r>
        <w:r w:rsidR="00C04D2D" w:rsidRPr="008902F2">
          <w:rPr>
            <w:rFonts w:ascii="Times New Roman" w:hAnsi="Times New Roman"/>
            <w:noProof/>
            <w:webHidden/>
          </w:rPr>
          <w:t>117</w:t>
        </w:r>
      </w:hyperlink>
    </w:p>
    <w:p w14:paraId="1A798BB2" w14:textId="114B0371" w:rsidR="00027659" w:rsidRPr="008902F2" w:rsidRDefault="00027659" w:rsidP="00027659">
      <w:pPr>
        <w:pStyle w:val="T2"/>
        <w:rPr>
          <w:rFonts w:ascii="Times New Roman" w:eastAsiaTheme="minorEastAsia" w:hAnsi="Times New Roman"/>
          <w:bCs w:val="0"/>
        </w:rPr>
      </w:pPr>
      <w:hyperlink w:anchor="_Toc113615324" w:history="1">
        <w:r w:rsidR="00C04D2D" w:rsidRPr="008902F2">
          <w:rPr>
            <w:rStyle w:val="Kpr"/>
            <w:rFonts w:ascii="Times New Roman" w:hAnsi="Times New Roman"/>
          </w:rPr>
          <w:t>2.5.</w:t>
        </w:r>
        <w:r w:rsidRPr="008902F2">
          <w:rPr>
            <w:rFonts w:ascii="Times New Roman" w:eastAsiaTheme="minorEastAsia" w:hAnsi="Times New Roman"/>
            <w:bCs w:val="0"/>
          </w:rPr>
          <w:tab/>
        </w:r>
        <w:r w:rsidRPr="008902F2">
          <w:rPr>
            <w:rStyle w:val="Kpr"/>
            <w:rFonts w:ascii="Times New Roman" w:hAnsi="Times New Roman"/>
          </w:rPr>
          <w:t>Liquefied Petroleum Gas (LPG) Market Legislation</w:t>
        </w:r>
        <w:r w:rsidRPr="008902F2">
          <w:rPr>
            <w:rFonts w:ascii="Times New Roman" w:hAnsi="Times New Roman"/>
            <w:webHidden/>
          </w:rPr>
          <w:tab/>
        </w:r>
        <w:r w:rsidR="00C04D2D" w:rsidRPr="008902F2">
          <w:rPr>
            <w:rFonts w:ascii="Times New Roman" w:hAnsi="Times New Roman"/>
            <w:webHidden/>
          </w:rPr>
          <w:t>119</w:t>
        </w:r>
      </w:hyperlink>
    </w:p>
    <w:p w14:paraId="43F0E642" w14:textId="18853145" w:rsidR="00027659" w:rsidRPr="008902F2" w:rsidRDefault="00027659" w:rsidP="00027659">
      <w:pPr>
        <w:pStyle w:val="T3"/>
        <w:rPr>
          <w:rFonts w:ascii="Times New Roman" w:eastAsiaTheme="minorEastAsia" w:hAnsi="Times New Roman"/>
          <w:noProof/>
        </w:rPr>
      </w:pPr>
      <w:hyperlink w:anchor="_Toc113615325" w:history="1">
        <w:r w:rsidRPr="008902F2">
          <w:rPr>
            <w:rStyle w:val="Kpr"/>
            <w:rFonts w:ascii="Times New Roman" w:hAnsi="Times New Roman"/>
            <w:noProof/>
          </w:rPr>
          <w:t xml:space="preserve">2.4.1 </w:t>
        </w:r>
        <w:r w:rsidRPr="008902F2">
          <w:rPr>
            <w:rStyle w:val="Kpr"/>
            <w:rFonts w:ascii="Times New Roman" w:hAnsi="Times New Roman"/>
            <w:noProof/>
          </w:rPr>
          <w:tab/>
          <w:t>Law</w:t>
        </w:r>
        <w:r w:rsidRPr="008902F2">
          <w:rPr>
            <w:rFonts w:ascii="Times New Roman" w:hAnsi="Times New Roman"/>
            <w:noProof/>
            <w:webHidden/>
          </w:rPr>
          <w:tab/>
        </w:r>
        <w:r w:rsidR="00C04D2D" w:rsidRPr="008902F2">
          <w:rPr>
            <w:rFonts w:ascii="Times New Roman" w:hAnsi="Times New Roman"/>
            <w:noProof/>
            <w:webHidden/>
          </w:rPr>
          <w:t>119</w:t>
        </w:r>
      </w:hyperlink>
    </w:p>
    <w:p w14:paraId="0BBE4D78" w14:textId="7515D52D" w:rsidR="00027659" w:rsidRPr="008902F2" w:rsidRDefault="00027659" w:rsidP="00027659">
      <w:pPr>
        <w:pStyle w:val="T3"/>
        <w:rPr>
          <w:rFonts w:ascii="Times New Roman" w:eastAsiaTheme="minorEastAsia" w:hAnsi="Times New Roman"/>
          <w:noProof/>
        </w:rPr>
      </w:pPr>
      <w:hyperlink w:anchor="_Toc113615326" w:history="1">
        <w:r w:rsidRPr="008902F2">
          <w:rPr>
            <w:rStyle w:val="Kpr"/>
            <w:rFonts w:ascii="Times New Roman" w:hAnsi="Times New Roman"/>
            <w:noProof/>
          </w:rPr>
          <w:t>2.4.2</w:t>
        </w:r>
        <w:r w:rsidRPr="008902F2">
          <w:rPr>
            <w:rFonts w:ascii="Times New Roman" w:eastAsiaTheme="minorEastAsia" w:hAnsi="Times New Roman"/>
            <w:noProof/>
          </w:rPr>
          <w:tab/>
        </w:r>
        <w:r w:rsidRPr="008902F2">
          <w:rPr>
            <w:rStyle w:val="Kpr"/>
            <w:rFonts w:ascii="Times New Roman" w:hAnsi="Times New Roman"/>
            <w:noProof/>
          </w:rPr>
          <w:t>Regulations</w:t>
        </w:r>
        <w:r w:rsidRPr="008902F2">
          <w:rPr>
            <w:rFonts w:ascii="Times New Roman" w:hAnsi="Times New Roman"/>
            <w:noProof/>
            <w:webHidden/>
          </w:rPr>
          <w:tab/>
        </w:r>
        <w:r w:rsidR="00C04D2D" w:rsidRPr="008902F2">
          <w:rPr>
            <w:rFonts w:ascii="Times New Roman" w:hAnsi="Times New Roman"/>
            <w:noProof/>
            <w:webHidden/>
          </w:rPr>
          <w:t>119</w:t>
        </w:r>
      </w:hyperlink>
    </w:p>
    <w:p w14:paraId="1EAE9FC1" w14:textId="03B81AC8" w:rsidR="00027659" w:rsidRPr="008902F2" w:rsidRDefault="00027659" w:rsidP="00027659">
      <w:pPr>
        <w:pStyle w:val="T3"/>
        <w:rPr>
          <w:rFonts w:ascii="Times New Roman" w:eastAsiaTheme="minorEastAsia" w:hAnsi="Times New Roman"/>
          <w:noProof/>
        </w:rPr>
      </w:pPr>
      <w:hyperlink w:anchor="_Toc113615327" w:history="1">
        <w:r w:rsidRPr="008902F2">
          <w:rPr>
            <w:rStyle w:val="Kpr"/>
            <w:rFonts w:ascii="Times New Roman" w:hAnsi="Times New Roman"/>
            <w:noProof/>
          </w:rPr>
          <w:t>2.4.3</w:t>
        </w:r>
        <w:r w:rsidRPr="008902F2">
          <w:rPr>
            <w:rFonts w:ascii="Times New Roman" w:eastAsiaTheme="minorEastAsia" w:hAnsi="Times New Roman"/>
            <w:noProof/>
          </w:rPr>
          <w:tab/>
        </w:r>
        <w:r w:rsidRPr="008902F2">
          <w:rPr>
            <w:rStyle w:val="Kpr"/>
            <w:rFonts w:ascii="Times New Roman" w:hAnsi="Times New Roman"/>
            <w:noProof/>
          </w:rPr>
          <w:t>Communiques</w:t>
        </w:r>
        <w:r w:rsidRPr="008902F2">
          <w:rPr>
            <w:rFonts w:ascii="Times New Roman" w:hAnsi="Times New Roman"/>
            <w:noProof/>
            <w:webHidden/>
          </w:rPr>
          <w:tab/>
        </w:r>
        <w:r w:rsidR="00C04D2D" w:rsidRPr="008902F2">
          <w:rPr>
            <w:rFonts w:ascii="Times New Roman" w:hAnsi="Times New Roman"/>
            <w:noProof/>
            <w:webHidden/>
          </w:rPr>
          <w:t>122</w:t>
        </w:r>
      </w:hyperlink>
    </w:p>
    <w:p w14:paraId="2C337A91" w14:textId="47B10603" w:rsidR="00027659" w:rsidRPr="008902F2" w:rsidRDefault="00027659" w:rsidP="00027659">
      <w:pPr>
        <w:pStyle w:val="T3"/>
        <w:rPr>
          <w:rFonts w:ascii="Times New Roman" w:eastAsiaTheme="minorEastAsia" w:hAnsi="Times New Roman"/>
          <w:noProof/>
        </w:rPr>
      </w:pPr>
      <w:hyperlink w:anchor="_Toc113615328" w:history="1">
        <w:r w:rsidRPr="008902F2">
          <w:rPr>
            <w:rStyle w:val="Kpr"/>
            <w:rFonts w:ascii="Times New Roman" w:hAnsi="Times New Roman"/>
            <w:noProof/>
          </w:rPr>
          <w:t>2.4.4</w:t>
        </w:r>
        <w:r w:rsidRPr="008902F2">
          <w:rPr>
            <w:rFonts w:ascii="Times New Roman" w:eastAsiaTheme="minorEastAsia" w:hAnsi="Times New Roman"/>
            <w:noProof/>
          </w:rPr>
          <w:tab/>
        </w:r>
        <w:r w:rsidRPr="008902F2">
          <w:rPr>
            <w:rStyle w:val="Kpr"/>
            <w:rFonts w:ascii="Times New Roman" w:hAnsi="Times New Roman"/>
            <w:noProof/>
          </w:rPr>
          <w:t>Board Decisions</w:t>
        </w:r>
        <w:r w:rsidRPr="008902F2">
          <w:rPr>
            <w:rFonts w:ascii="Times New Roman" w:hAnsi="Times New Roman"/>
            <w:noProof/>
            <w:webHidden/>
          </w:rPr>
          <w:tab/>
        </w:r>
        <w:r w:rsidR="00C04D2D" w:rsidRPr="008902F2">
          <w:rPr>
            <w:rFonts w:ascii="Times New Roman" w:hAnsi="Times New Roman"/>
            <w:noProof/>
            <w:webHidden/>
          </w:rPr>
          <w:t>122</w:t>
        </w:r>
      </w:hyperlink>
    </w:p>
    <w:p w14:paraId="4DF1E324" w14:textId="0889F56A" w:rsidR="00027659" w:rsidRPr="008902F2" w:rsidRDefault="00027659" w:rsidP="00027659">
      <w:pPr>
        <w:pStyle w:val="T2"/>
        <w:rPr>
          <w:rFonts w:ascii="Times New Roman" w:eastAsiaTheme="minorEastAsia" w:hAnsi="Times New Roman"/>
          <w:bCs w:val="0"/>
        </w:rPr>
      </w:pPr>
      <w:hyperlink w:anchor="_Toc113615329" w:history="1">
        <w:r w:rsidRPr="008902F2">
          <w:rPr>
            <w:rStyle w:val="Kpr"/>
            <w:rFonts w:ascii="Times New Roman" w:hAnsi="Times New Roman"/>
          </w:rPr>
          <w:t>2.5</w:t>
        </w:r>
        <w:r w:rsidRPr="008902F2">
          <w:rPr>
            <w:rFonts w:ascii="Times New Roman" w:eastAsiaTheme="minorEastAsia" w:hAnsi="Times New Roman"/>
            <w:bCs w:val="0"/>
          </w:rPr>
          <w:tab/>
        </w:r>
        <w:r w:rsidRPr="008902F2">
          <w:rPr>
            <w:rStyle w:val="Kpr"/>
            <w:rFonts w:ascii="Times New Roman" w:hAnsi="Times New Roman"/>
          </w:rPr>
          <w:t>Other Legislation Activities</w:t>
        </w:r>
        <w:r w:rsidRPr="008902F2">
          <w:rPr>
            <w:rFonts w:ascii="Times New Roman" w:hAnsi="Times New Roman"/>
            <w:webHidden/>
          </w:rPr>
          <w:tab/>
        </w:r>
        <w:r w:rsidR="00C04D2D" w:rsidRPr="008902F2">
          <w:rPr>
            <w:rFonts w:ascii="Times New Roman" w:hAnsi="Times New Roman"/>
            <w:webHidden/>
          </w:rPr>
          <w:t>123</w:t>
        </w:r>
      </w:hyperlink>
    </w:p>
    <w:p w14:paraId="53A3CD72" w14:textId="21694671" w:rsidR="00027659" w:rsidRPr="008902F2" w:rsidRDefault="00027659" w:rsidP="00027659">
      <w:pPr>
        <w:pStyle w:val="T3"/>
        <w:rPr>
          <w:rFonts w:ascii="Times New Roman" w:eastAsiaTheme="minorEastAsia" w:hAnsi="Times New Roman"/>
          <w:noProof/>
        </w:rPr>
      </w:pPr>
      <w:hyperlink w:anchor="_Toc113615330" w:history="1">
        <w:r w:rsidRPr="008902F2">
          <w:rPr>
            <w:rStyle w:val="Kpr"/>
            <w:rFonts w:ascii="Times New Roman" w:hAnsi="Times New Roman"/>
            <w:noProof/>
          </w:rPr>
          <w:t>2.5.1.    Legislative Changes Regarding Energy Market Notifications</w:t>
        </w:r>
        <w:r w:rsidRPr="008902F2">
          <w:rPr>
            <w:rFonts w:ascii="Times New Roman" w:hAnsi="Times New Roman"/>
            <w:noProof/>
            <w:webHidden/>
          </w:rPr>
          <w:tab/>
        </w:r>
        <w:r w:rsidR="00C04D2D" w:rsidRPr="008902F2">
          <w:rPr>
            <w:rFonts w:ascii="Times New Roman" w:hAnsi="Times New Roman"/>
            <w:noProof/>
            <w:webHidden/>
          </w:rPr>
          <w:t>123</w:t>
        </w:r>
      </w:hyperlink>
    </w:p>
    <w:p w14:paraId="22F35C7B" w14:textId="5879A6D4" w:rsidR="00D34812" w:rsidRPr="008902F2" w:rsidRDefault="00027659" w:rsidP="00027659">
      <w:pPr>
        <w:pStyle w:val="T3"/>
        <w:rPr>
          <w:rFonts w:ascii="Times New Roman" w:hAnsi="Times New Roman"/>
        </w:rPr>
      </w:pPr>
      <w:hyperlink w:anchor="_Toc113615331" w:history="1">
        <w:r w:rsidRPr="008902F2">
          <w:rPr>
            <w:rStyle w:val="Kpr"/>
            <w:rFonts w:ascii="Times New Roman" w:hAnsi="Times New Roman"/>
            <w:noProof/>
          </w:rPr>
          <w:t>2.5.2</w:t>
        </w:r>
        <w:r w:rsidRPr="008902F2">
          <w:rPr>
            <w:rFonts w:ascii="Times New Roman" w:eastAsiaTheme="minorEastAsia" w:hAnsi="Times New Roman"/>
            <w:noProof/>
          </w:rPr>
          <w:tab/>
        </w:r>
        <w:r w:rsidRPr="008902F2">
          <w:rPr>
            <w:rStyle w:val="Kpr"/>
            <w:rFonts w:ascii="Times New Roman" w:hAnsi="Times New Roman"/>
            <w:noProof/>
          </w:rPr>
          <w:t>Other Changes</w:t>
        </w:r>
        <w:r w:rsidRPr="008902F2">
          <w:rPr>
            <w:rFonts w:ascii="Times New Roman" w:hAnsi="Times New Roman"/>
            <w:noProof/>
            <w:webHidden/>
          </w:rPr>
          <w:tab/>
        </w:r>
        <w:r w:rsidR="00C04D2D" w:rsidRPr="008902F2">
          <w:rPr>
            <w:rFonts w:ascii="Times New Roman" w:hAnsi="Times New Roman"/>
            <w:noProof/>
            <w:webHidden/>
          </w:rPr>
          <w:t>124</w:t>
        </w:r>
      </w:hyperlink>
    </w:p>
    <w:p w14:paraId="46513B8D" w14:textId="79C4AF11" w:rsidR="00AF69EA" w:rsidRPr="008902F2" w:rsidRDefault="00027659">
      <w:pPr>
        <w:pStyle w:val="T1"/>
        <w:tabs>
          <w:tab w:val="left" w:pos="660"/>
        </w:tabs>
        <w:rPr>
          <w:rFonts w:ascii="Times New Roman" w:eastAsiaTheme="minorEastAsia" w:hAnsi="Times New Roman"/>
          <w:b w:val="0"/>
          <w:noProof/>
          <w:lang w:val="en-US"/>
        </w:rPr>
      </w:pPr>
      <w:hyperlink w:anchor="_Toc143113402" w:history="1">
        <w:r w:rsidR="00AF69EA" w:rsidRPr="008902F2">
          <w:rPr>
            <w:rStyle w:val="Kpr"/>
            <w:rFonts w:ascii="Times New Roman" w:hAnsi="Times New Roman"/>
            <w:noProof/>
            <w:lang w:val="en-US"/>
          </w:rPr>
          <w:t>3.</w:t>
        </w:r>
        <w:r w:rsidR="00AF69EA" w:rsidRPr="008902F2">
          <w:rPr>
            <w:rFonts w:ascii="Times New Roman" w:eastAsiaTheme="minorEastAsia" w:hAnsi="Times New Roman"/>
            <w:b w:val="0"/>
            <w:noProof/>
            <w:lang w:val="en-US"/>
          </w:rPr>
          <w:tab/>
        </w:r>
        <w:r w:rsidR="00AF69EA" w:rsidRPr="008902F2">
          <w:rPr>
            <w:rStyle w:val="Kpr"/>
            <w:rFonts w:ascii="Times New Roman" w:hAnsi="Times New Roman"/>
            <w:noProof/>
            <w:lang w:val="en-US"/>
          </w:rPr>
          <w:t>LICENSING, CERTIFICATION AND PERMITTING ACTIVITIES</w:t>
        </w:r>
        <w:r w:rsidR="00AF69EA" w:rsidRPr="008902F2">
          <w:rPr>
            <w:rFonts w:ascii="Times New Roman" w:hAnsi="Times New Roman"/>
            <w:noProof/>
            <w:webHidden/>
          </w:rPr>
          <w:tab/>
        </w:r>
        <w:r w:rsidR="00C04D2D" w:rsidRPr="008902F2">
          <w:rPr>
            <w:rFonts w:ascii="Times New Roman" w:hAnsi="Times New Roman"/>
            <w:noProof/>
            <w:webHidden/>
          </w:rPr>
          <w:t>132</w:t>
        </w:r>
      </w:hyperlink>
    </w:p>
    <w:p w14:paraId="35666079" w14:textId="6159B336" w:rsidR="00AF69EA" w:rsidRPr="008902F2" w:rsidRDefault="00027659">
      <w:pPr>
        <w:pStyle w:val="T2"/>
        <w:rPr>
          <w:rFonts w:ascii="Times New Roman" w:eastAsiaTheme="minorEastAsia" w:hAnsi="Times New Roman"/>
          <w:bCs w:val="0"/>
          <w:lang w:val="en-US"/>
        </w:rPr>
      </w:pPr>
      <w:hyperlink w:anchor="_Toc143113403" w:history="1">
        <w:r w:rsidR="00AF69EA" w:rsidRPr="008902F2">
          <w:rPr>
            <w:rStyle w:val="Kpr"/>
            <w:rFonts w:ascii="Times New Roman" w:hAnsi="Times New Roman"/>
          </w:rPr>
          <w:t>3.1.</w:t>
        </w:r>
        <w:r w:rsidR="00AF69EA" w:rsidRPr="008902F2">
          <w:rPr>
            <w:rFonts w:ascii="Times New Roman" w:eastAsiaTheme="minorEastAsia" w:hAnsi="Times New Roman"/>
            <w:bCs w:val="0"/>
            <w:lang w:val="en-US"/>
          </w:rPr>
          <w:tab/>
        </w:r>
        <w:r w:rsidR="00AF69EA" w:rsidRPr="008902F2">
          <w:rPr>
            <w:rStyle w:val="Kpr"/>
            <w:rFonts w:ascii="Times New Roman" w:hAnsi="Times New Roman"/>
          </w:rPr>
          <w:t>Electricity Market Licensing and Permitting Activities</w:t>
        </w:r>
        <w:r w:rsidR="00AF69EA" w:rsidRPr="008902F2">
          <w:rPr>
            <w:rFonts w:ascii="Times New Roman" w:hAnsi="Times New Roman"/>
            <w:webHidden/>
          </w:rPr>
          <w:tab/>
        </w:r>
        <w:r w:rsidR="00C04D2D" w:rsidRPr="008902F2">
          <w:rPr>
            <w:rFonts w:ascii="Times New Roman" w:hAnsi="Times New Roman"/>
            <w:webHidden/>
          </w:rPr>
          <w:t>132</w:t>
        </w:r>
      </w:hyperlink>
    </w:p>
    <w:p w14:paraId="338FCA0A" w14:textId="1A147B8C" w:rsidR="00AF69EA" w:rsidRPr="008902F2" w:rsidRDefault="00027659">
      <w:pPr>
        <w:pStyle w:val="T3"/>
        <w:rPr>
          <w:rFonts w:ascii="Times New Roman" w:eastAsiaTheme="minorEastAsia" w:hAnsi="Times New Roman"/>
          <w:noProof/>
          <w:lang w:val="en-US"/>
        </w:rPr>
      </w:pPr>
      <w:hyperlink w:anchor="_Toc143113404" w:history="1">
        <w:r w:rsidR="00AF69EA" w:rsidRPr="008902F2">
          <w:rPr>
            <w:rStyle w:val="Kpr"/>
            <w:rFonts w:ascii="Times New Roman" w:hAnsi="Times New Roman"/>
            <w:noProof/>
          </w:rPr>
          <w:t>3.1.1.</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Licensing Activities</w:t>
        </w:r>
        <w:r w:rsidR="00AF69EA" w:rsidRPr="008902F2">
          <w:rPr>
            <w:rFonts w:ascii="Times New Roman" w:hAnsi="Times New Roman"/>
            <w:noProof/>
            <w:webHidden/>
          </w:rPr>
          <w:tab/>
        </w:r>
        <w:r w:rsidR="00C04D2D" w:rsidRPr="008902F2">
          <w:rPr>
            <w:rFonts w:ascii="Times New Roman" w:hAnsi="Times New Roman"/>
            <w:noProof/>
            <w:webHidden/>
          </w:rPr>
          <w:t>132</w:t>
        </w:r>
      </w:hyperlink>
    </w:p>
    <w:p w14:paraId="2E46B16F" w14:textId="2168B738" w:rsidR="00AF69EA" w:rsidRPr="008902F2" w:rsidRDefault="00027659">
      <w:pPr>
        <w:pStyle w:val="T3"/>
        <w:rPr>
          <w:rFonts w:ascii="Times New Roman" w:eastAsiaTheme="minorEastAsia" w:hAnsi="Times New Roman"/>
          <w:noProof/>
          <w:lang w:val="en-US"/>
        </w:rPr>
      </w:pPr>
      <w:hyperlink w:anchor="_Toc143113405" w:history="1">
        <w:r w:rsidR="00AF69EA" w:rsidRPr="008902F2">
          <w:rPr>
            <w:rStyle w:val="Kpr"/>
            <w:rFonts w:ascii="Times New Roman" w:hAnsi="Times New Roman"/>
            <w:noProof/>
          </w:rPr>
          <w:t>3.1.2.</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Import and Export Permits</w:t>
        </w:r>
        <w:r w:rsidR="00AF69EA" w:rsidRPr="008902F2">
          <w:rPr>
            <w:rFonts w:ascii="Times New Roman" w:hAnsi="Times New Roman"/>
            <w:noProof/>
            <w:webHidden/>
          </w:rPr>
          <w:tab/>
        </w:r>
        <w:r w:rsidR="00C04D2D" w:rsidRPr="008902F2">
          <w:rPr>
            <w:rFonts w:ascii="Times New Roman" w:hAnsi="Times New Roman"/>
            <w:noProof/>
            <w:webHidden/>
          </w:rPr>
          <w:t>13</w:t>
        </w:r>
      </w:hyperlink>
      <w:r w:rsidR="00C04D2D" w:rsidRPr="008902F2">
        <w:rPr>
          <w:rFonts w:ascii="Times New Roman" w:hAnsi="Times New Roman"/>
          <w:noProof/>
        </w:rPr>
        <w:t>4</w:t>
      </w:r>
    </w:p>
    <w:p w14:paraId="6911B3F5" w14:textId="23C3CA10" w:rsidR="00AF69EA" w:rsidRPr="008902F2" w:rsidRDefault="00027659">
      <w:pPr>
        <w:pStyle w:val="T2"/>
        <w:rPr>
          <w:rFonts w:ascii="Times New Roman" w:eastAsiaTheme="minorEastAsia" w:hAnsi="Times New Roman"/>
          <w:bCs w:val="0"/>
          <w:lang w:val="en-US"/>
        </w:rPr>
      </w:pPr>
      <w:hyperlink w:anchor="_Toc143113406" w:history="1">
        <w:r w:rsidR="00AF69EA" w:rsidRPr="008902F2">
          <w:rPr>
            <w:rStyle w:val="Kpr"/>
            <w:rFonts w:ascii="Times New Roman" w:hAnsi="Times New Roman"/>
          </w:rPr>
          <w:t>3.2.</w:t>
        </w:r>
        <w:r w:rsidR="00AF69EA" w:rsidRPr="008902F2">
          <w:rPr>
            <w:rFonts w:ascii="Times New Roman" w:eastAsiaTheme="minorEastAsia" w:hAnsi="Times New Roman"/>
            <w:bCs w:val="0"/>
            <w:lang w:val="en-US"/>
          </w:rPr>
          <w:tab/>
        </w:r>
        <w:r w:rsidR="00AF69EA" w:rsidRPr="008902F2">
          <w:rPr>
            <w:rStyle w:val="Kpr"/>
            <w:rFonts w:ascii="Times New Roman" w:hAnsi="Times New Roman"/>
          </w:rPr>
          <w:t>Charging Service Market Licensing Activities</w:t>
        </w:r>
        <w:r w:rsidR="00AF69EA" w:rsidRPr="008902F2">
          <w:rPr>
            <w:rFonts w:ascii="Times New Roman" w:hAnsi="Times New Roman"/>
            <w:webHidden/>
          </w:rPr>
          <w:tab/>
        </w:r>
        <w:r w:rsidR="00C04D2D" w:rsidRPr="008902F2">
          <w:rPr>
            <w:rFonts w:ascii="Times New Roman" w:hAnsi="Times New Roman"/>
            <w:webHidden/>
          </w:rPr>
          <w:t>13</w:t>
        </w:r>
      </w:hyperlink>
      <w:r w:rsidR="00C04D2D" w:rsidRPr="008902F2">
        <w:rPr>
          <w:rFonts w:ascii="Times New Roman" w:hAnsi="Times New Roman"/>
        </w:rPr>
        <w:t>5</w:t>
      </w:r>
    </w:p>
    <w:p w14:paraId="6731A687" w14:textId="544C3EA9" w:rsidR="00AF69EA" w:rsidRPr="008902F2" w:rsidRDefault="00027659">
      <w:pPr>
        <w:pStyle w:val="T2"/>
        <w:rPr>
          <w:rFonts w:ascii="Times New Roman" w:eastAsiaTheme="minorEastAsia" w:hAnsi="Times New Roman"/>
          <w:bCs w:val="0"/>
          <w:lang w:val="en-US"/>
        </w:rPr>
      </w:pPr>
      <w:hyperlink w:anchor="_Toc143113407" w:history="1">
        <w:r w:rsidR="00AF69EA" w:rsidRPr="008902F2">
          <w:rPr>
            <w:rStyle w:val="Kpr"/>
            <w:rFonts w:ascii="Times New Roman" w:hAnsi="Times New Roman"/>
          </w:rPr>
          <w:t>3.3.</w:t>
        </w:r>
        <w:r w:rsidR="00AF69EA" w:rsidRPr="008902F2">
          <w:rPr>
            <w:rFonts w:ascii="Times New Roman" w:eastAsiaTheme="minorEastAsia" w:hAnsi="Times New Roman"/>
            <w:bCs w:val="0"/>
            <w:lang w:val="en-US"/>
          </w:rPr>
          <w:tab/>
        </w:r>
        <w:r w:rsidR="00AF69EA" w:rsidRPr="008902F2">
          <w:rPr>
            <w:rStyle w:val="Kpr"/>
            <w:rFonts w:ascii="Times New Roman" w:hAnsi="Times New Roman"/>
          </w:rPr>
          <w:t>Natural Gas Market Licensing and Certification Activities</w:t>
        </w:r>
        <w:r w:rsidR="00AF69EA" w:rsidRPr="008902F2">
          <w:rPr>
            <w:rFonts w:ascii="Times New Roman" w:hAnsi="Times New Roman"/>
            <w:webHidden/>
          </w:rPr>
          <w:tab/>
        </w:r>
        <w:r w:rsidR="00C04D2D" w:rsidRPr="008902F2">
          <w:rPr>
            <w:rFonts w:ascii="Times New Roman" w:hAnsi="Times New Roman"/>
            <w:webHidden/>
          </w:rPr>
          <w:t>13</w:t>
        </w:r>
      </w:hyperlink>
      <w:r w:rsidR="00C04D2D" w:rsidRPr="008902F2">
        <w:rPr>
          <w:rFonts w:ascii="Times New Roman" w:hAnsi="Times New Roman"/>
        </w:rPr>
        <w:t>6</w:t>
      </w:r>
    </w:p>
    <w:p w14:paraId="76CE71CA" w14:textId="5F219FE1" w:rsidR="00AF69EA" w:rsidRPr="008902F2" w:rsidRDefault="00027659">
      <w:pPr>
        <w:pStyle w:val="T3"/>
        <w:rPr>
          <w:rFonts w:ascii="Times New Roman" w:eastAsiaTheme="minorEastAsia" w:hAnsi="Times New Roman"/>
          <w:noProof/>
          <w:lang w:val="en-US"/>
        </w:rPr>
      </w:pPr>
      <w:hyperlink w:anchor="_Toc143113408" w:history="1">
        <w:r w:rsidR="00AF69EA" w:rsidRPr="008902F2">
          <w:rPr>
            <w:rStyle w:val="Kpr"/>
            <w:rFonts w:ascii="Times New Roman" w:hAnsi="Times New Roman"/>
            <w:noProof/>
          </w:rPr>
          <w:t>3.3.1.</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Licensing Procedures</w:t>
        </w:r>
        <w:r w:rsidR="00AF69EA" w:rsidRPr="008902F2">
          <w:rPr>
            <w:rFonts w:ascii="Times New Roman" w:hAnsi="Times New Roman"/>
            <w:noProof/>
            <w:webHidden/>
          </w:rPr>
          <w:tab/>
        </w:r>
        <w:r w:rsidR="00C04D2D" w:rsidRPr="008902F2">
          <w:rPr>
            <w:rFonts w:ascii="Times New Roman" w:hAnsi="Times New Roman"/>
            <w:noProof/>
            <w:webHidden/>
          </w:rPr>
          <w:t>136</w:t>
        </w:r>
      </w:hyperlink>
    </w:p>
    <w:p w14:paraId="68F05009" w14:textId="165104EA" w:rsidR="00AF69EA" w:rsidRPr="008902F2" w:rsidRDefault="00027659">
      <w:pPr>
        <w:pStyle w:val="T3"/>
        <w:rPr>
          <w:rFonts w:ascii="Times New Roman" w:eastAsiaTheme="minorEastAsia" w:hAnsi="Times New Roman"/>
          <w:noProof/>
          <w:lang w:val="en-US"/>
        </w:rPr>
      </w:pPr>
      <w:hyperlink w:anchor="_Toc143113409" w:history="1">
        <w:r w:rsidR="00AF69EA" w:rsidRPr="008902F2">
          <w:rPr>
            <w:rStyle w:val="Kpr"/>
            <w:rFonts w:ascii="Times New Roman" w:hAnsi="Times New Roman"/>
            <w:noProof/>
          </w:rPr>
          <w:t>3.3.2.</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Certification Procedures</w:t>
        </w:r>
        <w:r w:rsidR="00AF69EA" w:rsidRPr="008902F2">
          <w:rPr>
            <w:rFonts w:ascii="Times New Roman" w:hAnsi="Times New Roman"/>
            <w:noProof/>
            <w:webHidden/>
          </w:rPr>
          <w:tab/>
        </w:r>
        <w:r w:rsidR="00C04D2D" w:rsidRPr="008902F2">
          <w:rPr>
            <w:rFonts w:ascii="Times New Roman" w:hAnsi="Times New Roman"/>
            <w:noProof/>
            <w:webHidden/>
          </w:rPr>
          <w:t>13</w:t>
        </w:r>
      </w:hyperlink>
      <w:r w:rsidR="00C04D2D" w:rsidRPr="008902F2">
        <w:rPr>
          <w:rFonts w:ascii="Times New Roman" w:hAnsi="Times New Roman"/>
          <w:noProof/>
        </w:rPr>
        <w:t>7</w:t>
      </w:r>
    </w:p>
    <w:p w14:paraId="663B5AA2" w14:textId="6BACC179" w:rsidR="00AF69EA" w:rsidRPr="008902F2" w:rsidRDefault="00027659">
      <w:pPr>
        <w:pStyle w:val="T2"/>
        <w:rPr>
          <w:rFonts w:ascii="Times New Roman" w:eastAsiaTheme="minorEastAsia" w:hAnsi="Times New Roman"/>
          <w:bCs w:val="0"/>
          <w:lang w:val="en-US"/>
        </w:rPr>
      </w:pPr>
      <w:hyperlink w:anchor="_Toc143113410" w:history="1">
        <w:r w:rsidR="00AF69EA" w:rsidRPr="008902F2">
          <w:rPr>
            <w:rStyle w:val="Kpr"/>
            <w:rFonts w:ascii="Times New Roman" w:hAnsi="Times New Roman"/>
          </w:rPr>
          <w:t>3.4.</w:t>
        </w:r>
        <w:r w:rsidR="00AF69EA" w:rsidRPr="008902F2">
          <w:rPr>
            <w:rFonts w:ascii="Times New Roman" w:eastAsiaTheme="minorEastAsia" w:hAnsi="Times New Roman"/>
            <w:bCs w:val="0"/>
            <w:lang w:val="en-US"/>
          </w:rPr>
          <w:tab/>
        </w:r>
        <w:r w:rsidR="00AF69EA" w:rsidRPr="008902F2">
          <w:rPr>
            <w:rStyle w:val="Kpr"/>
            <w:rFonts w:ascii="Times New Roman" w:hAnsi="Times New Roman"/>
          </w:rPr>
          <w:t>Oil Market Licensing Activities</w:t>
        </w:r>
        <w:r w:rsidR="00AF69EA" w:rsidRPr="008902F2">
          <w:rPr>
            <w:rFonts w:ascii="Times New Roman" w:hAnsi="Times New Roman"/>
            <w:webHidden/>
          </w:rPr>
          <w:tab/>
        </w:r>
        <w:r w:rsidR="00C04D2D" w:rsidRPr="008902F2">
          <w:rPr>
            <w:rFonts w:ascii="Times New Roman" w:hAnsi="Times New Roman"/>
            <w:webHidden/>
          </w:rPr>
          <w:t>138</w:t>
        </w:r>
      </w:hyperlink>
    </w:p>
    <w:p w14:paraId="0E10F23D" w14:textId="00AB515B" w:rsidR="00AF69EA" w:rsidRPr="008902F2" w:rsidRDefault="00027659">
      <w:pPr>
        <w:pStyle w:val="T3"/>
        <w:rPr>
          <w:rFonts w:ascii="Times New Roman" w:eastAsiaTheme="minorEastAsia" w:hAnsi="Times New Roman"/>
          <w:noProof/>
          <w:lang w:val="en-US"/>
        </w:rPr>
      </w:pPr>
      <w:hyperlink w:anchor="_Toc143113411" w:history="1">
        <w:r w:rsidR="00AF69EA" w:rsidRPr="008902F2">
          <w:rPr>
            <w:rStyle w:val="Kpr"/>
            <w:rFonts w:ascii="Times New Roman" w:hAnsi="Times New Roman"/>
            <w:noProof/>
          </w:rPr>
          <w:t>3.4.1.</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Procedures for Non-Fuel Product Permits</w:t>
        </w:r>
        <w:r w:rsidR="00AF69EA" w:rsidRPr="008902F2">
          <w:rPr>
            <w:rFonts w:ascii="Times New Roman" w:hAnsi="Times New Roman"/>
            <w:noProof/>
            <w:webHidden/>
          </w:rPr>
          <w:tab/>
        </w:r>
        <w:r w:rsidR="00C04D2D" w:rsidRPr="008902F2">
          <w:rPr>
            <w:rFonts w:ascii="Times New Roman" w:hAnsi="Times New Roman"/>
            <w:noProof/>
            <w:webHidden/>
          </w:rPr>
          <w:t>140</w:t>
        </w:r>
      </w:hyperlink>
    </w:p>
    <w:p w14:paraId="3B29CB87" w14:textId="3A91643F" w:rsidR="00AF69EA" w:rsidRPr="008902F2" w:rsidRDefault="00027659">
      <w:pPr>
        <w:pStyle w:val="T3"/>
        <w:rPr>
          <w:rFonts w:ascii="Times New Roman" w:eastAsiaTheme="minorEastAsia" w:hAnsi="Times New Roman"/>
          <w:noProof/>
          <w:lang w:val="en-US"/>
        </w:rPr>
      </w:pPr>
      <w:hyperlink w:anchor="_Toc143113412" w:history="1">
        <w:r w:rsidR="00AF69EA" w:rsidRPr="008902F2">
          <w:rPr>
            <w:rStyle w:val="Kpr"/>
            <w:rFonts w:ascii="Times New Roman" w:hAnsi="Times New Roman"/>
            <w:noProof/>
          </w:rPr>
          <w:t>3.4.2.</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Automation Studies for Licensees</w:t>
        </w:r>
        <w:r w:rsidR="00AF69EA" w:rsidRPr="008902F2">
          <w:rPr>
            <w:rFonts w:ascii="Times New Roman" w:hAnsi="Times New Roman"/>
            <w:noProof/>
            <w:webHidden/>
          </w:rPr>
          <w:tab/>
        </w:r>
        <w:r w:rsidR="00C04D2D" w:rsidRPr="008902F2">
          <w:rPr>
            <w:rFonts w:ascii="Times New Roman" w:hAnsi="Times New Roman"/>
            <w:noProof/>
            <w:webHidden/>
          </w:rPr>
          <w:t>140</w:t>
        </w:r>
      </w:hyperlink>
    </w:p>
    <w:p w14:paraId="4D71CAD1" w14:textId="230A4FF8" w:rsidR="00AF69EA" w:rsidRPr="008902F2" w:rsidRDefault="00027659">
      <w:pPr>
        <w:pStyle w:val="T4"/>
        <w:tabs>
          <w:tab w:val="left" w:pos="1760"/>
          <w:tab w:val="right" w:leader="dot" w:pos="9060"/>
        </w:tabs>
        <w:rPr>
          <w:rFonts w:ascii="Times New Roman" w:eastAsiaTheme="minorEastAsia" w:hAnsi="Times New Roman"/>
          <w:noProof/>
          <w:lang w:val="en-US"/>
        </w:rPr>
      </w:pPr>
      <w:hyperlink w:anchor="_Toc143113413" w:history="1">
        <w:r w:rsidR="00AF69EA" w:rsidRPr="008902F2">
          <w:rPr>
            <w:rStyle w:val="Kpr"/>
            <w:rFonts w:ascii="Times New Roman" w:hAnsi="Times New Roman"/>
            <w:noProof/>
          </w:rPr>
          <w:t>3.4.2.1.</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National Marker</w:t>
        </w:r>
        <w:r w:rsidR="00AF69EA" w:rsidRPr="008902F2">
          <w:rPr>
            <w:rFonts w:ascii="Times New Roman" w:hAnsi="Times New Roman"/>
            <w:noProof/>
            <w:webHidden/>
          </w:rPr>
          <w:tab/>
        </w:r>
        <w:r w:rsidR="00C04D2D" w:rsidRPr="008902F2">
          <w:rPr>
            <w:rFonts w:ascii="Times New Roman" w:hAnsi="Times New Roman"/>
            <w:noProof/>
            <w:webHidden/>
          </w:rPr>
          <w:t>140</w:t>
        </w:r>
      </w:hyperlink>
    </w:p>
    <w:p w14:paraId="217E866D" w14:textId="6C367061" w:rsidR="00AF69EA" w:rsidRPr="008902F2" w:rsidRDefault="00027659">
      <w:pPr>
        <w:pStyle w:val="T4"/>
        <w:tabs>
          <w:tab w:val="left" w:pos="1760"/>
          <w:tab w:val="right" w:leader="dot" w:pos="9060"/>
        </w:tabs>
        <w:rPr>
          <w:rFonts w:ascii="Times New Roman" w:eastAsiaTheme="minorEastAsia" w:hAnsi="Times New Roman"/>
          <w:noProof/>
          <w:lang w:val="en-US"/>
        </w:rPr>
      </w:pPr>
      <w:hyperlink w:anchor="_Toc143113414" w:history="1">
        <w:r w:rsidR="00AF69EA" w:rsidRPr="008902F2">
          <w:rPr>
            <w:rStyle w:val="Kpr"/>
            <w:rFonts w:ascii="Times New Roman" w:hAnsi="Times New Roman"/>
            <w:noProof/>
          </w:rPr>
          <w:t>3.4.2.2.</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Fuel Dealers Automation System</w:t>
        </w:r>
        <w:r w:rsidR="00AF69EA" w:rsidRPr="008902F2">
          <w:rPr>
            <w:rFonts w:ascii="Times New Roman" w:hAnsi="Times New Roman"/>
            <w:noProof/>
            <w:webHidden/>
          </w:rPr>
          <w:tab/>
        </w:r>
        <w:r w:rsidR="00C04D2D" w:rsidRPr="008902F2">
          <w:rPr>
            <w:rFonts w:ascii="Times New Roman" w:hAnsi="Times New Roman"/>
            <w:noProof/>
            <w:webHidden/>
          </w:rPr>
          <w:t>142</w:t>
        </w:r>
      </w:hyperlink>
    </w:p>
    <w:p w14:paraId="0DF7B68D" w14:textId="6A2E538C" w:rsidR="00AF69EA" w:rsidRPr="008902F2" w:rsidRDefault="00027659">
      <w:pPr>
        <w:pStyle w:val="T4"/>
        <w:tabs>
          <w:tab w:val="left" w:pos="1760"/>
          <w:tab w:val="right" w:leader="dot" w:pos="9060"/>
        </w:tabs>
        <w:rPr>
          <w:rFonts w:ascii="Times New Roman" w:eastAsiaTheme="minorEastAsia" w:hAnsi="Times New Roman"/>
          <w:noProof/>
          <w:lang w:val="en-US"/>
        </w:rPr>
      </w:pPr>
      <w:hyperlink w:anchor="_Toc143113415" w:history="1">
        <w:r w:rsidR="00AF69EA" w:rsidRPr="008902F2">
          <w:rPr>
            <w:rStyle w:val="Kpr"/>
            <w:rFonts w:ascii="Times New Roman" w:hAnsi="Times New Roman"/>
            <w:noProof/>
          </w:rPr>
          <w:t>3.4.2.3.</w:t>
        </w:r>
        <w:r w:rsidR="00AF69EA" w:rsidRPr="008902F2">
          <w:rPr>
            <w:rFonts w:ascii="Times New Roman" w:eastAsiaTheme="minorEastAsia" w:hAnsi="Times New Roman"/>
            <w:noProof/>
            <w:lang w:val="en-US"/>
          </w:rPr>
          <w:tab/>
        </w:r>
        <w:r w:rsidR="00AF69EA" w:rsidRPr="008902F2">
          <w:rPr>
            <w:rStyle w:val="Kpr"/>
            <w:rFonts w:ascii="Times New Roman" w:hAnsi="Times New Roman"/>
            <w:noProof/>
          </w:rPr>
          <w:t>Oil Warehouse Stock Tracking System</w:t>
        </w:r>
        <w:r w:rsidR="00AF69EA" w:rsidRPr="008902F2">
          <w:rPr>
            <w:rFonts w:ascii="Times New Roman" w:hAnsi="Times New Roman"/>
            <w:noProof/>
            <w:webHidden/>
          </w:rPr>
          <w:tab/>
        </w:r>
        <w:r w:rsidR="00C04D2D" w:rsidRPr="008902F2">
          <w:rPr>
            <w:rFonts w:ascii="Times New Roman" w:hAnsi="Times New Roman"/>
            <w:noProof/>
            <w:webHidden/>
          </w:rPr>
          <w:t>143</w:t>
        </w:r>
      </w:hyperlink>
    </w:p>
    <w:p w14:paraId="7323067A" w14:textId="263F3B29" w:rsidR="00AF69EA" w:rsidRPr="008902F2" w:rsidRDefault="00027659">
      <w:pPr>
        <w:pStyle w:val="T2"/>
        <w:rPr>
          <w:rFonts w:ascii="Times New Roman" w:eastAsiaTheme="minorEastAsia" w:hAnsi="Times New Roman"/>
          <w:bCs w:val="0"/>
          <w:lang w:val="en-US"/>
        </w:rPr>
      </w:pPr>
      <w:hyperlink w:anchor="_Toc143113416" w:history="1">
        <w:r w:rsidR="00AF69EA" w:rsidRPr="008902F2">
          <w:rPr>
            <w:rStyle w:val="Kpr"/>
            <w:rFonts w:ascii="Times New Roman" w:hAnsi="Times New Roman"/>
          </w:rPr>
          <w:t>3.5.</w:t>
        </w:r>
        <w:r w:rsidR="00AF69EA" w:rsidRPr="008902F2">
          <w:rPr>
            <w:rFonts w:ascii="Times New Roman" w:eastAsiaTheme="minorEastAsia" w:hAnsi="Times New Roman"/>
            <w:bCs w:val="0"/>
            <w:lang w:val="en-US"/>
          </w:rPr>
          <w:tab/>
        </w:r>
        <w:r w:rsidR="00AF69EA" w:rsidRPr="008902F2">
          <w:rPr>
            <w:rStyle w:val="Kpr"/>
            <w:rFonts w:ascii="Times New Roman" w:hAnsi="Times New Roman"/>
          </w:rPr>
          <w:t>Liquefied Petroleum Gases (LPG) Market Licensing Activities</w:t>
        </w:r>
        <w:r w:rsidR="00AF69EA" w:rsidRPr="008902F2">
          <w:rPr>
            <w:rFonts w:ascii="Times New Roman" w:hAnsi="Times New Roman"/>
            <w:webHidden/>
          </w:rPr>
          <w:tab/>
        </w:r>
        <w:r w:rsidR="00C04D2D" w:rsidRPr="008902F2">
          <w:rPr>
            <w:rFonts w:ascii="Times New Roman" w:hAnsi="Times New Roman"/>
            <w:webHidden/>
          </w:rPr>
          <w:t>144</w:t>
        </w:r>
      </w:hyperlink>
    </w:p>
    <w:p w14:paraId="21BC6C8F" w14:textId="06238A4C" w:rsidR="00AF69EA" w:rsidRPr="008902F2" w:rsidRDefault="00027659">
      <w:pPr>
        <w:pStyle w:val="T3"/>
        <w:rPr>
          <w:rFonts w:ascii="Times New Roman" w:eastAsiaTheme="minorEastAsia" w:hAnsi="Times New Roman"/>
          <w:noProof/>
          <w:lang w:val="en-US"/>
        </w:rPr>
      </w:pPr>
      <w:hyperlink w:anchor="_Toc143113417" w:history="1">
        <w:r w:rsidR="00AF69EA" w:rsidRPr="008902F2">
          <w:rPr>
            <w:rStyle w:val="Kpr"/>
            <w:rFonts w:ascii="Times New Roman" w:hAnsi="Times New Roman"/>
            <w:noProof/>
          </w:rPr>
          <w:t>3.5.1. Liquefied Petroleum Gases (LPG) Market Coupon Permitting Activities</w:t>
        </w:r>
        <w:r w:rsidR="00AF69EA" w:rsidRPr="008902F2">
          <w:rPr>
            <w:rFonts w:ascii="Times New Roman" w:hAnsi="Times New Roman"/>
            <w:noProof/>
            <w:webHidden/>
          </w:rPr>
          <w:tab/>
        </w:r>
        <w:r w:rsidR="00DE207B" w:rsidRPr="008902F2">
          <w:rPr>
            <w:rFonts w:ascii="Times New Roman" w:hAnsi="Times New Roman"/>
            <w:noProof/>
            <w:webHidden/>
          </w:rPr>
          <w:t>144</w:t>
        </w:r>
      </w:hyperlink>
    </w:p>
    <w:p w14:paraId="549D75B3" w14:textId="012AD73D" w:rsidR="00AF69EA" w:rsidRPr="008902F2" w:rsidRDefault="00027659">
      <w:pPr>
        <w:pStyle w:val="T1"/>
        <w:tabs>
          <w:tab w:val="left" w:pos="660"/>
        </w:tabs>
        <w:rPr>
          <w:rFonts w:ascii="Times New Roman" w:eastAsiaTheme="minorEastAsia" w:hAnsi="Times New Roman"/>
          <w:b w:val="0"/>
          <w:noProof/>
          <w:lang w:val="en-US"/>
        </w:rPr>
      </w:pPr>
      <w:hyperlink w:anchor="_Toc143113418" w:history="1">
        <w:r w:rsidR="00AF69EA" w:rsidRPr="008902F2">
          <w:rPr>
            <w:rStyle w:val="Kpr"/>
            <w:rFonts w:ascii="Times New Roman" w:hAnsi="Times New Roman"/>
            <w:noProof/>
          </w:rPr>
          <w:t>4.</w:t>
        </w:r>
        <w:r w:rsidR="00AF69EA" w:rsidRPr="008902F2">
          <w:rPr>
            <w:rFonts w:ascii="Times New Roman" w:eastAsiaTheme="minorEastAsia" w:hAnsi="Times New Roman"/>
            <w:b w:val="0"/>
            <w:noProof/>
            <w:lang w:val="en-US"/>
          </w:rPr>
          <w:tab/>
        </w:r>
        <w:r w:rsidR="00AF69EA" w:rsidRPr="008902F2">
          <w:rPr>
            <w:rStyle w:val="Kpr"/>
            <w:rFonts w:ascii="Times New Roman" w:hAnsi="Times New Roman"/>
            <w:noProof/>
          </w:rPr>
          <w:t>PRICE FORMATION AND TARIFFING ACTIVITIES</w:t>
        </w:r>
        <w:r w:rsidR="00AF69EA" w:rsidRPr="008902F2">
          <w:rPr>
            <w:rFonts w:ascii="Times New Roman" w:hAnsi="Times New Roman"/>
            <w:noProof/>
            <w:webHidden/>
          </w:rPr>
          <w:tab/>
        </w:r>
        <w:r w:rsidR="00DE207B" w:rsidRPr="008902F2">
          <w:rPr>
            <w:rFonts w:ascii="Times New Roman" w:hAnsi="Times New Roman"/>
            <w:noProof/>
            <w:webHidden/>
          </w:rPr>
          <w:t>146</w:t>
        </w:r>
      </w:hyperlink>
    </w:p>
    <w:p w14:paraId="37B9465E" w14:textId="216ED625" w:rsidR="00AF69EA" w:rsidRPr="008902F2" w:rsidRDefault="00027659">
      <w:pPr>
        <w:pStyle w:val="T2"/>
        <w:rPr>
          <w:rFonts w:ascii="Times New Roman" w:eastAsiaTheme="minorEastAsia" w:hAnsi="Times New Roman"/>
          <w:bCs w:val="0"/>
          <w:lang w:val="en-US"/>
        </w:rPr>
      </w:pPr>
      <w:hyperlink w:anchor="_Toc143113419" w:history="1">
        <w:r w:rsidR="00AF69EA" w:rsidRPr="008902F2">
          <w:rPr>
            <w:rStyle w:val="Kpr"/>
            <w:rFonts w:ascii="Times New Roman" w:eastAsia="Calibri" w:hAnsi="Times New Roman"/>
          </w:rPr>
          <w:t>4.1. Electricity Market Tariffication</w:t>
        </w:r>
        <w:r w:rsidR="00AF69EA" w:rsidRPr="008902F2">
          <w:rPr>
            <w:rFonts w:ascii="Times New Roman" w:hAnsi="Times New Roman"/>
            <w:webHidden/>
          </w:rPr>
          <w:tab/>
        </w:r>
        <w:r w:rsidR="00DE207B" w:rsidRPr="008902F2">
          <w:rPr>
            <w:rFonts w:ascii="Times New Roman" w:hAnsi="Times New Roman"/>
            <w:webHidden/>
          </w:rPr>
          <w:t>146</w:t>
        </w:r>
      </w:hyperlink>
    </w:p>
    <w:p w14:paraId="59CD6508" w14:textId="709E1A36" w:rsidR="00AF69EA" w:rsidRPr="008902F2" w:rsidRDefault="00027659">
      <w:pPr>
        <w:pStyle w:val="T3"/>
        <w:rPr>
          <w:rFonts w:ascii="Times New Roman" w:eastAsiaTheme="minorEastAsia" w:hAnsi="Times New Roman"/>
          <w:noProof/>
          <w:lang w:val="en-US"/>
        </w:rPr>
      </w:pPr>
      <w:hyperlink w:anchor="_Toc143113420" w:history="1">
        <w:r w:rsidR="00AF69EA" w:rsidRPr="008902F2">
          <w:rPr>
            <w:rStyle w:val="Kpr"/>
            <w:rFonts w:ascii="Times New Roman" w:hAnsi="Times New Roman"/>
            <w:noProof/>
          </w:rPr>
          <w:t>4.1.1.Transmission Tariffication</w:t>
        </w:r>
        <w:r w:rsidR="00AF69EA" w:rsidRPr="008902F2">
          <w:rPr>
            <w:rFonts w:ascii="Times New Roman" w:hAnsi="Times New Roman"/>
            <w:noProof/>
            <w:webHidden/>
          </w:rPr>
          <w:tab/>
        </w:r>
        <w:r w:rsidR="00DE207B" w:rsidRPr="008902F2">
          <w:rPr>
            <w:rFonts w:ascii="Times New Roman" w:hAnsi="Times New Roman"/>
            <w:noProof/>
            <w:webHidden/>
          </w:rPr>
          <w:t>14</w:t>
        </w:r>
      </w:hyperlink>
      <w:r w:rsidR="00DE207B" w:rsidRPr="008902F2">
        <w:rPr>
          <w:rFonts w:ascii="Times New Roman" w:hAnsi="Times New Roman"/>
          <w:noProof/>
        </w:rPr>
        <w:t>6</w:t>
      </w:r>
    </w:p>
    <w:p w14:paraId="37A9B86D" w14:textId="2A5325E3" w:rsidR="00AF69EA" w:rsidRPr="008902F2" w:rsidRDefault="00027659">
      <w:pPr>
        <w:pStyle w:val="T4"/>
        <w:tabs>
          <w:tab w:val="right" w:leader="dot" w:pos="9060"/>
        </w:tabs>
        <w:rPr>
          <w:rFonts w:ascii="Times New Roman" w:eastAsiaTheme="minorEastAsia" w:hAnsi="Times New Roman"/>
          <w:noProof/>
          <w:lang w:val="en-US"/>
        </w:rPr>
      </w:pPr>
      <w:hyperlink w:anchor="_Toc143113421" w:history="1">
        <w:r w:rsidR="00AF69EA" w:rsidRPr="008902F2">
          <w:rPr>
            <w:rStyle w:val="Kpr"/>
            <w:rFonts w:ascii="Times New Roman" w:hAnsi="Times New Roman"/>
            <w:noProof/>
          </w:rPr>
          <w:t>4.1.1.1. Transmission Surcharge</w:t>
        </w:r>
        <w:r w:rsidR="00AF69EA" w:rsidRPr="008902F2">
          <w:rPr>
            <w:rFonts w:ascii="Times New Roman" w:hAnsi="Times New Roman"/>
            <w:noProof/>
            <w:webHidden/>
          </w:rPr>
          <w:tab/>
        </w:r>
        <w:r w:rsidR="00DE207B" w:rsidRPr="008902F2">
          <w:rPr>
            <w:rFonts w:ascii="Times New Roman" w:hAnsi="Times New Roman"/>
            <w:noProof/>
            <w:webHidden/>
          </w:rPr>
          <w:t>147</w:t>
        </w:r>
      </w:hyperlink>
    </w:p>
    <w:p w14:paraId="0515033F" w14:textId="1BBC3684" w:rsidR="00AF69EA" w:rsidRPr="008902F2" w:rsidRDefault="00027659">
      <w:pPr>
        <w:pStyle w:val="T3"/>
        <w:rPr>
          <w:rFonts w:ascii="Times New Roman" w:eastAsiaTheme="minorEastAsia" w:hAnsi="Times New Roman"/>
          <w:noProof/>
          <w:lang w:val="en-US"/>
        </w:rPr>
      </w:pPr>
      <w:hyperlink w:anchor="_Toc143113422" w:history="1">
        <w:r w:rsidR="00AF69EA" w:rsidRPr="008902F2">
          <w:rPr>
            <w:rStyle w:val="Kpr"/>
            <w:rFonts w:ascii="Times New Roman" w:hAnsi="Times New Roman"/>
            <w:noProof/>
          </w:rPr>
          <w:t>4.1.2. Distribution and Retail Tariffication</w:t>
        </w:r>
        <w:r w:rsidR="00AF69EA" w:rsidRPr="008902F2">
          <w:rPr>
            <w:rFonts w:ascii="Times New Roman" w:hAnsi="Times New Roman"/>
            <w:noProof/>
            <w:webHidden/>
          </w:rPr>
          <w:tab/>
        </w:r>
        <w:r w:rsidR="00DE207B" w:rsidRPr="008902F2">
          <w:rPr>
            <w:rFonts w:ascii="Times New Roman" w:hAnsi="Times New Roman"/>
            <w:noProof/>
            <w:webHidden/>
          </w:rPr>
          <w:t>147</w:t>
        </w:r>
      </w:hyperlink>
    </w:p>
    <w:p w14:paraId="122A2C9B" w14:textId="27303680" w:rsidR="00AF69EA" w:rsidRPr="008902F2" w:rsidRDefault="00027659">
      <w:pPr>
        <w:pStyle w:val="T4"/>
        <w:tabs>
          <w:tab w:val="right" w:leader="dot" w:pos="9060"/>
        </w:tabs>
        <w:rPr>
          <w:rFonts w:ascii="Times New Roman" w:eastAsiaTheme="minorEastAsia" w:hAnsi="Times New Roman"/>
          <w:noProof/>
          <w:lang w:val="en-US"/>
        </w:rPr>
      </w:pPr>
      <w:hyperlink w:anchor="_Toc143113423" w:history="1">
        <w:r w:rsidR="00AF69EA" w:rsidRPr="008902F2">
          <w:rPr>
            <w:rStyle w:val="Kpr"/>
            <w:rFonts w:ascii="Times New Roman" w:hAnsi="Times New Roman"/>
            <w:noProof/>
          </w:rPr>
          <w:t>4.1.2.1. Distribution System Connection Fee</w:t>
        </w:r>
        <w:r w:rsidR="00AF69EA" w:rsidRPr="008902F2">
          <w:rPr>
            <w:rFonts w:ascii="Times New Roman" w:hAnsi="Times New Roman"/>
            <w:noProof/>
            <w:webHidden/>
          </w:rPr>
          <w:tab/>
        </w:r>
        <w:r w:rsidR="00DE207B" w:rsidRPr="008902F2">
          <w:rPr>
            <w:rFonts w:ascii="Times New Roman" w:hAnsi="Times New Roman"/>
            <w:noProof/>
            <w:webHidden/>
          </w:rPr>
          <w:t>151</w:t>
        </w:r>
      </w:hyperlink>
    </w:p>
    <w:p w14:paraId="76FDE9EE" w14:textId="6C9E64FF" w:rsidR="00AF69EA" w:rsidRPr="008902F2" w:rsidRDefault="00027659">
      <w:pPr>
        <w:pStyle w:val="T4"/>
        <w:tabs>
          <w:tab w:val="right" w:leader="dot" w:pos="9060"/>
        </w:tabs>
        <w:rPr>
          <w:rFonts w:ascii="Times New Roman" w:eastAsiaTheme="minorEastAsia" w:hAnsi="Times New Roman"/>
          <w:noProof/>
          <w:lang w:val="en-US"/>
        </w:rPr>
      </w:pPr>
      <w:hyperlink w:anchor="_Toc143113424" w:history="1">
        <w:r w:rsidR="00AF69EA" w:rsidRPr="008902F2">
          <w:rPr>
            <w:rStyle w:val="Kpr"/>
            <w:rFonts w:ascii="Times New Roman" w:hAnsi="Times New Roman"/>
            <w:noProof/>
          </w:rPr>
          <w:t>4.1.2.2. Cutting-Connecting Fee</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1</w:t>
      </w:r>
    </w:p>
    <w:p w14:paraId="06045570" w14:textId="36FDDCC9" w:rsidR="00AF69EA" w:rsidRPr="008902F2" w:rsidRDefault="00027659">
      <w:pPr>
        <w:pStyle w:val="T4"/>
        <w:tabs>
          <w:tab w:val="right" w:leader="dot" w:pos="9060"/>
        </w:tabs>
        <w:rPr>
          <w:rFonts w:ascii="Times New Roman" w:eastAsiaTheme="minorEastAsia" w:hAnsi="Times New Roman"/>
          <w:noProof/>
          <w:lang w:val="en-US"/>
        </w:rPr>
      </w:pPr>
      <w:hyperlink w:anchor="_Toc143113425" w:history="1">
        <w:r w:rsidR="00AF69EA" w:rsidRPr="008902F2">
          <w:rPr>
            <w:rStyle w:val="Kpr"/>
            <w:rFonts w:ascii="Times New Roman" w:hAnsi="Times New Roman"/>
            <w:noProof/>
          </w:rPr>
          <w:t>4.1.2.3. Security Deposit</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2</w:t>
      </w:r>
    </w:p>
    <w:p w14:paraId="6F4E5478" w14:textId="0C2D9830" w:rsidR="00AF69EA" w:rsidRPr="008902F2" w:rsidRDefault="00027659">
      <w:pPr>
        <w:pStyle w:val="T4"/>
        <w:tabs>
          <w:tab w:val="right" w:leader="dot" w:pos="9060"/>
        </w:tabs>
        <w:rPr>
          <w:rFonts w:ascii="Times New Roman" w:eastAsiaTheme="minorEastAsia" w:hAnsi="Times New Roman"/>
          <w:noProof/>
          <w:lang w:val="en-US"/>
        </w:rPr>
      </w:pPr>
      <w:hyperlink w:anchor="_Toc143113426" w:history="1">
        <w:r w:rsidR="00AF69EA" w:rsidRPr="008902F2">
          <w:rPr>
            <w:rStyle w:val="Kpr"/>
            <w:rFonts w:ascii="Times New Roman" w:hAnsi="Times New Roman"/>
            <w:noProof/>
          </w:rPr>
          <w:t>4.1.2.4. Meter Check Fee</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2</w:t>
      </w:r>
    </w:p>
    <w:p w14:paraId="2B0B74EF" w14:textId="53479355" w:rsidR="00AF69EA" w:rsidRPr="008902F2" w:rsidRDefault="00027659">
      <w:pPr>
        <w:pStyle w:val="T3"/>
        <w:rPr>
          <w:rFonts w:ascii="Times New Roman" w:eastAsiaTheme="minorEastAsia" w:hAnsi="Times New Roman"/>
          <w:noProof/>
          <w:lang w:val="en-US"/>
        </w:rPr>
      </w:pPr>
      <w:hyperlink w:anchor="_Toc143113427" w:history="1">
        <w:r w:rsidR="00AF69EA" w:rsidRPr="008902F2">
          <w:rPr>
            <w:rStyle w:val="Kpr"/>
            <w:rFonts w:ascii="Times New Roman" w:hAnsi="Times New Roman"/>
            <w:noProof/>
          </w:rPr>
          <w:t>4.1.3. Market Operation Tariff</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3</w:t>
      </w:r>
    </w:p>
    <w:p w14:paraId="7191B9AE" w14:textId="3DD66E50" w:rsidR="00AF69EA" w:rsidRPr="008902F2" w:rsidRDefault="00027659">
      <w:pPr>
        <w:pStyle w:val="T3"/>
        <w:rPr>
          <w:rFonts w:ascii="Times New Roman" w:eastAsiaTheme="minorEastAsia" w:hAnsi="Times New Roman"/>
          <w:noProof/>
          <w:lang w:val="en-US"/>
        </w:rPr>
      </w:pPr>
      <w:hyperlink w:anchor="_Toc143113428" w:history="1">
        <w:r w:rsidR="00AF69EA" w:rsidRPr="008902F2">
          <w:rPr>
            <w:rStyle w:val="Kpr"/>
            <w:rFonts w:ascii="Times New Roman" w:hAnsi="Times New Roman"/>
            <w:noProof/>
          </w:rPr>
          <w:t>4.1.4. OSB Distribution Fee</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4</w:t>
      </w:r>
    </w:p>
    <w:p w14:paraId="7E8D45A3" w14:textId="1DE47D06" w:rsidR="00AF69EA" w:rsidRPr="008902F2" w:rsidRDefault="00027659">
      <w:pPr>
        <w:pStyle w:val="T3"/>
        <w:rPr>
          <w:rFonts w:ascii="Times New Roman" w:eastAsiaTheme="minorEastAsia" w:hAnsi="Times New Roman"/>
          <w:noProof/>
          <w:lang w:val="en-US"/>
        </w:rPr>
      </w:pPr>
      <w:hyperlink w:anchor="_Toc143113429" w:history="1">
        <w:r w:rsidR="00AF69EA" w:rsidRPr="008902F2">
          <w:rPr>
            <w:rStyle w:val="Kpr"/>
            <w:rFonts w:ascii="Times New Roman" w:hAnsi="Times New Roman"/>
            <w:noProof/>
          </w:rPr>
          <w:t>4.1.5. EÜAŞ Wholesale Tariff</w:t>
        </w:r>
        <w:r w:rsidR="00AF69EA" w:rsidRPr="008902F2">
          <w:rPr>
            <w:rFonts w:ascii="Times New Roman" w:hAnsi="Times New Roman"/>
            <w:noProof/>
            <w:webHidden/>
          </w:rPr>
          <w:tab/>
        </w:r>
        <w:r w:rsidR="00DE207B" w:rsidRPr="008902F2">
          <w:rPr>
            <w:rFonts w:ascii="Times New Roman" w:hAnsi="Times New Roman"/>
            <w:noProof/>
            <w:webHidden/>
          </w:rPr>
          <w:t>15</w:t>
        </w:r>
      </w:hyperlink>
      <w:r w:rsidR="00DE207B" w:rsidRPr="008902F2">
        <w:rPr>
          <w:rFonts w:ascii="Times New Roman" w:hAnsi="Times New Roman"/>
          <w:noProof/>
        </w:rPr>
        <w:t>4</w:t>
      </w:r>
    </w:p>
    <w:p w14:paraId="0CB5811E" w14:textId="05D3A750" w:rsidR="00AF69EA" w:rsidRPr="008902F2" w:rsidRDefault="00027659">
      <w:pPr>
        <w:pStyle w:val="T3"/>
        <w:rPr>
          <w:rFonts w:ascii="Times New Roman" w:eastAsiaTheme="minorEastAsia" w:hAnsi="Times New Roman"/>
          <w:noProof/>
          <w:lang w:val="en-US"/>
        </w:rPr>
      </w:pPr>
      <w:hyperlink w:anchor="_Toc143113430" w:history="1">
        <w:r w:rsidR="00AF69EA" w:rsidRPr="008902F2">
          <w:rPr>
            <w:rStyle w:val="Kpr"/>
            <w:rFonts w:ascii="Times New Roman" w:hAnsi="Times New Roman"/>
            <w:noProof/>
          </w:rPr>
          <w:t>4.1.6. Türkiye Average Electricity Wholesale Price</w:t>
        </w:r>
        <w:r w:rsidR="00AF69EA" w:rsidRPr="008902F2">
          <w:rPr>
            <w:rFonts w:ascii="Times New Roman" w:hAnsi="Times New Roman"/>
            <w:noProof/>
            <w:webHidden/>
          </w:rPr>
          <w:tab/>
        </w:r>
        <w:r w:rsidR="00DE207B" w:rsidRPr="008902F2">
          <w:rPr>
            <w:rFonts w:ascii="Times New Roman" w:hAnsi="Times New Roman"/>
            <w:noProof/>
            <w:webHidden/>
          </w:rPr>
          <w:t>1</w:t>
        </w:r>
      </w:hyperlink>
      <w:r w:rsidR="00DE207B" w:rsidRPr="008902F2">
        <w:rPr>
          <w:rFonts w:ascii="Times New Roman" w:hAnsi="Times New Roman"/>
          <w:noProof/>
        </w:rPr>
        <w:t>55</w:t>
      </w:r>
    </w:p>
    <w:p w14:paraId="2A271BF7" w14:textId="394FAB23" w:rsidR="00AF69EA" w:rsidRPr="008902F2" w:rsidRDefault="00027659">
      <w:pPr>
        <w:pStyle w:val="T3"/>
        <w:rPr>
          <w:rFonts w:ascii="Times New Roman" w:eastAsiaTheme="minorEastAsia" w:hAnsi="Times New Roman"/>
          <w:noProof/>
          <w:lang w:val="en-US"/>
        </w:rPr>
      </w:pPr>
      <w:hyperlink w:anchor="_Toc143113431" w:history="1">
        <w:r w:rsidR="00AF69EA" w:rsidRPr="008902F2">
          <w:rPr>
            <w:rStyle w:val="Kpr"/>
            <w:rFonts w:ascii="Times New Roman" w:hAnsi="Times New Roman"/>
            <w:noProof/>
          </w:rPr>
          <w:t>4.1.7. Tariff Board Decisions Regarding the Electricity Market</w:t>
        </w:r>
        <w:r w:rsidR="00AF69EA" w:rsidRPr="008902F2">
          <w:rPr>
            <w:rFonts w:ascii="Times New Roman" w:hAnsi="Times New Roman"/>
            <w:noProof/>
            <w:webHidden/>
          </w:rPr>
          <w:tab/>
        </w:r>
        <w:r w:rsidR="00DE207B" w:rsidRPr="008902F2">
          <w:rPr>
            <w:rFonts w:ascii="Times New Roman" w:hAnsi="Times New Roman"/>
            <w:noProof/>
            <w:webHidden/>
          </w:rPr>
          <w:t>1</w:t>
        </w:r>
      </w:hyperlink>
      <w:r w:rsidR="00DE207B" w:rsidRPr="008902F2">
        <w:rPr>
          <w:rFonts w:ascii="Times New Roman" w:hAnsi="Times New Roman"/>
          <w:noProof/>
        </w:rPr>
        <w:t>55</w:t>
      </w:r>
    </w:p>
    <w:p w14:paraId="396891D2" w14:textId="44ABD222" w:rsidR="00AF69EA" w:rsidRPr="008902F2" w:rsidRDefault="00027659">
      <w:pPr>
        <w:pStyle w:val="T3"/>
        <w:rPr>
          <w:rFonts w:ascii="Times New Roman" w:eastAsiaTheme="minorEastAsia" w:hAnsi="Times New Roman"/>
          <w:noProof/>
          <w:lang w:val="en-US"/>
        </w:rPr>
      </w:pPr>
      <w:hyperlink w:anchor="_Toc143113432" w:history="1">
        <w:r w:rsidR="00AF69EA" w:rsidRPr="008902F2">
          <w:rPr>
            <w:rStyle w:val="Kpr"/>
            <w:rFonts w:ascii="Times New Roman" w:hAnsi="Times New Roman"/>
            <w:noProof/>
          </w:rPr>
          <w:t>4.1.8. License Fees</w:t>
        </w:r>
        <w:r w:rsidR="00AF69EA" w:rsidRPr="008902F2">
          <w:rPr>
            <w:rFonts w:ascii="Times New Roman" w:hAnsi="Times New Roman"/>
            <w:noProof/>
            <w:webHidden/>
          </w:rPr>
          <w:tab/>
        </w:r>
        <w:r w:rsidR="00DE207B" w:rsidRPr="008902F2">
          <w:rPr>
            <w:rFonts w:ascii="Times New Roman" w:hAnsi="Times New Roman"/>
            <w:noProof/>
            <w:webHidden/>
          </w:rPr>
          <w:t>16</w:t>
        </w:r>
      </w:hyperlink>
      <w:r w:rsidR="00DE207B" w:rsidRPr="008902F2">
        <w:rPr>
          <w:rFonts w:ascii="Times New Roman" w:hAnsi="Times New Roman"/>
          <w:noProof/>
        </w:rPr>
        <w:t>0</w:t>
      </w:r>
    </w:p>
    <w:p w14:paraId="7BAEFCE0" w14:textId="5E78FB7C" w:rsidR="00AF69EA" w:rsidRPr="008902F2" w:rsidRDefault="00027659">
      <w:pPr>
        <w:pStyle w:val="T2"/>
        <w:rPr>
          <w:rFonts w:ascii="Times New Roman" w:eastAsiaTheme="minorEastAsia" w:hAnsi="Times New Roman"/>
          <w:bCs w:val="0"/>
          <w:lang w:val="en-US"/>
        </w:rPr>
      </w:pPr>
      <w:hyperlink w:anchor="_Toc143113433" w:history="1">
        <w:r w:rsidR="00AF69EA" w:rsidRPr="008902F2">
          <w:rPr>
            <w:rStyle w:val="Kpr"/>
            <w:rFonts w:ascii="Times New Roman" w:eastAsia="Calibri" w:hAnsi="Times New Roman"/>
          </w:rPr>
          <w:t>4.2. Charge Market Service Tariffs</w:t>
        </w:r>
        <w:r w:rsidR="00AF69EA" w:rsidRPr="008902F2">
          <w:rPr>
            <w:rFonts w:ascii="Times New Roman" w:hAnsi="Times New Roman"/>
            <w:webHidden/>
          </w:rPr>
          <w:tab/>
        </w:r>
        <w:r w:rsidR="00DE207B" w:rsidRPr="008902F2">
          <w:rPr>
            <w:rFonts w:ascii="Times New Roman" w:hAnsi="Times New Roman"/>
            <w:webHidden/>
          </w:rPr>
          <w:t>16</w:t>
        </w:r>
      </w:hyperlink>
      <w:r w:rsidR="00DE207B" w:rsidRPr="008902F2">
        <w:rPr>
          <w:rFonts w:ascii="Times New Roman" w:hAnsi="Times New Roman"/>
        </w:rPr>
        <w:t>0</w:t>
      </w:r>
    </w:p>
    <w:p w14:paraId="03282A8B" w14:textId="4490DCA8" w:rsidR="00AF69EA" w:rsidRPr="008902F2" w:rsidRDefault="00027659">
      <w:pPr>
        <w:pStyle w:val="T3"/>
        <w:rPr>
          <w:rFonts w:ascii="Times New Roman" w:eastAsiaTheme="minorEastAsia" w:hAnsi="Times New Roman"/>
          <w:noProof/>
          <w:lang w:val="en-US"/>
        </w:rPr>
      </w:pPr>
      <w:hyperlink w:anchor="_Toc143113434" w:history="1">
        <w:r w:rsidR="00AF69EA" w:rsidRPr="008902F2">
          <w:rPr>
            <w:rStyle w:val="Kpr"/>
            <w:rFonts w:ascii="Times New Roman" w:hAnsi="Times New Roman"/>
            <w:noProof/>
          </w:rPr>
          <w:t>4.2.1. License Fees</w:t>
        </w:r>
        <w:r w:rsidR="00AF69EA" w:rsidRPr="008902F2">
          <w:rPr>
            <w:rFonts w:ascii="Times New Roman" w:hAnsi="Times New Roman"/>
            <w:noProof/>
            <w:webHidden/>
          </w:rPr>
          <w:tab/>
        </w:r>
        <w:r w:rsidR="00DE207B" w:rsidRPr="008902F2">
          <w:rPr>
            <w:rFonts w:ascii="Times New Roman" w:hAnsi="Times New Roman"/>
            <w:noProof/>
            <w:webHidden/>
          </w:rPr>
          <w:t>162</w:t>
        </w:r>
      </w:hyperlink>
    </w:p>
    <w:p w14:paraId="36F4D211" w14:textId="661629C4" w:rsidR="00AF69EA" w:rsidRPr="008902F2" w:rsidRDefault="00027659">
      <w:pPr>
        <w:pStyle w:val="T2"/>
        <w:rPr>
          <w:rFonts w:ascii="Times New Roman" w:eastAsiaTheme="minorEastAsia" w:hAnsi="Times New Roman"/>
          <w:bCs w:val="0"/>
          <w:lang w:val="en-US"/>
        </w:rPr>
      </w:pPr>
      <w:hyperlink w:anchor="_Toc143113435" w:history="1">
        <w:r w:rsidR="00AF69EA" w:rsidRPr="008902F2">
          <w:rPr>
            <w:rStyle w:val="Kpr"/>
            <w:rFonts w:ascii="Times New Roman" w:eastAsia="Calibri" w:hAnsi="Times New Roman"/>
          </w:rPr>
          <w:t>4.3. Natural Gas Market Tariffs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_Toc143113435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w:t>
        </w:r>
        <w:r w:rsidR="00AF69EA" w:rsidRPr="008902F2">
          <w:rPr>
            <w:rFonts w:ascii="Times New Roman" w:hAnsi="Times New Roman"/>
            <w:webHidden/>
          </w:rPr>
          <w:fldChar w:fldCharType="end"/>
        </w:r>
      </w:hyperlink>
      <w:r w:rsidR="00DE207B" w:rsidRPr="008902F2">
        <w:rPr>
          <w:rFonts w:ascii="Times New Roman" w:hAnsi="Times New Roman"/>
        </w:rPr>
        <w:t>62</w:t>
      </w:r>
    </w:p>
    <w:p w14:paraId="692B9929" w14:textId="6CFA8231" w:rsidR="00AF69EA" w:rsidRPr="008902F2" w:rsidRDefault="00027659">
      <w:pPr>
        <w:pStyle w:val="T3"/>
        <w:rPr>
          <w:rFonts w:ascii="Times New Roman" w:eastAsiaTheme="minorEastAsia" w:hAnsi="Times New Roman"/>
          <w:noProof/>
          <w:lang w:val="en-US"/>
        </w:rPr>
      </w:pPr>
      <w:hyperlink w:anchor="_Toc143113436" w:history="1">
        <w:r w:rsidR="00AF69EA" w:rsidRPr="008902F2">
          <w:rPr>
            <w:rStyle w:val="Kpr"/>
            <w:rFonts w:ascii="Times New Roman" w:hAnsi="Times New Roman"/>
            <w:noProof/>
          </w:rPr>
          <w:t>4.3.1. Transmission and Shipment Control Tariffs</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_Toc143113436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1</w:t>
        </w:r>
        <w:r w:rsidR="00AF69EA" w:rsidRPr="008902F2">
          <w:rPr>
            <w:rFonts w:ascii="Times New Roman" w:hAnsi="Times New Roman"/>
            <w:noProof/>
            <w:webHidden/>
          </w:rPr>
          <w:fldChar w:fldCharType="end"/>
        </w:r>
      </w:hyperlink>
      <w:r w:rsidR="00DE207B" w:rsidRPr="008902F2">
        <w:rPr>
          <w:rFonts w:ascii="Times New Roman" w:hAnsi="Times New Roman"/>
          <w:noProof/>
        </w:rPr>
        <w:t>62</w:t>
      </w:r>
    </w:p>
    <w:p w14:paraId="489FB992" w14:textId="5D644D3C" w:rsidR="00AF69EA" w:rsidRPr="008902F2" w:rsidRDefault="00027659">
      <w:pPr>
        <w:pStyle w:val="T3"/>
        <w:rPr>
          <w:rFonts w:ascii="Times New Roman" w:eastAsiaTheme="minorEastAsia" w:hAnsi="Times New Roman"/>
          <w:noProof/>
          <w:lang w:val="en-US"/>
        </w:rPr>
      </w:pPr>
      <w:hyperlink w:anchor="_Toc143113437" w:history="1">
        <w:r w:rsidR="00AF69EA" w:rsidRPr="008902F2">
          <w:rPr>
            <w:rStyle w:val="Kpr"/>
            <w:rFonts w:ascii="Times New Roman" w:hAnsi="Times New Roman"/>
            <w:noProof/>
          </w:rPr>
          <w:t>4.3.2. Market Operation Tariff</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_Toc143113437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1</w:t>
        </w:r>
        <w:r w:rsidR="00AF69EA" w:rsidRPr="008902F2">
          <w:rPr>
            <w:rFonts w:ascii="Times New Roman" w:hAnsi="Times New Roman"/>
            <w:noProof/>
            <w:webHidden/>
          </w:rPr>
          <w:fldChar w:fldCharType="end"/>
        </w:r>
      </w:hyperlink>
      <w:r w:rsidR="00DE207B" w:rsidRPr="008902F2">
        <w:rPr>
          <w:rFonts w:ascii="Times New Roman" w:hAnsi="Times New Roman"/>
          <w:noProof/>
        </w:rPr>
        <w:t>63</w:t>
      </w:r>
    </w:p>
    <w:p w14:paraId="329F03A9" w14:textId="42CC5906" w:rsidR="00AF69EA" w:rsidRPr="008902F2" w:rsidRDefault="00027659">
      <w:pPr>
        <w:pStyle w:val="T3"/>
        <w:rPr>
          <w:rFonts w:ascii="Times New Roman" w:eastAsiaTheme="minorEastAsia" w:hAnsi="Times New Roman"/>
          <w:noProof/>
          <w:lang w:val="en-US"/>
        </w:rPr>
      </w:pPr>
      <w:hyperlink w:anchor="_Toc143113438" w:history="1">
        <w:r w:rsidR="00AF69EA" w:rsidRPr="008902F2">
          <w:rPr>
            <w:rStyle w:val="Kpr"/>
            <w:rFonts w:ascii="Times New Roman" w:hAnsi="Times New Roman"/>
            <w:noProof/>
          </w:rPr>
          <w:t>4.3.3. Connection Tariffs</w:t>
        </w:r>
        <w:r w:rsidR="00AF69EA" w:rsidRPr="008902F2">
          <w:rPr>
            <w:rFonts w:ascii="Times New Roman" w:hAnsi="Times New Roman"/>
            <w:noProof/>
            <w:webHidden/>
          </w:rPr>
          <w:tab/>
        </w:r>
        <w:r w:rsidR="00DE207B" w:rsidRPr="008902F2">
          <w:rPr>
            <w:rFonts w:ascii="Times New Roman" w:hAnsi="Times New Roman"/>
            <w:noProof/>
            <w:webHidden/>
          </w:rPr>
          <w:t>163</w:t>
        </w:r>
      </w:hyperlink>
    </w:p>
    <w:p w14:paraId="195C3A45" w14:textId="60D0E5B0" w:rsidR="00AF69EA" w:rsidRPr="008902F2" w:rsidRDefault="00027659">
      <w:pPr>
        <w:pStyle w:val="T3"/>
        <w:rPr>
          <w:rFonts w:ascii="Times New Roman" w:eastAsiaTheme="minorEastAsia" w:hAnsi="Times New Roman"/>
          <w:noProof/>
          <w:lang w:val="en-US"/>
        </w:rPr>
      </w:pPr>
      <w:hyperlink w:anchor="_Toc143113439" w:history="1">
        <w:r w:rsidR="00AF69EA" w:rsidRPr="008902F2">
          <w:rPr>
            <w:rStyle w:val="Kpr"/>
            <w:rFonts w:ascii="Times New Roman" w:hAnsi="Times New Roman"/>
            <w:noProof/>
          </w:rPr>
          <w:t>4.3.4. Fees for Internal Installation Project Approval, Controlling, Testing and Commissioning Procedures</w:t>
        </w:r>
        <w:r w:rsidR="00DE207B" w:rsidRPr="008902F2">
          <w:rPr>
            <w:rStyle w:val="Kpr"/>
            <w:rFonts w:ascii="Times New Roman" w:hAnsi="Times New Roman"/>
            <w:noProof/>
          </w:rPr>
          <w:t>……………………………………………………………………………………………………………………………………..</w:t>
        </w:r>
      </w:hyperlink>
      <w:r w:rsidR="00DE207B" w:rsidRPr="008902F2">
        <w:rPr>
          <w:rFonts w:ascii="Times New Roman" w:hAnsi="Times New Roman"/>
          <w:noProof/>
        </w:rPr>
        <w:t>164</w:t>
      </w:r>
    </w:p>
    <w:p w14:paraId="023434AC" w14:textId="72CD0E7A" w:rsidR="00AF69EA" w:rsidRPr="008902F2" w:rsidRDefault="00027659">
      <w:pPr>
        <w:pStyle w:val="T3"/>
        <w:rPr>
          <w:rFonts w:ascii="Times New Roman" w:eastAsiaTheme="minorEastAsia" w:hAnsi="Times New Roman"/>
          <w:noProof/>
          <w:lang w:val="en-US"/>
        </w:rPr>
      </w:pPr>
      <w:hyperlink w:anchor="_Toc143113440" w:history="1">
        <w:r w:rsidR="00AF69EA" w:rsidRPr="008902F2">
          <w:rPr>
            <w:rStyle w:val="Kpr"/>
            <w:rFonts w:ascii="Times New Roman" w:hAnsi="Times New Roman"/>
            <w:noProof/>
          </w:rPr>
          <w:t>4.3.5. Wholesale Tariffs</w:t>
        </w:r>
        <w:r w:rsidR="00AF69EA" w:rsidRPr="008902F2">
          <w:rPr>
            <w:rFonts w:ascii="Times New Roman" w:hAnsi="Times New Roman"/>
            <w:noProof/>
            <w:webHidden/>
          </w:rPr>
          <w:tab/>
        </w:r>
        <w:r w:rsidR="00DE207B" w:rsidRPr="008902F2">
          <w:rPr>
            <w:rFonts w:ascii="Times New Roman" w:hAnsi="Times New Roman"/>
            <w:noProof/>
            <w:webHidden/>
          </w:rPr>
          <w:t>164</w:t>
        </w:r>
      </w:hyperlink>
    </w:p>
    <w:p w14:paraId="27D56887" w14:textId="6F1A1DCC" w:rsidR="00AF69EA" w:rsidRPr="008902F2" w:rsidRDefault="00027659">
      <w:pPr>
        <w:pStyle w:val="T3"/>
        <w:rPr>
          <w:rFonts w:ascii="Times New Roman" w:eastAsiaTheme="minorEastAsia" w:hAnsi="Times New Roman"/>
          <w:noProof/>
          <w:lang w:val="en-US"/>
        </w:rPr>
      </w:pPr>
      <w:hyperlink w:anchor="_Toc143113441" w:history="1">
        <w:r w:rsidR="00AF69EA" w:rsidRPr="008902F2">
          <w:rPr>
            <w:rStyle w:val="Kpr"/>
            <w:rFonts w:ascii="Times New Roman" w:hAnsi="Times New Roman"/>
            <w:noProof/>
          </w:rPr>
          <w:t>4.3.6. Retail Tariffs</w:t>
        </w:r>
        <w:r w:rsidR="00AF69EA" w:rsidRPr="008902F2">
          <w:rPr>
            <w:rFonts w:ascii="Times New Roman" w:hAnsi="Times New Roman"/>
            <w:noProof/>
            <w:webHidden/>
          </w:rPr>
          <w:tab/>
        </w:r>
        <w:r w:rsidR="00DE207B" w:rsidRPr="008902F2">
          <w:rPr>
            <w:rFonts w:ascii="Times New Roman" w:hAnsi="Times New Roman"/>
            <w:noProof/>
            <w:webHidden/>
          </w:rPr>
          <w:t>164</w:t>
        </w:r>
      </w:hyperlink>
    </w:p>
    <w:p w14:paraId="4117C5CF" w14:textId="7CBD92A3" w:rsidR="00AF69EA" w:rsidRPr="008902F2" w:rsidRDefault="00027659">
      <w:pPr>
        <w:pStyle w:val="T3"/>
        <w:rPr>
          <w:rFonts w:ascii="Times New Roman" w:eastAsiaTheme="minorEastAsia" w:hAnsi="Times New Roman"/>
          <w:noProof/>
          <w:lang w:val="en-US"/>
        </w:rPr>
      </w:pPr>
      <w:hyperlink w:anchor="_Toc143113442" w:history="1">
        <w:r w:rsidR="00AF69EA" w:rsidRPr="008902F2">
          <w:rPr>
            <w:rStyle w:val="Kpr"/>
            <w:rFonts w:ascii="Times New Roman" w:hAnsi="Times New Roman"/>
            <w:noProof/>
          </w:rPr>
          <w:t>4.3.7. Other Tariff Board Decisions Regarding the Natural Gas Market</w:t>
        </w:r>
        <w:r w:rsidR="00AF69EA" w:rsidRPr="008902F2">
          <w:rPr>
            <w:rFonts w:ascii="Times New Roman" w:hAnsi="Times New Roman"/>
            <w:noProof/>
            <w:webHidden/>
          </w:rPr>
          <w:tab/>
        </w:r>
        <w:r w:rsidR="00DE207B" w:rsidRPr="008902F2">
          <w:rPr>
            <w:rFonts w:ascii="Times New Roman" w:hAnsi="Times New Roman"/>
            <w:noProof/>
            <w:webHidden/>
          </w:rPr>
          <w:t>168</w:t>
        </w:r>
      </w:hyperlink>
    </w:p>
    <w:p w14:paraId="480C5A9C" w14:textId="698AB5E1" w:rsidR="00AF69EA" w:rsidRPr="008902F2" w:rsidRDefault="00027659">
      <w:pPr>
        <w:pStyle w:val="T3"/>
        <w:rPr>
          <w:rFonts w:ascii="Times New Roman" w:eastAsiaTheme="minorEastAsia" w:hAnsi="Times New Roman"/>
          <w:noProof/>
          <w:lang w:val="en-US"/>
        </w:rPr>
      </w:pPr>
      <w:hyperlink w:anchor="_Toc143113443" w:history="1">
        <w:r w:rsidR="00AF69EA" w:rsidRPr="008902F2">
          <w:rPr>
            <w:rStyle w:val="Kpr"/>
            <w:rFonts w:ascii="Times New Roman" w:hAnsi="Times New Roman"/>
            <w:noProof/>
          </w:rPr>
          <w:t>4.3.8. License Fees</w:t>
        </w:r>
        <w:r w:rsidR="00AF69EA" w:rsidRPr="008902F2">
          <w:rPr>
            <w:rFonts w:ascii="Times New Roman" w:hAnsi="Times New Roman"/>
            <w:noProof/>
            <w:webHidden/>
          </w:rPr>
          <w:tab/>
        </w:r>
        <w:r w:rsidR="00DE207B" w:rsidRPr="008902F2">
          <w:rPr>
            <w:rFonts w:ascii="Times New Roman" w:hAnsi="Times New Roman"/>
            <w:noProof/>
            <w:webHidden/>
          </w:rPr>
          <w:t>170</w:t>
        </w:r>
      </w:hyperlink>
    </w:p>
    <w:p w14:paraId="1CFCE64B" w14:textId="39594F51" w:rsidR="00AF69EA" w:rsidRPr="008902F2" w:rsidRDefault="00027659">
      <w:pPr>
        <w:pStyle w:val="T2"/>
        <w:rPr>
          <w:rFonts w:ascii="Times New Roman" w:eastAsiaTheme="minorEastAsia" w:hAnsi="Times New Roman"/>
          <w:bCs w:val="0"/>
          <w:lang w:val="en-US"/>
        </w:rPr>
      </w:pPr>
      <w:hyperlink w:anchor="_Toc143113444" w:history="1">
        <w:r w:rsidR="00AF69EA" w:rsidRPr="008902F2">
          <w:rPr>
            <w:rStyle w:val="Kpr"/>
            <w:rFonts w:ascii="Times New Roman" w:eastAsia="Calibri" w:hAnsi="Times New Roman"/>
          </w:rPr>
          <w:t>4.4. Oil Market Tariffs</w:t>
        </w:r>
        <w:r w:rsidR="00AF69EA" w:rsidRPr="008902F2">
          <w:rPr>
            <w:rFonts w:ascii="Times New Roman" w:hAnsi="Times New Roman"/>
            <w:webHidden/>
          </w:rPr>
          <w:tab/>
        </w:r>
        <w:r w:rsidR="00DE207B" w:rsidRPr="008902F2">
          <w:rPr>
            <w:rFonts w:ascii="Times New Roman" w:hAnsi="Times New Roman"/>
            <w:webHidden/>
          </w:rPr>
          <w:t>171</w:t>
        </w:r>
      </w:hyperlink>
    </w:p>
    <w:p w14:paraId="2D1B99FF" w14:textId="5942CF47" w:rsidR="00AF69EA" w:rsidRPr="008902F2" w:rsidRDefault="00027659">
      <w:pPr>
        <w:pStyle w:val="T3"/>
        <w:rPr>
          <w:rFonts w:ascii="Times New Roman" w:eastAsiaTheme="minorEastAsia" w:hAnsi="Times New Roman"/>
          <w:noProof/>
          <w:lang w:val="en-US"/>
        </w:rPr>
      </w:pPr>
      <w:hyperlink w:anchor="_Toc143113445" w:history="1">
        <w:r w:rsidR="00AF69EA" w:rsidRPr="008902F2">
          <w:rPr>
            <w:rStyle w:val="Kpr"/>
            <w:rFonts w:ascii="Times New Roman" w:hAnsi="Times New Roman"/>
            <w:noProof/>
          </w:rPr>
          <w:t>4.4.1. License Fees</w:t>
        </w:r>
        <w:r w:rsidR="00AF69EA" w:rsidRPr="008902F2">
          <w:rPr>
            <w:rFonts w:ascii="Times New Roman" w:hAnsi="Times New Roman"/>
            <w:noProof/>
            <w:webHidden/>
          </w:rPr>
          <w:tab/>
        </w:r>
        <w:r w:rsidR="00DE207B" w:rsidRPr="008902F2">
          <w:rPr>
            <w:rFonts w:ascii="Times New Roman" w:hAnsi="Times New Roman"/>
            <w:noProof/>
            <w:webHidden/>
          </w:rPr>
          <w:t>173</w:t>
        </w:r>
      </w:hyperlink>
    </w:p>
    <w:p w14:paraId="16EFA1CF" w14:textId="082F284D" w:rsidR="00AF69EA" w:rsidRPr="008902F2" w:rsidRDefault="00027659">
      <w:pPr>
        <w:pStyle w:val="T2"/>
        <w:rPr>
          <w:rFonts w:ascii="Times New Roman" w:eastAsiaTheme="minorEastAsia" w:hAnsi="Times New Roman"/>
          <w:bCs w:val="0"/>
          <w:lang w:val="en-US"/>
        </w:rPr>
      </w:pPr>
      <w:hyperlink w:anchor="_Toc143113446" w:history="1">
        <w:r w:rsidR="00AF69EA" w:rsidRPr="008902F2">
          <w:rPr>
            <w:rStyle w:val="Kpr"/>
            <w:rFonts w:ascii="Times New Roman" w:hAnsi="Times New Roman"/>
          </w:rPr>
          <w:t>4.5. Prices in the Liquefied Petroleum Gas (LPG) Market</w:t>
        </w:r>
        <w:r w:rsidR="00AF69EA" w:rsidRPr="008902F2">
          <w:rPr>
            <w:rFonts w:ascii="Times New Roman" w:hAnsi="Times New Roman"/>
            <w:webHidden/>
          </w:rPr>
          <w:tab/>
        </w:r>
        <w:r w:rsidR="00DE207B" w:rsidRPr="008902F2">
          <w:rPr>
            <w:rFonts w:ascii="Times New Roman" w:hAnsi="Times New Roman"/>
            <w:webHidden/>
          </w:rPr>
          <w:t>174</w:t>
        </w:r>
      </w:hyperlink>
    </w:p>
    <w:p w14:paraId="021F3155" w14:textId="685EC74E" w:rsidR="00AF69EA" w:rsidRPr="008902F2" w:rsidRDefault="00027659">
      <w:pPr>
        <w:pStyle w:val="T3"/>
        <w:rPr>
          <w:rFonts w:ascii="Times New Roman" w:eastAsiaTheme="minorEastAsia" w:hAnsi="Times New Roman"/>
          <w:noProof/>
          <w:lang w:val="en-US"/>
        </w:rPr>
      </w:pPr>
      <w:hyperlink w:anchor="_Toc143113447" w:history="1">
        <w:r w:rsidR="00AF69EA" w:rsidRPr="008902F2">
          <w:rPr>
            <w:rStyle w:val="Kpr"/>
            <w:rFonts w:ascii="Times New Roman" w:hAnsi="Times New Roman"/>
            <w:noProof/>
          </w:rPr>
          <w:t>4.5.1. Prices in the Liquefied Petroleum Gas (LPG) Market</w:t>
        </w:r>
        <w:r w:rsidR="00AF69EA" w:rsidRPr="008902F2">
          <w:rPr>
            <w:rFonts w:ascii="Times New Roman" w:hAnsi="Times New Roman"/>
            <w:noProof/>
            <w:webHidden/>
          </w:rPr>
          <w:tab/>
        </w:r>
        <w:r w:rsidR="00DE207B" w:rsidRPr="008902F2">
          <w:rPr>
            <w:rFonts w:ascii="Times New Roman" w:hAnsi="Times New Roman"/>
            <w:noProof/>
            <w:webHidden/>
          </w:rPr>
          <w:t>174</w:t>
        </w:r>
      </w:hyperlink>
    </w:p>
    <w:p w14:paraId="01B44706" w14:textId="66E14A5A" w:rsidR="00AF69EA" w:rsidRPr="008902F2" w:rsidRDefault="00027659">
      <w:pPr>
        <w:pStyle w:val="T1"/>
        <w:tabs>
          <w:tab w:val="left" w:pos="660"/>
        </w:tabs>
        <w:rPr>
          <w:rFonts w:ascii="Times New Roman" w:eastAsiaTheme="minorEastAsia" w:hAnsi="Times New Roman"/>
          <w:b w:val="0"/>
          <w:noProof/>
          <w:lang w:val="en-US"/>
        </w:rPr>
      </w:pPr>
      <w:hyperlink w:anchor="_Toc143113448" w:history="1">
        <w:r w:rsidR="00AF69EA" w:rsidRPr="008902F2">
          <w:rPr>
            <w:rStyle w:val="Kpr"/>
            <w:rFonts w:ascii="Times New Roman" w:hAnsi="Times New Roman"/>
            <w:noProof/>
          </w:rPr>
          <w:t>5.</w:t>
        </w:r>
        <w:r w:rsidR="00AF69EA" w:rsidRPr="008902F2">
          <w:rPr>
            <w:rFonts w:ascii="Times New Roman" w:eastAsiaTheme="minorEastAsia" w:hAnsi="Times New Roman"/>
            <w:b w:val="0"/>
            <w:noProof/>
            <w:lang w:val="en-US"/>
          </w:rPr>
          <w:tab/>
        </w:r>
        <w:r w:rsidR="00AF69EA" w:rsidRPr="008902F2">
          <w:rPr>
            <w:rStyle w:val="Kpr"/>
            <w:rFonts w:ascii="Times New Roman" w:hAnsi="Times New Roman"/>
            <w:noProof/>
          </w:rPr>
          <w:t>INFORMATION SYSTEMS ACTIVITIES</w:t>
        </w:r>
        <w:r w:rsidR="00AF69EA" w:rsidRPr="008902F2">
          <w:rPr>
            <w:rFonts w:ascii="Times New Roman" w:hAnsi="Times New Roman"/>
            <w:noProof/>
            <w:webHidden/>
          </w:rPr>
          <w:tab/>
        </w:r>
        <w:r w:rsidR="00DE207B" w:rsidRPr="008902F2">
          <w:rPr>
            <w:rFonts w:ascii="Times New Roman" w:hAnsi="Times New Roman"/>
            <w:noProof/>
            <w:webHidden/>
          </w:rPr>
          <w:t>175</w:t>
        </w:r>
      </w:hyperlink>
    </w:p>
    <w:p w14:paraId="7C156D0C" w14:textId="3D2D0B63" w:rsidR="00AF69EA" w:rsidRPr="008902F2" w:rsidRDefault="00027659">
      <w:pPr>
        <w:pStyle w:val="T2"/>
        <w:rPr>
          <w:rFonts w:ascii="Times New Roman" w:eastAsiaTheme="minorEastAsia" w:hAnsi="Times New Roman"/>
          <w:bCs w:val="0"/>
          <w:lang w:val="en-US"/>
        </w:rPr>
      </w:pPr>
      <w:hyperlink w:anchor="_Toc143113449" w:history="1">
        <w:r w:rsidR="00AF69EA" w:rsidRPr="008902F2">
          <w:rPr>
            <w:rStyle w:val="Kpr"/>
            <w:rFonts w:ascii="Times New Roman" w:eastAsia="Calibri" w:hAnsi="Times New Roman"/>
          </w:rPr>
          <w:t>5. 1. Information Security Management System (ISMS)</w:t>
        </w:r>
        <w:r w:rsidR="00AF69EA" w:rsidRPr="008902F2">
          <w:rPr>
            <w:rFonts w:ascii="Times New Roman" w:hAnsi="Times New Roman"/>
            <w:webHidden/>
          </w:rPr>
          <w:tab/>
        </w:r>
        <w:r w:rsidR="00DE207B" w:rsidRPr="008902F2">
          <w:rPr>
            <w:rFonts w:ascii="Times New Roman" w:hAnsi="Times New Roman"/>
            <w:webHidden/>
          </w:rPr>
          <w:t>175</w:t>
        </w:r>
      </w:hyperlink>
    </w:p>
    <w:p w14:paraId="5D055B37" w14:textId="37AEAA5C" w:rsidR="00AF69EA" w:rsidRPr="008902F2" w:rsidRDefault="00027659">
      <w:pPr>
        <w:pStyle w:val="T2"/>
        <w:rPr>
          <w:rFonts w:ascii="Times New Roman" w:eastAsiaTheme="minorEastAsia" w:hAnsi="Times New Roman"/>
          <w:bCs w:val="0"/>
          <w:lang w:val="en-US"/>
        </w:rPr>
      </w:pPr>
      <w:hyperlink w:anchor="_Toc143113450" w:history="1">
        <w:r w:rsidR="00AF69EA" w:rsidRPr="008902F2">
          <w:rPr>
            <w:rStyle w:val="Kpr"/>
            <w:rFonts w:ascii="Times New Roman" w:eastAsia="Calibri" w:hAnsi="Times New Roman"/>
          </w:rPr>
          <w:t>5. 2. Information Infrastructure Systems and Support Services</w:t>
        </w:r>
        <w:r w:rsidR="00AF69EA" w:rsidRPr="008902F2">
          <w:rPr>
            <w:rFonts w:ascii="Times New Roman" w:hAnsi="Times New Roman"/>
            <w:webHidden/>
          </w:rPr>
          <w:tab/>
        </w:r>
        <w:r w:rsidR="00DE207B" w:rsidRPr="008902F2">
          <w:rPr>
            <w:rFonts w:ascii="Times New Roman" w:hAnsi="Times New Roman"/>
            <w:webHidden/>
          </w:rPr>
          <w:t>175</w:t>
        </w:r>
      </w:hyperlink>
    </w:p>
    <w:p w14:paraId="31893AE7" w14:textId="459F9318" w:rsidR="00AF69EA" w:rsidRPr="008902F2" w:rsidRDefault="00027659">
      <w:pPr>
        <w:pStyle w:val="T2"/>
        <w:rPr>
          <w:rFonts w:ascii="Times New Roman" w:eastAsiaTheme="minorEastAsia" w:hAnsi="Times New Roman"/>
          <w:bCs w:val="0"/>
          <w:lang w:val="en-US"/>
        </w:rPr>
      </w:pPr>
      <w:hyperlink w:anchor="_Toc143113451" w:history="1">
        <w:r w:rsidR="00AF69EA" w:rsidRPr="008902F2">
          <w:rPr>
            <w:rStyle w:val="Kpr"/>
            <w:rFonts w:ascii="Times New Roman" w:eastAsia="Calibri" w:hAnsi="Times New Roman"/>
          </w:rPr>
          <w:t>5. 3. Electronic Document Management System (EBYS)</w:t>
        </w:r>
        <w:r w:rsidR="00AF69EA" w:rsidRPr="008902F2">
          <w:rPr>
            <w:rFonts w:ascii="Times New Roman" w:hAnsi="Times New Roman"/>
            <w:webHidden/>
          </w:rPr>
          <w:tab/>
        </w:r>
        <w:r w:rsidR="00DE207B" w:rsidRPr="008902F2">
          <w:rPr>
            <w:rFonts w:ascii="Times New Roman" w:hAnsi="Times New Roman"/>
            <w:webHidden/>
          </w:rPr>
          <w:t>176</w:t>
        </w:r>
      </w:hyperlink>
    </w:p>
    <w:p w14:paraId="78A5754C" w14:textId="75F137F6" w:rsidR="00AF69EA" w:rsidRPr="008902F2" w:rsidRDefault="00027659">
      <w:pPr>
        <w:pStyle w:val="T2"/>
        <w:rPr>
          <w:rFonts w:ascii="Times New Roman" w:eastAsiaTheme="minorEastAsia" w:hAnsi="Times New Roman"/>
          <w:bCs w:val="0"/>
          <w:lang w:val="en-US"/>
        </w:rPr>
      </w:pPr>
      <w:hyperlink w:anchor="_Toc143113452" w:history="1">
        <w:r w:rsidR="00AF69EA" w:rsidRPr="008902F2">
          <w:rPr>
            <w:rStyle w:val="Kpr"/>
            <w:rFonts w:ascii="Times New Roman" w:eastAsia="Calibri" w:hAnsi="Times New Roman"/>
          </w:rPr>
          <w:t>5. 4. Institution Website</w:t>
        </w:r>
        <w:r w:rsidR="00AF69EA" w:rsidRPr="008902F2">
          <w:rPr>
            <w:rFonts w:ascii="Times New Roman" w:hAnsi="Times New Roman"/>
            <w:webHidden/>
          </w:rPr>
          <w:tab/>
        </w:r>
        <w:r w:rsidR="00DE207B" w:rsidRPr="008902F2">
          <w:rPr>
            <w:rFonts w:ascii="Times New Roman" w:hAnsi="Times New Roman"/>
            <w:webHidden/>
          </w:rPr>
          <w:t>176</w:t>
        </w:r>
      </w:hyperlink>
    </w:p>
    <w:p w14:paraId="7E91EC73" w14:textId="1B4BAAEE" w:rsidR="00AF69EA" w:rsidRPr="008902F2" w:rsidRDefault="00027659">
      <w:pPr>
        <w:pStyle w:val="T2"/>
        <w:rPr>
          <w:rFonts w:ascii="Times New Roman" w:eastAsiaTheme="minorEastAsia" w:hAnsi="Times New Roman"/>
          <w:bCs w:val="0"/>
          <w:lang w:val="en-US"/>
        </w:rPr>
      </w:pPr>
      <w:hyperlink w:anchor="_Toc143113453" w:history="1">
        <w:r w:rsidR="00AF69EA" w:rsidRPr="008902F2">
          <w:rPr>
            <w:rStyle w:val="Kpr"/>
            <w:rFonts w:ascii="Times New Roman" w:eastAsia="Calibri" w:hAnsi="Times New Roman"/>
          </w:rPr>
          <w:t>5. 5. Enterprise Resource Planning (ERP)</w:t>
        </w:r>
        <w:r w:rsidR="00AF69EA" w:rsidRPr="008902F2">
          <w:rPr>
            <w:rFonts w:ascii="Times New Roman" w:hAnsi="Times New Roman"/>
            <w:webHidden/>
          </w:rPr>
          <w:tab/>
        </w:r>
        <w:r w:rsidR="00DE207B" w:rsidRPr="008902F2">
          <w:rPr>
            <w:rFonts w:ascii="Times New Roman" w:hAnsi="Times New Roman"/>
            <w:webHidden/>
          </w:rPr>
          <w:t>176</w:t>
        </w:r>
      </w:hyperlink>
    </w:p>
    <w:p w14:paraId="3F29041E" w14:textId="63773038" w:rsidR="00AF69EA" w:rsidRPr="008902F2" w:rsidRDefault="00027659">
      <w:pPr>
        <w:pStyle w:val="T2"/>
        <w:rPr>
          <w:rFonts w:ascii="Times New Roman" w:eastAsiaTheme="minorEastAsia" w:hAnsi="Times New Roman"/>
          <w:bCs w:val="0"/>
          <w:lang w:val="en-US"/>
        </w:rPr>
      </w:pPr>
      <w:hyperlink w:anchor="_Toc143113454" w:history="1">
        <w:r w:rsidR="00AF69EA" w:rsidRPr="008902F2">
          <w:rPr>
            <w:rStyle w:val="Kpr"/>
            <w:rFonts w:ascii="Times New Roman" w:eastAsia="Calibri" w:hAnsi="Times New Roman"/>
          </w:rPr>
          <w:t>5. 6. Energy Market Analysis and Reporting System (EPARS)</w:t>
        </w:r>
        <w:r w:rsidR="00AF69EA" w:rsidRPr="008902F2">
          <w:rPr>
            <w:rFonts w:ascii="Times New Roman" w:hAnsi="Times New Roman"/>
            <w:webHidden/>
          </w:rPr>
          <w:tab/>
        </w:r>
        <w:r w:rsidR="00DE207B" w:rsidRPr="008902F2">
          <w:rPr>
            <w:rFonts w:ascii="Times New Roman" w:hAnsi="Times New Roman"/>
            <w:webHidden/>
          </w:rPr>
          <w:t>176</w:t>
        </w:r>
      </w:hyperlink>
    </w:p>
    <w:p w14:paraId="238FD4FB" w14:textId="7E9265D2" w:rsidR="00AF69EA" w:rsidRPr="008902F2" w:rsidRDefault="00027659">
      <w:pPr>
        <w:pStyle w:val="T2"/>
        <w:rPr>
          <w:rFonts w:ascii="Times New Roman" w:eastAsiaTheme="minorEastAsia" w:hAnsi="Times New Roman"/>
          <w:bCs w:val="0"/>
          <w:lang w:val="en-US"/>
        </w:rPr>
      </w:pPr>
      <w:hyperlink w:anchor="_Toc143113455" w:history="1">
        <w:r w:rsidR="00AF69EA" w:rsidRPr="008902F2">
          <w:rPr>
            <w:rStyle w:val="Kpr"/>
            <w:rFonts w:ascii="Times New Roman" w:eastAsia="Calibri" w:hAnsi="Times New Roman"/>
          </w:rPr>
          <w:t>5. 7. Energy Market Database Management System (EPVYS)</w:t>
        </w:r>
        <w:r w:rsidR="00AF69EA" w:rsidRPr="008902F2">
          <w:rPr>
            <w:rFonts w:ascii="Times New Roman" w:hAnsi="Times New Roman"/>
            <w:webHidden/>
          </w:rPr>
          <w:tab/>
        </w:r>
        <w:r w:rsidR="00DE207B" w:rsidRPr="008902F2">
          <w:rPr>
            <w:rFonts w:ascii="Times New Roman" w:hAnsi="Times New Roman"/>
            <w:webHidden/>
          </w:rPr>
          <w:t>177</w:t>
        </w:r>
      </w:hyperlink>
    </w:p>
    <w:p w14:paraId="5FEA721B" w14:textId="2A9F1CAF" w:rsidR="00AF69EA" w:rsidRPr="008902F2" w:rsidRDefault="00027659">
      <w:pPr>
        <w:pStyle w:val="T2"/>
        <w:rPr>
          <w:rFonts w:ascii="Times New Roman" w:eastAsiaTheme="minorEastAsia" w:hAnsi="Times New Roman"/>
          <w:bCs w:val="0"/>
          <w:lang w:val="en-US"/>
        </w:rPr>
      </w:pPr>
      <w:hyperlink w:anchor="_Toc143113456" w:history="1">
        <w:r w:rsidR="00AF69EA" w:rsidRPr="008902F2">
          <w:rPr>
            <w:rStyle w:val="Kpr"/>
            <w:rFonts w:ascii="Times New Roman" w:eastAsia="Calibri" w:hAnsi="Times New Roman"/>
          </w:rPr>
          <w:t>5. 8. Data Sharing with Other Institutions and Organizations (Data A</w:t>
        </w:r>
        <w:r w:rsidR="00DE207B" w:rsidRPr="008902F2">
          <w:rPr>
            <w:rStyle w:val="Kpr"/>
            <w:rFonts w:ascii="Times New Roman" w:eastAsia="Calibri" w:hAnsi="Times New Roman"/>
          </w:rPr>
          <w:t>ccess and Sharing System (VEPS)…………………………………………………………………………………………………………………………………………</w:t>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_Toc143113456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17</w:t>
        </w:r>
        <w:r w:rsidR="00AF69EA" w:rsidRPr="008902F2">
          <w:rPr>
            <w:rFonts w:ascii="Times New Roman" w:hAnsi="Times New Roman"/>
            <w:webHidden/>
          </w:rPr>
          <w:fldChar w:fldCharType="end"/>
        </w:r>
      </w:hyperlink>
      <w:r w:rsidR="00DE207B" w:rsidRPr="008902F2">
        <w:rPr>
          <w:rFonts w:ascii="Times New Roman" w:hAnsi="Times New Roman"/>
        </w:rPr>
        <w:t>8</w:t>
      </w:r>
    </w:p>
    <w:p w14:paraId="4028563E" w14:textId="53620E9B" w:rsidR="00AF69EA" w:rsidRPr="008902F2" w:rsidRDefault="00027659">
      <w:pPr>
        <w:pStyle w:val="T2"/>
        <w:rPr>
          <w:rFonts w:ascii="Times New Roman" w:eastAsiaTheme="minorEastAsia" w:hAnsi="Times New Roman"/>
          <w:bCs w:val="0"/>
          <w:lang w:val="en-US"/>
        </w:rPr>
      </w:pPr>
      <w:hyperlink w:anchor="_Toc143113457" w:history="1">
        <w:r w:rsidR="00AF69EA" w:rsidRPr="008902F2">
          <w:rPr>
            <w:rStyle w:val="Kpr"/>
            <w:rFonts w:ascii="Times New Roman" w:eastAsia="Calibri" w:hAnsi="Times New Roman"/>
          </w:rPr>
          <w:t>5. 9. Energy Market Notification System (EBIS)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_Toc143113457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17</w:t>
        </w:r>
        <w:r w:rsidR="00AF69EA" w:rsidRPr="008902F2">
          <w:rPr>
            <w:rFonts w:ascii="Times New Roman" w:hAnsi="Times New Roman"/>
            <w:webHidden/>
          </w:rPr>
          <w:fldChar w:fldCharType="end"/>
        </w:r>
      </w:hyperlink>
      <w:r w:rsidR="00DE207B" w:rsidRPr="008902F2">
        <w:rPr>
          <w:rFonts w:ascii="Times New Roman" w:hAnsi="Times New Roman"/>
        </w:rPr>
        <w:t>9</w:t>
      </w:r>
    </w:p>
    <w:p w14:paraId="66815998" w14:textId="4FAA2358" w:rsidR="00AF69EA" w:rsidRPr="008902F2" w:rsidRDefault="00027659">
      <w:pPr>
        <w:pStyle w:val="T1"/>
        <w:tabs>
          <w:tab w:val="left" w:pos="660"/>
        </w:tabs>
        <w:rPr>
          <w:rFonts w:ascii="Times New Roman" w:eastAsiaTheme="minorEastAsia" w:hAnsi="Times New Roman"/>
          <w:b w:val="0"/>
          <w:noProof/>
          <w:lang w:val="en-US"/>
        </w:rPr>
      </w:pPr>
      <w:hyperlink w:anchor="_Toc143113458" w:history="1">
        <w:r w:rsidR="00AF69EA" w:rsidRPr="008902F2">
          <w:rPr>
            <w:rStyle w:val="Kpr"/>
            <w:rFonts w:ascii="Times New Roman" w:hAnsi="Times New Roman"/>
            <w:noProof/>
          </w:rPr>
          <w:t>6.</w:t>
        </w:r>
        <w:r w:rsidR="00AF69EA" w:rsidRPr="008902F2">
          <w:rPr>
            <w:rFonts w:ascii="Times New Roman" w:eastAsiaTheme="minorEastAsia" w:hAnsi="Times New Roman"/>
            <w:b w:val="0"/>
            <w:noProof/>
            <w:lang w:val="en-US"/>
          </w:rPr>
          <w:tab/>
        </w:r>
        <w:r w:rsidR="00AF69EA" w:rsidRPr="008902F2">
          <w:rPr>
            <w:rStyle w:val="Kpr"/>
            <w:rFonts w:ascii="Times New Roman" w:hAnsi="Times New Roman"/>
            <w:noProof/>
          </w:rPr>
          <w:t>AUDIT</w:t>
        </w:r>
        <w:r w:rsidR="00AF69EA" w:rsidRPr="008902F2">
          <w:rPr>
            <w:rFonts w:ascii="Times New Roman" w:hAnsi="Times New Roman"/>
            <w:noProof/>
            <w:webHidden/>
          </w:rPr>
          <w:tab/>
        </w:r>
        <w:r w:rsidR="00DE207B" w:rsidRPr="008902F2">
          <w:rPr>
            <w:rFonts w:ascii="Times New Roman" w:hAnsi="Times New Roman"/>
            <w:noProof/>
            <w:webHidden/>
          </w:rPr>
          <w:t>180</w:t>
        </w:r>
      </w:hyperlink>
    </w:p>
    <w:p w14:paraId="0B570A97" w14:textId="15107E6D" w:rsidR="00AF69EA" w:rsidRPr="008902F2" w:rsidRDefault="00027659">
      <w:pPr>
        <w:pStyle w:val="T2"/>
        <w:rPr>
          <w:rFonts w:ascii="Times New Roman" w:eastAsiaTheme="minorEastAsia" w:hAnsi="Times New Roman"/>
          <w:bCs w:val="0"/>
          <w:lang w:val="en-US"/>
        </w:rPr>
      </w:pPr>
      <w:hyperlink w:anchor="_Toc143113459" w:history="1">
        <w:r w:rsidR="00AF69EA" w:rsidRPr="008902F2">
          <w:rPr>
            <w:rStyle w:val="Kpr"/>
            <w:rFonts w:ascii="Times New Roman" w:hAnsi="Times New Roman"/>
          </w:rPr>
          <w:t>6.1 Electricity Market Audit Activities</w:t>
        </w:r>
        <w:r w:rsidR="00AF69EA" w:rsidRPr="008902F2">
          <w:rPr>
            <w:rFonts w:ascii="Times New Roman" w:hAnsi="Times New Roman"/>
            <w:webHidden/>
          </w:rPr>
          <w:tab/>
        </w:r>
        <w:r w:rsidR="00DE207B" w:rsidRPr="008902F2">
          <w:rPr>
            <w:rFonts w:ascii="Times New Roman" w:hAnsi="Times New Roman"/>
            <w:webHidden/>
          </w:rPr>
          <w:t>18</w:t>
        </w:r>
      </w:hyperlink>
      <w:r w:rsidR="00DE207B" w:rsidRPr="008902F2">
        <w:rPr>
          <w:rFonts w:ascii="Times New Roman" w:hAnsi="Times New Roman"/>
        </w:rPr>
        <w:t>0</w:t>
      </w:r>
    </w:p>
    <w:p w14:paraId="253E0BB0" w14:textId="2AB64945" w:rsidR="00AF69EA" w:rsidRPr="008902F2" w:rsidRDefault="00027659">
      <w:pPr>
        <w:pStyle w:val="T2"/>
        <w:rPr>
          <w:rFonts w:ascii="Times New Roman" w:eastAsiaTheme="minorEastAsia" w:hAnsi="Times New Roman"/>
          <w:bCs w:val="0"/>
          <w:lang w:val="en-US"/>
        </w:rPr>
      </w:pPr>
      <w:hyperlink w:anchor="_Toc143113460" w:history="1">
        <w:r w:rsidR="00AF69EA" w:rsidRPr="008902F2">
          <w:rPr>
            <w:rStyle w:val="Kpr"/>
            <w:rFonts w:ascii="Times New Roman" w:hAnsi="Times New Roman"/>
          </w:rPr>
          <w:t>6.2. Naturel Gas Market Inspection and Audit Activities</w:t>
        </w:r>
        <w:r w:rsidR="00AF69EA" w:rsidRPr="008902F2">
          <w:rPr>
            <w:rFonts w:ascii="Times New Roman" w:hAnsi="Times New Roman"/>
            <w:webHidden/>
          </w:rPr>
          <w:tab/>
        </w:r>
        <w:r w:rsidR="00DE207B" w:rsidRPr="008902F2">
          <w:rPr>
            <w:rFonts w:ascii="Times New Roman" w:hAnsi="Times New Roman"/>
            <w:webHidden/>
          </w:rPr>
          <w:t>181</w:t>
        </w:r>
      </w:hyperlink>
    </w:p>
    <w:p w14:paraId="585327B1" w14:textId="2BAEF532" w:rsidR="00AF69EA" w:rsidRPr="008902F2" w:rsidRDefault="00027659">
      <w:pPr>
        <w:pStyle w:val="T3"/>
        <w:rPr>
          <w:rFonts w:ascii="Times New Roman" w:eastAsiaTheme="minorEastAsia" w:hAnsi="Times New Roman"/>
          <w:noProof/>
          <w:lang w:val="en-US"/>
        </w:rPr>
      </w:pPr>
      <w:hyperlink w:anchor="_Toc143113461" w:history="1">
        <w:r w:rsidR="00AF69EA" w:rsidRPr="008902F2">
          <w:rPr>
            <w:rStyle w:val="Kpr"/>
            <w:rFonts w:ascii="Times New Roman" w:hAnsi="Times New Roman"/>
            <w:noProof/>
          </w:rPr>
          <w:t>6.2.1. 5-Year Investment Obligations of Natural Gas Distribution Companies</w:t>
        </w:r>
        <w:r w:rsidR="00AF69EA" w:rsidRPr="008902F2">
          <w:rPr>
            <w:rFonts w:ascii="Times New Roman" w:hAnsi="Times New Roman"/>
            <w:noProof/>
            <w:webHidden/>
          </w:rPr>
          <w:tab/>
        </w:r>
        <w:r w:rsidR="00DE207B" w:rsidRPr="008902F2">
          <w:rPr>
            <w:rFonts w:ascii="Times New Roman" w:hAnsi="Times New Roman"/>
            <w:noProof/>
            <w:webHidden/>
          </w:rPr>
          <w:t>18</w:t>
        </w:r>
      </w:hyperlink>
      <w:r w:rsidR="00DE207B" w:rsidRPr="008902F2">
        <w:rPr>
          <w:rFonts w:ascii="Times New Roman" w:hAnsi="Times New Roman"/>
          <w:noProof/>
        </w:rPr>
        <w:t>1</w:t>
      </w:r>
    </w:p>
    <w:p w14:paraId="09269974" w14:textId="6AC89035" w:rsidR="00AF69EA" w:rsidRPr="008902F2" w:rsidRDefault="00027659">
      <w:pPr>
        <w:pStyle w:val="T3"/>
        <w:rPr>
          <w:rFonts w:ascii="Times New Roman" w:eastAsiaTheme="minorEastAsia" w:hAnsi="Times New Roman"/>
          <w:noProof/>
          <w:lang w:val="en-US"/>
        </w:rPr>
      </w:pPr>
      <w:hyperlink w:anchor="_Toc143113462" w:history="1">
        <w:r w:rsidR="00AF69EA" w:rsidRPr="008902F2">
          <w:rPr>
            <w:rStyle w:val="Kpr"/>
            <w:rFonts w:ascii="Times New Roman" w:hAnsi="Times New Roman"/>
            <w:noProof/>
          </w:rPr>
          <w:t>6.2.2. Natural Gas Market Audit Activities</w:t>
        </w:r>
        <w:r w:rsidR="00AF69EA" w:rsidRPr="008902F2">
          <w:rPr>
            <w:rFonts w:ascii="Times New Roman" w:hAnsi="Times New Roman"/>
            <w:noProof/>
            <w:webHidden/>
          </w:rPr>
          <w:tab/>
        </w:r>
        <w:r w:rsidR="00DE207B" w:rsidRPr="008902F2">
          <w:rPr>
            <w:rFonts w:ascii="Times New Roman" w:hAnsi="Times New Roman"/>
            <w:noProof/>
            <w:webHidden/>
          </w:rPr>
          <w:t>182</w:t>
        </w:r>
      </w:hyperlink>
    </w:p>
    <w:p w14:paraId="28D9BD0D" w14:textId="525D805F" w:rsidR="00AF69EA" w:rsidRPr="008902F2" w:rsidRDefault="00027659">
      <w:pPr>
        <w:pStyle w:val="T2"/>
        <w:rPr>
          <w:rFonts w:ascii="Times New Roman" w:eastAsiaTheme="minorEastAsia" w:hAnsi="Times New Roman"/>
          <w:bCs w:val="0"/>
          <w:lang w:val="en-US"/>
        </w:rPr>
      </w:pPr>
      <w:hyperlink w:anchor="_Toc143113463" w:history="1">
        <w:r w:rsidR="00AF69EA" w:rsidRPr="008902F2">
          <w:rPr>
            <w:rStyle w:val="Kpr"/>
            <w:rFonts w:ascii="Times New Roman" w:hAnsi="Times New Roman"/>
          </w:rPr>
          <w:t>6.3. Petroleum Market Audit Activities</w:t>
        </w:r>
        <w:r w:rsidR="00AF69EA" w:rsidRPr="008902F2">
          <w:rPr>
            <w:rFonts w:ascii="Times New Roman" w:hAnsi="Times New Roman"/>
            <w:webHidden/>
          </w:rPr>
          <w:tab/>
        </w:r>
        <w:r w:rsidR="00DE207B" w:rsidRPr="008902F2">
          <w:rPr>
            <w:rFonts w:ascii="Times New Roman" w:hAnsi="Times New Roman"/>
            <w:webHidden/>
          </w:rPr>
          <w:t>182</w:t>
        </w:r>
      </w:hyperlink>
    </w:p>
    <w:p w14:paraId="44366142" w14:textId="24480850" w:rsidR="00AF69EA" w:rsidRPr="008902F2" w:rsidRDefault="00027659">
      <w:pPr>
        <w:pStyle w:val="T3"/>
        <w:rPr>
          <w:rFonts w:ascii="Times New Roman" w:eastAsiaTheme="minorEastAsia" w:hAnsi="Times New Roman"/>
          <w:noProof/>
          <w:lang w:val="en-US"/>
        </w:rPr>
      </w:pPr>
      <w:hyperlink w:anchor="_Toc143113464" w:history="1">
        <w:r w:rsidR="00AF69EA" w:rsidRPr="008902F2">
          <w:rPr>
            <w:rStyle w:val="Kpr"/>
            <w:rFonts w:ascii="Times New Roman" w:hAnsi="Times New Roman"/>
            <w:noProof/>
          </w:rPr>
          <w:t>6.3.1. Transactions Performed within the Framework of Subparagraphs (G) and (H) of the Second Paragraph of Article 20 of the Petroleum Market Law No. 5015</w:t>
        </w:r>
        <w:r w:rsidR="00AF69EA" w:rsidRPr="008902F2">
          <w:rPr>
            <w:rFonts w:ascii="Times New Roman" w:hAnsi="Times New Roman"/>
            <w:noProof/>
            <w:webHidden/>
          </w:rPr>
          <w:tab/>
        </w:r>
        <w:r w:rsidR="00DE207B" w:rsidRPr="008902F2">
          <w:rPr>
            <w:rFonts w:ascii="Times New Roman" w:hAnsi="Times New Roman"/>
            <w:noProof/>
            <w:webHidden/>
          </w:rPr>
          <w:t>185</w:t>
        </w:r>
      </w:hyperlink>
    </w:p>
    <w:p w14:paraId="753DEA07" w14:textId="61CAE266" w:rsidR="00AF69EA" w:rsidRPr="008902F2" w:rsidRDefault="00027659">
      <w:pPr>
        <w:pStyle w:val="T2"/>
        <w:rPr>
          <w:rFonts w:ascii="Times New Roman" w:eastAsiaTheme="minorEastAsia" w:hAnsi="Times New Roman"/>
          <w:bCs w:val="0"/>
          <w:lang w:val="en-US"/>
        </w:rPr>
      </w:pPr>
      <w:hyperlink w:anchor="_Toc143113465" w:history="1">
        <w:r w:rsidR="00AF69EA" w:rsidRPr="008902F2">
          <w:rPr>
            <w:rStyle w:val="Kpr"/>
            <w:rFonts w:ascii="Times New Roman" w:hAnsi="Times New Roman"/>
          </w:rPr>
          <w:t>6. 4. Liquefied Petroleum Gas Market Audit Activities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_Toc143113465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18</w:t>
        </w:r>
        <w:r w:rsidR="00AF69EA" w:rsidRPr="008902F2">
          <w:rPr>
            <w:rFonts w:ascii="Times New Roman" w:hAnsi="Times New Roman"/>
            <w:webHidden/>
          </w:rPr>
          <w:fldChar w:fldCharType="end"/>
        </w:r>
      </w:hyperlink>
      <w:r w:rsidR="00DE207B" w:rsidRPr="008902F2">
        <w:rPr>
          <w:rFonts w:ascii="Times New Roman" w:hAnsi="Times New Roman"/>
        </w:rPr>
        <w:t>8</w:t>
      </w:r>
    </w:p>
    <w:p w14:paraId="63481291" w14:textId="6D22D1B1" w:rsidR="00AF69EA" w:rsidRPr="008902F2" w:rsidRDefault="00027659">
      <w:pPr>
        <w:pStyle w:val="T1"/>
        <w:rPr>
          <w:rFonts w:ascii="Times New Roman" w:eastAsiaTheme="minorEastAsia" w:hAnsi="Times New Roman"/>
          <w:b w:val="0"/>
          <w:noProof/>
          <w:lang w:val="en-US"/>
        </w:rPr>
      </w:pPr>
      <w:hyperlink w:anchor="_Toc143113466" w:history="1">
        <w:r w:rsidR="00AF69EA" w:rsidRPr="008902F2">
          <w:rPr>
            <w:rStyle w:val="Kpr"/>
            <w:rFonts w:ascii="Times New Roman" w:hAnsi="Times New Roman"/>
            <w:noProof/>
          </w:rPr>
          <w:t>7. REAL ESTATE SUPPLY WORKS</w:t>
        </w:r>
        <w:r w:rsidR="00AF69EA" w:rsidRPr="008902F2">
          <w:rPr>
            <w:rFonts w:ascii="Times New Roman" w:hAnsi="Times New Roman"/>
            <w:noProof/>
            <w:webHidden/>
          </w:rPr>
          <w:tab/>
        </w:r>
        <w:r w:rsidR="00DE207B" w:rsidRPr="008902F2">
          <w:rPr>
            <w:rFonts w:ascii="Times New Roman" w:hAnsi="Times New Roman"/>
            <w:noProof/>
            <w:webHidden/>
          </w:rPr>
          <w:t>190</w:t>
        </w:r>
      </w:hyperlink>
    </w:p>
    <w:p w14:paraId="5EFD209C" w14:textId="3F7F51F9" w:rsidR="00AF69EA" w:rsidRPr="008902F2" w:rsidRDefault="00027659">
      <w:pPr>
        <w:pStyle w:val="T1"/>
        <w:rPr>
          <w:rFonts w:ascii="Times New Roman" w:eastAsiaTheme="minorEastAsia" w:hAnsi="Times New Roman"/>
          <w:b w:val="0"/>
          <w:noProof/>
          <w:lang w:val="en-US"/>
        </w:rPr>
      </w:pPr>
      <w:hyperlink w:anchor="_Toc143113467" w:history="1">
        <w:r w:rsidR="00AF69EA" w:rsidRPr="008902F2">
          <w:rPr>
            <w:rStyle w:val="Kpr"/>
            <w:rFonts w:ascii="Times New Roman" w:hAnsi="Times New Roman"/>
            <w:noProof/>
          </w:rPr>
          <w:t>8. ACTIVITIES RELATING TO LEGAL SERVICES</w:t>
        </w:r>
        <w:r w:rsidR="00AF69EA" w:rsidRPr="008902F2">
          <w:rPr>
            <w:rFonts w:ascii="Times New Roman" w:hAnsi="Times New Roman"/>
            <w:noProof/>
            <w:webHidden/>
          </w:rPr>
          <w:tab/>
        </w:r>
        <w:r w:rsidR="00DE207B" w:rsidRPr="008902F2">
          <w:rPr>
            <w:rFonts w:ascii="Times New Roman" w:hAnsi="Times New Roman"/>
            <w:noProof/>
            <w:webHidden/>
          </w:rPr>
          <w:t>194</w:t>
        </w:r>
      </w:hyperlink>
    </w:p>
    <w:p w14:paraId="2FD8FC01" w14:textId="6003D08D" w:rsidR="00AF69EA" w:rsidRPr="008902F2" w:rsidRDefault="00027659">
      <w:pPr>
        <w:pStyle w:val="T2"/>
        <w:rPr>
          <w:rFonts w:ascii="Times New Roman" w:eastAsiaTheme="minorEastAsia" w:hAnsi="Times New Roman"/>
          <w:bCs w:val="0"/>
          <w:lang w:val="en-US"/>
        </w:rPr>
      </w:pPr>
      <w:hyperlink w:anchor="_Toc143113468" w:history="1">
        <w:r w:rsidR="00AF69EA" w:rsidRPr="008902F2">
          <w:rPr>
            <w:rStyle w:val="Kpr"/>
            <w:rFonts w:ascii="Times New Roman" w:eastAsia="Calibri" w:hAnsi="Times New Roman"/>
          </w:rPr>
          <w:t>8.1.</w:t>
        </w:r>
        <w:r w:rsidR="00AF69EA" w:rsidRPr="008902F2">
          <w:rPr>
            <w:rStyle w:val="Kpr"/>
            <w:rFonts w:ascii="Times New Roman" w:eastAsia="Cambria" w:hAnsi="Times New Roman"/>
          </w:rPr>
          <w:t xml:space="preserve"> </w:t>
        </w:r>
        <w:r w:rsidR="00AF69EA" w:rsidRPr="008902F2">
          <w:rPr>
            <w:rStyle w:val="Kpr"/>
            <w:rFonts w:ascii="Times New Roman" w:eastAsia="Calibri" w:hAnsi="Times New Roman"/>
          </w:rPr>
          <w:t>Litigation Procedures</w:t>
        </w:r>
        <w:r w:rsidR="00AF69EA" w:rsidRPr="008902F2">
          <w:rPr>
            <w:rFonts w:ascii="Times New Roman" w:hAnsi="Times New Roman"/>
            <w:webHidden/>
          </w:rPr>
          <w:tab/>
        </w:r>
        <w:r w:rsidR="00DE207B" w:rsidRPr="008902F2">
          <w:rPr>
            <w:rFonts w:ascii="Times New Roman" w:hAnsi="Times New Roman"/>
            <w:webHidden/>
          </w:rPr>
          <w:t>194</w:t>
        </w:r>
      </w:hyperlink>
    </w:p>
    <w:p w14:paraId="32488B74" w14:textId="36847650" w:rsidR="00AF69EA" w:rsidRPr="008902F2" w:rsidRDefault="00027659">
      <w:pPr>
        <w:pStyle w:val="T2"/>
        <w:rPr>
          <w:rFonts w:ascii="Times New Roman" w:eastAsiaTheme="minorEastAsia" w:hAnsi="Times New Roman"/>
          <w:bCs w:val="0"/>
          <w:lang w:val="en-US"/>
        </w:rPr>
      </w:pPr>
      <w:hyperlink w:anchor="_Toc143113469" w:history="1">
        <w:r w:rsidR="00AF69EA" w:rsidRPr="008902F2">
          <w:rPr>
            <w:rStyle w:val="Kpr"/>
            <w:rFonts w:ascii="Times New Roman" w:hAnsi="Times New Roman"/>
            <w:lang w:val="en-GB"/>
          </w:rPr>
          <w:t>8.2. Mediation Activities</w:t>
        </w:r>
        <w:r w:rsidR="00AF69EA" w:rsidRPr="008902F2">
          <w:rPr>
            <w:rFonts w:ascii="Times New Roman" w:hAnsi="Times New Roman"/>
            <w:webHidden/>
          </w:rPr>
          <w:tab/>
        </w:r>
        <w:r w:rsidR="00DE207B" w:rsidRPr="008902F2">
          <w:rPr>
            <w:rFonts w:ascii="Times New Roman" w:hAnsi="Times New Roman"/>
            <w:webHidden/>
          </w:rPr>
          <w:t>197</w:t>
        </w:r>
      </w:hyperlink>
    </w:p>
    <w:p w14:paraId="241AB9DC" w14:textId="2B78AD3A" w:rsidR="00AF69EA" w:rsidRPr="008902F2" w:rsidRDefault="00027659">
      <w:pPr>
        <w:pStyle w:val="T2"/>
        <w:rPr>
          <w:rFonts w:ascii="Times New Roman" w:eastAsiaTheme="minorEastAsia" w:hAnsi="Times New Roman"/>
          <w:bCs w:val="0"/>
          <w:lang w:val="en-US"/>
        </w:rPr>
      </w:pPr>
      <w:hyperlink w:anchor="_Toc143113470" w:history="1">
        <w:r w:rsidR="00AF69EA" w:rsidRPr="008902F2">
          <w:rPr>
            <w:rStyle w:val="Kpr"/>
            <w:rFonts w:ascii="Times New Roman" w:hAnsi="Times New Roman"/>
            <w:lang w:val="en-GB"/>
          </w:rPr>
          <w:t>8.3. Issue Opinion</w:t>
        </w:r>
        <w:r w:rsidR="00AF69EA" w:rsidRPr="008902F2">
          <w:rPr>
            <w:rFonts w:ascii="Times New Roman" w:hAnsi="Times New Roman"/>
            <w:webHidden/>
          </w:rPr>
          <w:tab/>
        </w:r>
        <w:r w:rsidR="00DE207B" w:rsidRPr="008902F2">
          <w:rPr>
            <w:rFonts w:ascii="Times New Roman" w:hAnsi="Times New Roman"/>
            <w:webHidden/>
          </w:rPr>
          <w:t>197</w:t>
        </w:r>
      </w:hyperlink>
    </w:p>
    <w:p w14:paraId="3058E2CC" w14:textId="0BFBE031" w:rsidR="00AF69EA" w:rsidRPr="008902F2" w:rsidRDefault="00027659">
      <w:pPr>
        <w:pStyle w:val="T2"/>
        <w:rPr>
          <w:rFonts w:ascii="Times New Roman" w:eastAsiaTheme="minorEastAsia" w:hAnsi="Times New Roman"/>
          <w:bCs w:val="0"/>
          <w:lang w:val="en-US"/>
        </w:rPr>
      </w:pPr>
      <w:hyperlink w:anchor="_Toc143113471" w:history="1">
        <w:r w:rsidR="00AF69EA" w:rsidRPr="008902F2">
          <w:rPr>
            <w:rStyle w:val="Kpr"/>
            <w:rFonts w:ascii="Times New Roman" w:hAnsi="Times New Roman"/>
          </w:rPr>
          <w:t>8.4. Tender Processes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_Toc143113471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19</w:t>
        </w:r>
        <w:r w:rsidR="00AF69EA" w:rsidRPr="008902F2">
          <w:rPr>
            <w:rFonts w:ascii="Times New Roman" w:hAnsi="Times New Roman"/>
            <w:webHidden/>
          </w:rPr>
          <w:fldChar w:fldCharType="end"/>
        </w:r>
      </w:hyperlink>
      <w:r w:rsidR="00DE207B" w:rsidRPr="008902F2">
        <w:rPr>
          <w:rFonts w:ascii="Times New Roman" w:hAnsi="Times New Roman"/>
        </w:rPr>
        <w:t>9</w:t>
      </w:r>
    </w:p>
    <w:p w14:paraId="5D017696" w14:textId="5DBA0825" w:rsidR="00AF69EA" w:rsidRPr="008902F2" w:rsidRDefault="00027659">
      <w:pPr>
        <w:pStyle w:val="T2"/>
        <w:rPr>
          <w:rFonts w:ascii="Times New Roman" w:eastAsiaTheme="minorEastAsia" w:hAnsi="Times New Roman"/>
          <w:bCs w:val="0"/>
          <w:lang w:val="en-US"/>
        </w:rPr>
      </w:pPr>
      <w:hyperlink w:anchor="_Toc143113472" w:history="1">
        <w:r w:rsidR="00AF69EA" w:rsidRPr="008902F2">
          <w:rPr>
            <w:rStyle w:val="Kpr"/>
            <w:rFonts w:ascii="Times New Roman" w:hAnsi="Times New Roman"/>
          </w:rPr>
          <w:t>8.5. Payment Orders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_Toc143113472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19</w:t>
        </w:r>
        <w:r w:rsidR="00AF69EA" w:rsidRPr="008902F2">
          <w:rPr>
            <w:rFonts w:ascii="Times New Roman" w:hAnsi="Times New Roman"/>
            <w:webHidden/>
          </w:rPr>
          <w:fldChar w:fldCharType="end"/>
        </w:r>
      </w:hyperlink>
      <w:r w:rsidR="00DE207B" w:rsidRPr="008902F2">
        <w:rPr>
          <w:rFonts w:ascii="Times New Roman" w:hAnsi="Times New Roman"/>
        </w:rPr>
        <w:t>9</w:t>
      </w:r>
    </w:p>
    <w:p w14:paraId="1C2F4777" w14:textId="635B4CA9" w:rsidR="00AF69EA" w:rsidRPr="008902F2" w:rsidRDefault="00027659">
      <w:pPr>
        <w:pStyle w:val="T2"/>
        <w:rPr>
          <w:rFonts w:ascii="Times New Roman" w:eastAsiaTheme="minorEastAsia" w:hAnsi="Times New Roman"/>
          <w:bCs w:val="0"/>
          <w:lang w:val="en-US"/>
        </w:rPr>
      </w:pPr>
      <w:hyperlink w:anchor="_Toc143113473" w:history="1">
        <w:r w:rsidR="00AF69EA" w:rsidRPr="008902F2">
          <w:rPr>
            <w:rStyle w:val="Kpr"/>
            <w:rFonts w:ascii="Times New Roman" w:hAnsi="Times New Roman"/>
            <w:lang w:val="en-GB"/>
          </w:rPr>
          <w:t>8.6. Decisions of the Ombudsman Institution</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_Toc143113473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19</w:t>
        </w:r>
        <w:r w:rsidR="00AF69EA" w:rsidRPr="008902F2">
          <w:rPr>
            <w:rFonts w:ascii="Times New Roman" w:hAnsi="Times New Roman"/>
            <w:webHidden/>
          </w:rPr>
          <w:fldChar w:fldCharType="end"/>
        </w:r>
      </w:hyperlink>
      <w:r w:rsidR="00DE207B" w:rsidRPr="008902F2">
        <w:rPr>
          <w:rFonts w:ascii="Times New Roman" w:hAnsi="Times New Roman"/>
        </w:rPr>
        <w:t>9</w:t>
      </w:r>
    </w:p>
    <w:p w14:paraId="5CD55414" w14:textId="4CAD1D3E" w:rsidR="00AF69EA" w:rsidRPr="008902F2" w:rsidRDefault="00027659">
      <w:pPr>
        <w:pStyle w:val="T2"/>
        <w:rPr>
          <w:rFonts w:ascii="Times New Roman" w:eastAsiaTheme="minorEastAsia" w:hAnsi="Times New Roman"/>
          <w:bCs w:val="0"/>
          <w:lang w:val="en-US"/>
        </w:rPr>
      </w:pPr>
      <w:hyperlink w:anchor="_Toc143113474" w:history="1">
        <w:r w:rsidR="00AF69EA" w:rsidRPr="008902F2">
          <w:rPr>
            <w:rStyle w:val="Kpr"/>
            <w:rFonts w:ascii="Times New Roman" w:hAnsi="Times New Roman"/>
            <w:lang w:val="en-GB"/>
          </w:rPr>
          <w:t>8.7. Audit of Electricity Distribution Companies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_Toc143113474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19</w:t>
        </w:r>
        <w:r w:rsidR="00AF69EA" w:rsidRPr="008902F2">
          <w:rPr>
            <w:rFonts w:ascii="Times New Roman" w:hAnsi="Times New Roman"/>
            <w:webHidden/>
          </w:rPr>
          <w:fldChar w:fldCharType="end"/>
        </w:r>
      </w:hyperlink>
      <w:r w:rsidR="00DE207B" w:rsidRPr="008902F2">
        <w:rPr>
          <w:rFonts w:ascii="Times New Roman" w:hAnsi="Times New Roman"/>
        </w:rPr>
        <w:t>9</w:t>
      </w:r>
    </w:p>
    <w:p w14:paraId="7F0777C7" w14:textId="2CA8C9CF" w:rsidR="00AF69EA" w:rsidRPr="008902F2" w:rsidRDefault="00027659">
      <w:pPr>
        <w:pStyle w:val="T1"/>
        <w:rPr>
          <w:rFonts w:ascii="Times New Roman" w:eastAsiaTheme="minorEastAsia" w:hAnsi="Times New Roman"/>
          <w:b w:val="0"/>
          <w:noProof/>
          <w:lang w:val="en-US"/>
        </w:rPr>
      </w:pPr>
      <w:hyperlink w:anchor="_Toc143113475" w:history="1">
        <w:r w:rsidR="00AF69EA" w:rsidRPr="008902F2">
          <w:rPr>
            <w:rStyle w:val="Kpr"/>
            <w:rFonts w:ascii="Times New Roman" w:hAnsi="Times New Roman"/>
            <w:noProof/>
            <w:lang w:val="en-GB"/>
          </w:rPr>
          <w:t>9. PROTECTION OF CONSUMER RIGHTS</w:t>
        </w:r>
        <w:r w:rsidR="00AF69EA" w:rsidRPr="008902F2">
          <w:rPr>
            <w:rFonts w:ascii="Times New Roman" w:hAnsi="Times New Roman"/>
            <w:noProof/>
            <w:webHidden/>
          </w:rPr>
          <w:tab/>
        </w:r>
        <w:r w:rsidR="00DE207B" w:rsidRPr="008902F2">
          <w:rPr>
            <w:rFonts w:ascii="Times New Roman" w:hAnsi="Times New Roman"/>
            <w:noProof/>
            <w:webHidden/>
          </w:rPr>
          <w:t>200</w:t>
        </w:r>
      </w:hyperlink>
    </w:p>
    <w:p w14:paraId="5C8AF870" w14:textId="38012D48" w:rsidR="00AF69EA" w:rsidRPr="008902F2" w:rsidRDefault="00027659">
      <w:pPr>
        <w:pStyle w:val="T2"/>
        <w:rPr>
          <w:rFonts w:ascii="Times New Roman" w:eastAsiaTheme="minorEastAsia" w:hAnsi="Times New Roman"/>
          <w:bCs w:val="0"/>
          <w:lang w:val="en-US"/>
        </w:rPr>
      </w:pPr>
      <w:hyperlink w:anchor="_Toc143113476" w:history="1">
        <w:r w:rsidR="00AF69EA" w:rsidRPr="008902F2">
          <w:rPr>
            <w:rStyle w:val="Kpr"/>
            <w:rFonts w:ascii="Times New Roman" w:hAnsi="Times New Roman"/>
            <w:lang w:val="en-GB"/>
          </w:rPr>
          <w:t>9.1. Creation and Development of Consumer Awareness</w:t>
        </w:r>
        <w:r w:rsidR="00AF69EA" w:rsidRPr="008902F2">
          <w:rPr>
            <w:rFonts w:ascii="Times New Roman" w:hAnsi="Times New Roman"/>
            <w:webHidden/>
          </w:rPr>
          <w:tab/>
        </w:r>
        <w:r w:rsidR="00DE207B" w:rsidRPr="008902F2">
          <w:rPr>
            <w:rFonts w:ascii="Times New Roman" w:hAnsi="Times New Roman"/>
            <w:webHidden/>
          </w:rPr>
          <w:t>200</w:t>
        </w:r>
      </w:hyperlink>
    </w:p>
    <w:p w14:paraId="5A69D74C" w14:textId="1064360E" w:rsidR="00AF69EA" w:rsidRPr="008902F2" w:rsidRDefault="00027659">
      <w:pPr>
        <w:pStyle w:val="T2"/>
        <w:rPr>
          <w:rFonts w:ascii="Times New Roman" w:eastAsiaTheme="minorEastAsia" w:hAnsi="Times New Roman"/>
          <w:bCs w:val="0"/>
          <w:lang w:val="en-US"/>
        </w:rPr>
      </w:pPr>
      <w:hyperlink w:anchor="_Toc143113477" w:history="1">
        <w:r w:rsidR="00AF69EA" w:rsidRPr="008902F2">
          <w:rPr>
            <w:rStyle w:val="Kpr"/>
            <w:rFonts w:ascii="Times New Roman" w:hAnsi="Times New Roman"/>
            <w:lang w:val="en-GB"/>
          </w:rPr>
          <w:t>9.2. Evaluation of Consumer Complaints</w:t>
        </w:r>
        <w:r w:rsidR="00AF69EA" w:rsidRPr="008902F2">
          <w:rPr>
            <w:rFonts w:ascii="Times New Roman" w:hAnsi="Times New Roman"/>
            <w:webHidden/>
          </w:rPr>
          <w:tab/>
        </w:r>
        <w:r w:rsidR="00DE207B" w:rsidRPr="008902F2">
          <w:rPr>
            <w:rFonts w:ascii="Times New Roman" w:hAnsi="Times New Roman"/>
            <w:webHidden/>
          </w:rPr>
          <w:t>201</w:t>
        </w:r>
      </w:hyperlink>
    </w:p>
    <w:p w14:paraId="29756D0E" w14:textId="4984833A" w:rsidR="00AF69EA" w:rsidRPr="008902F2" w:rsidRDefault="00027659">
      <w:pPr>
        <w:pStyle w:val="T3"/>
        <w:rPr>
          <w:rFonts w:ascii="Times New Roman" w:eastAsiaTheme="minorEastAsia" w:hAnsi="Times New Roman"/>
          <w:noProof/>
          <w:lang w:val="en-US"/>
        </w:rPr>
      </w:pPr>
      <w:hyperlink w:anchor="_Toc143113478" w:history="1">
        <w:r w:rsidR="00AF69EA" w:rsidRPr="008902F2">
          <w:rPr>
            <w:rStyle w:val="Kpr"/>
            <w:rFonts w:ascii="Times New Roman" w:hAnsi="Times New Roman"/>
            <w:noProof/>
            <w:lang w:val="en-GB"/>
          </w:rPr>
          <w:t>9.2.1. Number of Complaints and Channels for Obtaining Information</w:t>
        </w:r>
        <w:r w:rsidR="00AF69EA" w:rsidRPr="008902F2">
          <w:rPr>
            <w:rFonts w:ascii="Times New Roman" w:hAnsi="Times New Roman"/>
            <w:noProof/>
            <w:webHidden/>
          </w:rPr>
          <w:tab/>
        </w:r>
        <w:r w:rsidR="00DE207B" w:rsidRPr="008902F2">
          <w:rPr>
            <w:rFonts w:ascii="Times New Roman" w:hAnsi="Times New Roman"/>
            <w:noProof/>
            <w:webHidden/>
          </w:rPr>
          <w:t>201</w:t>
        </w:r>
      </w:hyperlink>
    </w:p>
    <w:p w14:paraId="18E581E3" w14:textId="0168F350" w:rsidR="00AF69EA" w:rsidRPr="008902F2" w:rsidRDefault="00027659">
      <w:pPr>
        <w:pStyle w:val="T3"/>
        <w:rPr>
          <w:rFonts w:ascii="Times New Roman" w:eastAsiaTheme="minorEastAsia" w:hAnsi="Times New Roman"/>
          <w:noProof/>
          <w:lang w:val="en-US"/>
        </w:rPr>
      </w:pPr>
      <w:hyperlink w:anchor="_Toc143113479" w:history="1">
        <w:r w:rsidR="00AF69EA" w:rsidRPr="008902F2">
          <w:rPr>
            <w:rStyle w:val="Kpr"/>
            <w:rFonts w:ascii="Times New Roman" w:hAnsi="Times New Roman"/>
            <w:noProof/>
            <w:lang w:val="en-GB"/>
          </w:rPr>
          <w:t>9.2.2. Sectoral Distribution of Complaint Notifications</w:t>
        </w:r>
        <w:r w:rsidR="00AF69EA" w:rsidRPr="008902F2">
          <w:rPr>
            <w:rFonts w:ascii="Times New Roman" w:hAnsi="Times New Roman"/>
            <w:noProof/>
            <w:webHidden/>
          </w:rPr>
          <w:tab/>
        </w:r>
        <w:r w:rsidR="00DE207B" w:rsidRPr="008902F2">
          <w:rPr>
            <w:rFonts w:ascii="Times New Roman" w:hAnsi="Times New Roman"/>
            <w:noProof/>
            <w:webHidden/>
          </w:rPr>
          <w:t>202</w:t>
        </w:r>
      </w:hyperlink>
    </w:p>
    <w:p w14:paraId="37B4A61A" w14:textId="51B65401" w:rsidR="00AF69EA" w:rsidRPr="008902F2" w:rsidRDefault="00027659">
      <w:pPr>
        <w:pStyle w:val="T3"/>
        <w:rPr>
          <w:rFonts w:ascii="Times New Roman" w:eastAsiaTheme="minorEastAsia" w:hAnsi="Times New Roman"/>
          <w:noProof/>
          <w:lang w:val="en-US"/>
        </w:rPr>
      </w:pPr>
      <w:hyperlink w:anchor="_Toc143113480" w:history="1">
        <w:r w:rsidR="00AF69EA" w:rsidRPr="008902F2">
          <w:rPr>
            <w:rStyle w:val="Kpr"/>
            <w:rFonts w:ascii="Times New Roman" w:hAnsi="Times New Roman"/>
            <w:noProof/>
            <w:lang w:val="en-GB"/>
          </w:rPr>
          <w:t>9.2.3. Classification of Complaints Related to the Electricity Sector and Their Realizations</w:t>
        </w:r>
        <w:r w:rsidR="00AF69EA" w:rsidRPr="008902F2">
          <w:rPr>
            <w:rFonts w:ascii="Times New Roman" w:hAnsi="Times New Roman"/>
            <w:noProof/>
            <w:webHidden/>
          </w:rPr>
          <w:tab/>
        </w:r>
        <w:r w:rsidR="00DE207B" w:rsidRPr="008902F2">
          <w:rPr>
            <w:rFonts w:ascii="Times New Roman" w:hAnsi="Times New Roman"/>
            <w:noProof/>
            <w:webHidden/>
          </w:rPr>
          <w:t>204</w:t>
        </w:r>
      </w:hyperlink>
    </w:p>
    <w:p w14:paraId="2854F59C" w14:textId="6D5322D6" w:rsidR="00AF69EA" w:rsidRPr="008902F2" w:rsidRDefault="00027659">
      <w:pPr>
        <w:pStyle w:val="T3"/>
        <w:rPr>
          <w:rFonts w:ascii="Times New Roman" w:eastAsiaTheme="minorEastAsia" w:hAnsi="Times New Roman"/>
          <w:noProof/>
          <w:lang w:val="en-US"/>
        </w:rPr>
      </w:pPr>
      <w:hyperlink w:anchor="_Toc143113481" w:history="1">
        <w:r w:rsidR="00AF69EA" w:rsidRPr="008902F2">
          <w:rPr>
            <w:rStyle w:val="Kpr"/>
            <w:rFonts w:ascii="Times New Roman" w:hAnsi="Times New Roman"/>
            <w:noProof/>
            <w:lang w:val="en-GB"/>
          </w:rPr>
          <w:t>9.2.4. Classification of Complaints Related to the Natural Gas Sector and Their Realizations</w:t>
        </w:r>
        <w:r w:rsidR="00AF69EA" w:rsidRPr="008902F2">
          <w:rPr>
            <w:rFonts w:ascii="Times New Roman" w:hAnsi="Times New Roman"/>
            <w:noProof/>
            <w:webHidden/>
          </w:rPr>
          <w:tab/>
        </w:r>
        <w:r w:rsidR="000D129B" w:rsidRPr="008902F2">
          <w:rPr>
            <w:rFonts w:ascii="Times New Roman" w:hAnsi="Times New Roman"/>
            <w:noProof/>
            <w:webHidden/>
          </w:rPr>
          <w:t>205</w:t>
        </w:r>
      </w:hyperlink>
    </w:p>
    <w:p w14:paraId="5E5F240F" w14:textId="3DE2A7E3" w:rsidR="00AF69EA" w:rsidRPr="008902F2" w:rsidRDefault="00027659">
      <w:pPr>
        <w:pStyle w:val="T3"/>
        <w:rPr>
          <w:rFonts w:ascii="Times New Roman" w:eastAsiaTheme="minorEastAsia" w:hAnsi="Times New Roman"/>
          <w:noProof/>
          <w:lang w:val="en-US"/>
        </w:rPr>
      </w:pPr>
      <w:hyperlink w:anchor="_Toc143113482" w:history="1">
        <w:r w:rsidR="00AF69EA" w:rsidRPr="008902F2">
          <w:rPr>
            <w:rStyle w:val="Kpr"/>
            <w:rFonts w:ascii="Times New Roman" w:hAnsi="Times New Roman"/>
            <w:noProof/>
            <w:lang w:val="en-GB"/>
          </w:rPr>
          <w:t>9.2.5. Classification of Complaints Related to the Petroleum Sector and Their Realizations</w:t>
        </w:r>
        <w:r w:rsidR="00AF69EA" w:rsidRPr="008902F2">
          <w:rPr>
            <w:rFonts w:ascii="Times New Roman" w:hAnsi="Times New Roman"/>
            <w:noProof/>
            <w:webHidden/>
          </w:rPr>
          <w:tab/>
        </w:r>
        <w:r w:rsidR="000D129B" w:rsidRPr="008902F2">
          <w:rPr>
            <w:rFonts w:ascii="Times New Roman" w:hAnsi="Times New Roman"/>
            <w:noProof/>
            <w:webHidden/>
          </w:rPr>
          <w:t>207</w:t>
        </w:r>
      </w:hyperlink>
    </w:p>
    <w:p w14:paraId="02F72ABF" w14:textId="25BFCF86" w:rsidR="00AF69EA" w:rsidRPr="008902F2" w:rsidRDefault="00027659">
      <w:pPr>
        <w:pStyle w:val="T3"/>
        <w:rPr>
          <w:rFonts w:ascii="Times New Roman" w:eastAsiaTheme="minorEastAsia" w:hAnsi="Times New Roman"/>
          <w:noProof/>
          <w:lang w:val="en-US"/>
        </w:rPr>
      </w:pPr>
      <w:hyperlink w:anchor="_Toc143113483" w:history="1">
        <w:r w:rsidR="00AF69EA" w:rsidRPr="008902F2">
          <w:rPr>
            <w:rStyle w:val="Kpr"/>
            <w:rFonts w:ascii="Times New Roman" w:hAnsi="Times New Roman"/>
            <w:noProof/>
            <w:lang w:val="en-GB"/>
          </w:rPr>
          <w:t>9.2.6. Classification of Complaints Related to the Liquefied Petroleum Gases Sector and Their Realizations</w:t>
        </w:r>
        <w:r w:rsidR="000D129B" w:rsidRPr="008902F2">
          <w:rPr>
            <w:rStyle w:val="Kpr"/>
            <w:rFonts w:ascii="Times New Roman" w:hAnsi="Times New Roman"/>
            <w:noProof/>
            <w:lang w:val="en-GB"/>
          </w:rPr>
          <w:t>…………………………………………………………………………………………………………………………………….</w:t>
        </w:r>
        <w:r w:rsidR="000D129B" w:rsidRPr="008902F2">
          <w:rPr>
            <w:rFonts w:ascii="Times New Roman" w:hAnsi="Times New Roman"/>
            <w:noProof/>
            <w:webHidden/>
          </w:rPr>
          <w:t>207</w:t>
        </w:r>
      </w:hyperlink>
    </w:p>
    <w:p w14:paraId="5F2F85F3" w14:textId="377FCA6E" w:rsidR="00AF69EA" w:rsidRPr="008902F2" w:rsidRDefault="00027659">
      <w:pPr>
        <w:pStyle w:val="T1"/>
        <w:rPr>
          <w:rFonts w:ascii="Times New Roman" w:eastAsiaTheme="minorEastAsia" w:hAnsi="Times New Roman"/>
          <w:b w:val="0"/>
          <w:noProof/>
          <w:lang w:val="en-US"/>
        </w:rPr>
      </w:pPr>
      <w:hyperlink w:anchor="_Toc143113484" w:history="1">
        <w:r w:rsidR="00AF69EA" w:rsidRPr="008902F2">
          <w:rPr>
            <w:rStyle w:val="Kpr"/>
            <w:rFonts w:ascii="Times New Roman" w:hAnsi="Times New Roman"/>
            <w:noProof/>
            <w:lang w:val="en-GB"/>
          </w:rPr>
          <w:t>10. PRESS AND PUBLIC RELATIONS</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_Toc143113484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20</w:t>
        </w:r>
        <w:r w:rsidR="00AF69EA" w:rsidRPr="008902F2">
          <w:rPr>
            <w:rFonts w:ascii="Times New Roman" w:hAnsi="Times New Roman"/>
            <w:noProof/>
            <w:webHidden/>
          </w:rPr>
          <w:fldChar w:fldCharType="end"/>
        </w:r>
      </w:hyperlink>
      <w:r w:rsidR="000D129B" w:rsidRPr="008902F2">
        <w:rPr>
          <w:rFonts w:ascii="Times New Roman" w:hAnsi="Times New Roman"/>
          <w:noProof/>
        </w:rPr>
        <w:t>9</w:t>
      </w:r>
    </w:p>
    <w:p w14:paraId="3D32ADB2" w14:textId="7B508D66" w:rsidR="00AF69EA" w:rsidRPr="008902F2" w:rsidRDefault="00027659">
      <w:pPr>
        <w:pStyle w:val="T1"/>
        <w:rPr>
          <w:rFonts w:ascii="Times New Roman" w:eastAsiaTheme="minorEastAsia" w:hAnsi="Times New Roman"/>
          <w:b w:val="0"/>
          <w:noProof/>
          <w:lang w:val="en-US"/>
        </w:rPr>
      </w:pPr>
      <w:hyperlink w:anchor="_Toc143113485" w:history="1">
        <w:r w:rsidR="00AF69EA" w:rsidRPr="008902F2">
          <w:rPr>
            <w:rStyle w:val="Kpr"/>
            <w:rFonts w:ascii="Times New Roman" w:hAnsi="Times New Roman"/>
            <w:noProof/>
            <w:lang w:val="en-GB"/>
          </w:rPr>
          <w:t>11. RELATIONS WITH OTHER INSTITUTIONS</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_Toc143113485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2</w:t>
        </w:r>
        <w:r w:rsidR="00AF69EA" w:rsidRPr="008902F2">
          <w:rPr>
            <w:rFonts w:ascii="Times New Roman" w:hAnsi="Times New Roman"/>
            <w:noProof/>
            <w:webHidden/>
          </w:rPr>
          <w:fldChar w:fldCharType="end"/>
        </w:r>
      </w:hyperlink>
      <w:r w:rsidR="000D129B" w:rsidRPr="008902F2">
        <w:rPr>
          <w:rFonts w:ascii="Times New Roman" w:hAnsi="Times New Roman"/>
          <w:noProof/>
        </w:rPr>
        <w:t>10</w:t>
      </w:r>
    </w:p>
    <w:p w14:paraId="5C3E5E27" w14:textId="66444054" w:rsidR="00AF69EA" w:rsidRPr="008902F2" w:rsidRDefault="00027659">
      <w:pPr>
        <w:pStyle w:val="T2"/>
        <w:rPr>
          <w:rFonts w:ascii="Times New Roman" w:eastAsiaTheme="minorEastAsia" w:hAnsi="Times New Roman"/>
          <w:bCs w:val="0"/>
          <w:lang w:val="en-US"/>
        </w:rPr>
      </w:pPr>
      <w:hyperlink w:anchor="_Toc143113486" w:history="1">
        <w:r w:rsidR="00AF69EA" w:rsidRPr="008902F2">
          <w:rPr>
            <w:rStyle w:val="Kpr"/>
            <w:rFonts w:ascii="Times New Roman" w:hAnsi="Times New Roman"/>
            <w:lang w:val="en-GB"/>
          </w:rPr>
          <w:t>11.1. Parliamentary Questions from the Grand National Assembly of Türkiye through the Ministry</w:t>
        </w:r>
        <w:r w:rsidR="000D129B" w:rsidRPr="008902F2">
          <w:rPr>
            <w:rFonts w:ascii="Times New Roman" w:hAnsi="Times New Roman"/>
            <w:webHidden/>
          </w:rPr>
          <w:t>………………………………………………………………………………………………………………………………………</w:t>
        </w:r>
      </w:hyperlink>
      <w:r w:rsidR="000D129B" w:rsidRPr="008902F2">
        <w:rPr>
          <w:rFonts w:ascii="Times New Roman" w:hAnsi="Times New Roman"/>
        </w:rPr>
        <w:t>210</w:t>
      </w:r>
    </w:p>
    <w:p w14:paraId="5FAEEBDD" w14:textId="7B6995C6" w:rsidR="00AF69EA" w:rsidRPr="008902F2" w:rsidRDefault="00027659">
      <w:pPr>
        <w:pStyle w:val="T1"/>
        <w:rPr>
          <w:rFonts w:ascii="Times New Roman" w:eastAsiaTheme="minorEastAsia" w:hAnsi="Times New Roman"/>
          <w:b w:val="0"/>
          <w:noProof/>
          <w:lang w:val="en-US"/>
        </w:rPr>
      </w:pPr>
      <w:hyperlink w:anchor="_Toc143113487" w:history="1">
        <w:r w:rsidR="00AF69EA" w:rsidRPr="008902F2">
          <w:rPr>
            <w:rStyle w:val="Kpr"/>
            <w:rFonts w:ascii="Times New Roman" w:hAnsi="Times New Roman"/>
            <w:noProof/>
            <w:lang w:val="en-GB"/>
          </w:rPr>
          <w:t>12. FOREIGN RELATIONS</w:t>
        </w:r>
        <w:r w:rsidR="00AF69EA" w:rsidRPr="008902F2">
          <w:rPr>
            <w:rFonts w:ascii="Times New Roman" w:hAnsi="Times New Roman"/>
            <w:noProof/>
            <w:webHidden/>
          </w:rPr>
          <w:tab/>
        </w:r>
        <w:r w:rsidR="000D129B" w:rsidRPr="008902F2">
          <w:rPr>
            <w:rFonts w:ascii="Times New Roman" w:hAnsi="Times New Roman"/>
            <w:noProof/>
            <w:webHidden/>
          </w:rPr>
          <w:t>212</w:t>
        </w:r>
      </w:hyperlink>
    </w:p>
    <w:p w14:paraId="549B5420" w14:textId="2538E0C1" w:rsidR="00AF69EA" w:rsidRPr="008902F2" w:rsidRDefault="00027659">
      <w:pPr>
        <w:pStyle w:val="T2"/>
        <w:rPr>
          <w:rFonts w:ascii="Times New Roman" w:eastAsiaTheme="minorEastAsia" w:hAnsi="Times New Roman"/>
          <w:bCs w:val="0"/>
          <w:lang w:val="en-US"/>
        </w:rPr>
      </w:pPr>
      <w:hyperlink w:anchor="_Toc143113488" w:history="1">
        <w:r w:rsidR="00AF69EA" w:rsidRPr="008902F2">
          <w:rPr>
            <w:rStyle w:val="Kpr"/>
            <w:rFonts w:ascii="Times New Roman" w:hAnsi="Times New Roman"/>
            <w:lang w:val="en-GB"/>
          </w:rPr>
          <w:t>12. 1. Relations with International Associations of which the Authority is a Member</w:t>
        </w:r>
        <w:r w:rsidR="00AF69EA" w:rsidRPr="008902F2">
          <w:rPr>
            <w:rFonts w:ascii="Times New Roman" w:hAnsi="Times New Roman"/>
            <w:webHidden/>
          </w:rPr>
          <w:tab/>
        </w:r>
        <w:r w:rsidR="000D129B" w:rsidRPr="008902F2">
          <w:rPr>
            <w:rFonts w:ascii="Times New Roman" w:hAnsi="Times New Roman"/>
            <w:webHidden/>
          </w:rPr>
          <w:t>21</w:t>
        </w:r>
      </w:hyperlink>
      <w:r w:rsidR="000D129B" w:rsidRPr="008902F2">
        <w:rPr>
          <w:rFonts w:ascii="Times New Roman" w:hAnsi="Times New Roman"/>
        </w:rPr>
        <w:t>2</w:t>
      </w:r>
    </w:p>
    <w:p w14:paraId="65F73D78" w14:textId="12BAE3B2" w:rsidR="00AF69EA" w:rsidRPr="008902F2" w:rsidRDefault="00027659">
      <w:pPr>
        <w:pStyle w:val="T2"/>
        <w:rPr>
          <w:rFonts w:ascii="Times New Roman" w:eastAsiaTheme="minorEastAsia" w:hAnsi="Times New Roman"/>
          <w:bCs w:val="0"/>
          <w:lang w:val="en-US"/>
        </w:rPr>
      </w:pPr>
      <w:hyperlink w:anchor="_Toc143113489" w:history="1">
        <w:r w:rsidR="00AF69EA" w:rsidRPr="008902F2">
          <w:rPr>
            <w:rStyle w:val="Kpr"/>
            <w:rFonts w:ascii="Times New Roman" w:hAnsi="Times New Roman"/>
            <w:lang w:val="en-GB"/>
          </w:rPr>
          <w:t>12.2. Bilateral Relations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_Toc143113489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2</w:t>
        </w:r>
        <w:r w:rsidR="00AF69EA" w:rsidRPr="008902F2">
          <w:rPr>
            <w:rFonts w:ascii="Times New Roman" w:hAnsi="Times New Roman"/>
            <w:webHidden/>
          </w:rPr>
          <w:fldChar w:fldCharType="end"/>
        </w:r>
      </w:hyperlink>
      <w:r w:rsidR="000D129B" w:rsidRPr="008902F2">
        <w:rPr>
          <w:rFonts w:ascii="Times New Roman" w:hAnsi="Times New Roman"/>
        </w:rPr>
        <w:t>13</w:t>
      </w:r>
    </w:p>
    <w:p w14:paraId="58FE095F" w14:textId="2CD57607" w:rsidR="00AF69EA" w:rsidRPr="008902F2" w:rsidRDefault="00027659">
      <w:pPr>
        <w:pStyle w:val="T2"/>
        <w:rPr>
          <w:rFonts w:ascii="Times New Roman" w:eastAsiaTheme="minorEastAsia" w:hAnsi="Times New Roman"/>
          <w:bCs w:val="0"/>
          <w:lang w:val="en-US"/>
        </w:rPr>
      </w:pPr>
      <w:hyperlink w:anchor="_Toc143113490" w:history="1">
        <w:r w:rsidR="00AF69EA" w:rsidRPr="008902F2">
          <w:rPr>
            <w:rStyle w:val="Kpr"/>
            <w:rFonts w:ascii="Times New Roman" w:hAnsi="Times New Roman"/>
            <w:lang w:val="en-GB"/>
          </w:rPr>
          <w:t>12.3. Activities within the Scope of the Harmonization Process with the European Union Acquis</w:t>
        </w:r>
        <w:r w:rsidR="00AF69EA" w:rsidRPr="008902F2">
          <w:rPr>
            <w:rFonts w:ascii="Times New Roman" w:hAnsi="Times New Roman"/>
            <w:webHidden/>
          </w:rPr>
          <w:tab/>
        </w:r>
        <w:r w:rsidR="00AF69EA" w:rsidRPr="008902F2">
          <w:rPr>
            <w:rFonts w:ascii="Times New Roman" w:hAnsi="Times New Roman"/>
            <w:webHidden/>
          </w:rPr>
          <w:fldChar w:fldCharType="begin"/>
        </w:r>
        <w:r w:rsidR="00AF69EA" w:rsidRPr="008902F2">
          <w:rPr>
            <w:rFonts w:ascii="Times New Roman" w:hAnsi="Times New Roman"/>
            <w:webHidden/>
          </w:rPr>
          <w:instrText xml:space="preserve"> PAGEREF _Toc143113490 \h </w:instrText>
        </w:r>
        <w:r w:rsidR="00AF69EA" w:rsidRPr="008902F2">
          <w:rPr>
            <w:rFonts w:ascii="Times New Roman" w:hAnsi="Times New Roman"/>
            <w:webHidden/>
          </w:rPr>
        </w:r>
        <w:r w:rsidR="00AF69EA" w:rsidRPr="008902F2">
          <w:rPr>
            <w:rFonts w:ascii="Times New Roman" w:hAnsi="Times New Roman"/>
            <w:webHidden/>
          </w:rPr>
          <w:fldChar w:fldCharType="separate"/>
        </w:r>
        <w:r w:rsidR="00AF69EA" w:rsidRPr="008902F2">
          <w:rPr>
            <w:rFonts w:ascii="Times New Roman" w:hAnsi="Times New Roman"/>
            <w:webHidden/>
          </w:rPr>
          <w:t>2</w:t>
        </w:r>
        <w:r w:rsidR="00AF69EA" w:rsidRPr="008902F2">
          <w:rPr>
            <w:rFonts w:ascii="Times New Roman" w:hAnsi="Times New Roman"/>
            <w:webHidden/>
          </w:rPr>
          <w:fldChar w:fldCharType="end"/>
        </w:r>
      </w:hyperlink>
      <w:r w:rsidR="000D129B" w:rsidRPr="008902F2">
        <w:rPr>
          <w:rFonts w:ascii="Times New Roman" w:hAnsi="Times New Roman"/>
        </w:rPr>
        <w:t>13</w:t>
      </w:r>
    </w:p>
    <w:p w14:paraId="24BA671E" w14:textId="523DDF1E" w:rsidR="00AF69EA" w:rsidRPr="008902F2" w:rsidRDefault="00027659">
      <w:pPr>
        <w:pStyle w:val="T2"/>
        <w:rPr>
          <w:rFonts w:ascii="Times New Roman" w:eastAsiaTheme="minorEastAsia" w:hAnsi="Times New Roman"/>
          <w:bCs w:val="0"/>
          <w:lang w:val="en-US"/>
        </w:rPr>
      </w:pPr>
      <w:hyperlink w:anchor="_Toc143113491" w:history="1">
        <w:r w:rsidR="00AF69EA" w:rsidRPr="008902F2">
          <w:rPr>
            <w:rStyle w:val="Kpr"/>
            <w:rFonts w:ascii="Times New Roman" w:hAnsi="Times New Roman"/>
            <w:lang w:val="en-GB"/>
          </w:rPr>
          <w:t>12. 4. Studies Carried Out In The Fields Within The Scope Of The Authority’s Call Of Duty Within The Scope Of The Organizations With Which It Is In Relations In Accordance With The International Agreements To Which Our Country Is A Party</w:t>
        </w:r>
        <w:r w:rsidR="00AF69EA" w:rsidRPr="008902F2">
          <w:rPr>
            <w:rFonts w:ascii="Times New Roman" w:hAnsi="Times New Roman"/>
            <w:webHidden/>
          </w:rPr>
          <w:tab/>
        </w:r>
        <w:r w:rsidR="000D129B" w:rsidRPr="008902F2">
          <w:rPr>
            <w:rFonts w:ascii="Times New Roman" w:hAnsi="Times New Roman"/>
            <w:webHidden/>
          </w:rPr>
          <w:t>214</w:t>
        </w:r>
      </w:hyperlink>
    </w:p>
    <w:p w14:paraId="1E12A911" w14:textId="6E0A1A7E" w:rsidR="00AF69EA" w:rsidRPr="008902F2" w:rsidRDefault="00027659">
      <w:pPr>
        <w:pStyle w:val="T2"/>
        <w:rPr>
          <w:rFonts w:ascii="Times New Roman" w:eastAsiaTheme="minorEastAsia" w:hAnsi="Times New Roman"/>
          <w:bCs w:val="0"/>
          <w:lang w:val="en-US"/>
        </w:rPr>
      </w:pPr>
      <w:hyperlink w:anchor="_Toc143113492" w:history="1">
        <w:r w:rsidR="00AF69EA" w:rsidRPr="008902F2">
          <w:rPr>
            <w:rStyle w:val="Kpr"/>
            <w:rFonts w:ascii="Times New Roman" w:hAnsi="Times New Roman"/>
            <w:lang w:val="en-GB"/>
          </w:rPr>
          <w:t>12. 5. Monitoring and Reporting Developments in International Energy Markets</w:t>
        </w:r>
        <w:r w:rsidR="00AF69EA" w:rsidRPr="008902F2">
          <w:rPr>
            <w:rFonts w:ascii="Times New Roman" w:hAnsi="Times New Roman"/>
            <w:webHidden/>
          </w:rPr>
          <w:tab/>
        </w:r>
        <w:r w:rsidR="000D129B" w:rsidRPr="008902F2">
          <w:rPr>
            <w:rFonts w:ascii="Times New Roman" w:hAnsi="Times New Roman"/>
            <w:webHidden/>
          </w:rPr>
          <w:t>214</w:t>
        </w:r>
      </w:hyperlink>
    </w:p>
    <w:p w14:paraId="4CECA95F" w14:textId="7E85A6F7" w:rsidR="00AF69EA" w:rsidRPr="008902F2" w:rsidRDefault="00027659">
      <w:pPr>
        <w:pStyle w:val="T1"/>
        <w:rPr>
          <w:rFonts w:ascii="Times New Roman" w:eastAsiaTheme="minorEastAsia" w:hAnsi="Times New Roman"/>
          <w:b w:val="0"/>
          <w:noProof/>
          <w:lang w:val="en-US"/>
        </w:rPr>
      </w:pPr>
      <w:hyperlink w:anchor="_Toc143113493" w:history="1">
        <w:r w:rsidR="00AF69EA" w:rsidRPr="008902F2">
          <w:rPr>
            <w:rStyle w:val="Kpr"/>
            <w:rFonts w:ascii="Times New Roman" w:hAnsi="Times New Roman"/>
            <w:noProof/>
            <w:lang w:val="en-GB"/>
          </w:rPr>
          <w:t>13. HUMAN RESOURCES AND EDUCATIONAL ACTIVITIES</w:t>
        </w:r>
        <w:r w:rsidR="00AF69EA" w:rsidRPr="008902F2">
          <w:rPr>
            <w:rFonts w:ascii="Times New Roman" w:hAnsi="Times New Roman"/>
            <w:noProof/>
            <w:webHidden/>
          </w:rPr>
          <w:tab/>
        </w:r>
        <w:r w:rsidR="000D129B" w:rsidRPr="008902F2">
          <w:rPr>
            <w:rFonts w:ascii="Times New Roman" w:hAnsi="Times New Roman"/>
            <w:noProof/>
            <w:webHidden/>
          </w:rPr>
          <w:t>216</w:t>
        </w:r>
      </w:hyperlink>
    </w:p>
    <w:p w14:paraId="2E2A8432" w14:textId="19C1DDE1" w:rsidR="00AF69EA" w:rsidRPr="008902F2" w:rsidRDefault="00027659">
      <w:pPr>
        <w:pStyle w:val="T2"/>
        <w:rPr>
          <w:rFonts w:ascii="Times New Roman" w:eastAsiaTheme="minorEastAsia" w:hAnsi="Times New Roman"/>
          <w:bCs w:val="0"/>
          <w:lang w:val="en-US"/>
        </w:rPr>
      </w:pPr>
      <w:hyperlink w:anchor="_Toc143113494" w:history="1">
        <w:r w:rsidR="00AF69EA" w:rsidRPr="008902F2">
          <w:rPr>
            <w:rStyle w:val="Kpr"/>
            <w:rFonts w:ascii="Times New Roman" w:hAnsi="Times New Roman"/>
            <w:lang w:val="en-GB"/>
          </w:rPr>
          <w:t>13.1. Authority Staff</w:t>
        </w:r>
        <w:r w:rsidR="00AF69EA" w:rsidRPr="008902F2">
          <w:rPr>
            <w:rFonts w:ascii="Times New Roman" w:hAnsi="Times New Roman"/>
            <w:webHidden/>
          </w:rPr>
          <w:tab/>
        </w:r>
        <w:r w:rsidR="000D129B" w:rsidRPr="008902F2">
          <w:rPr>
            <w:rFonts w:ascii="Times New Roman" w:hAnsi="Times New Roman"/>
            <w:webHidden/>
          </w:rPr>
          <w:t>216</w:t>
        </w:r>
      </w:hyperlink>
    </w:p>
    <w:p w14:paraId="301E2E1C" w14:textId="47872E90" w:rsidR="00AF69EA" w:rsidRPr="008902F2" w:rsidRDefault="00027659">
      <w:pPr>
        <w:pStyle w:val="T2"/>
        <w:rPr>
          <w:rFonts w:ascii="Times New Roman" w:eastAsiaTheme="minorEastAsia" w:hAnsi="Times New Roman"/>
          <w:bCs w:val="0"/>
          <w:lang w:val="en-US"/>
        </w:rPr>
      </w:pPr>
      <w:hyperlink w:anchor="_Toc143113495" w:history="1">
        <w:r w:rsidR="00AF69EA" w:rsidRPr="008902F2">
          <w:rPr>
            <w:rStyle w:val="Kpr"/>
            <w:rFonts w:ascii="Times New Roman" w:hAnsi="Times New Roman"/>
            <w:lang w:val="en-GB"/>
          </w:rPr>
          <w:t>13.2. Educational Activities</w:t>
        </w:r>
        <w:r w:rsidR="00AF69EA" w:rsidRPr="008902F2">
          <w:rPr>
            <w:rFonts w:ascii="Times New Roman" w:hAnsi="Times New Roman"/>
            <w:webHidden/>
          </w:rPr>
          <w:tab/>
        </w:r>
        <w:r w:rsidR="000D129B" w:rsidRPr="008902F2">
          <w:rPr>
            <w:rFonts w:ascii="Times New Roman" w:hAnsi="Times New Roman"/>
            <w:webHidden/>
          </w:rPr>
          <w:t>220</w:t>
        </w:r>
      </w:hyperlink>
    </w:p>
    <w:p w14:paraId="10DBA7A4" w14:textId="5FBB15F1" w:rsidR="00AF69EA" w:rsidRPr="008902F2" w:rsidRDefault="00027659">
      <w:pPr>
        <w:pStyle w:val="T3"/>
        <w:rPr>
          <w:rFonts w:ascii="Times New Roman" w:eastAsiaTheme="minorEastAsia" w:hAnsi="Times New Roman"/>
          <w:noProof/>
          <w:lang w:val="en-US"/>
        </w:rPr>
      </w:pPr>
      <w:hyperlink w:anchor="_Toc143113496" w:history="1">
        <w:r w:rsidR="00AF69EA" w:rsidRPr="008902F2">
          <w:rPr>
            <w:rStyle w:val="Kpr"/>
            <w:rFonts w:ascii="Times New Roman" w:hAnsi="Times New Roman"/>
            <w:noProof/>
            <w:lang w:val="en-GB"/>
          </w:rPr>
          <w:t>13.2.1. In-Service Training Activities</w:t>
        </w:r>
        <w:r w:rsidR="00AF69EA" w:rsidRPr="008902F2">
          <w:rPr>
            <w:rFonts w:ascii="Times New Roman" w:hAnsi="Times New Roman"/>
            <w:noProof/>
            <w:webHidden/>
          </w:rPr>
          <w:tab/>
        </w:r>
        <w:r w:rsidR="000D129B" w:rsidRPr="008902F2">
          <w:rPr>
            <w:rFonts w:ascii="Times New Roman" w:hAnsi="Times New Roman"/>
            <w:noProof/>
            <w:webHidden/>
          </w:rPr>
          <w:t>220</w:t>
        </w:r>
      </w:hyperlink>
    </w:p>
    <w:p w14:paraId="55BAEC49" w14:textId="5EAD62D7" w:rsidR="00AF69EA" w:rsidRPr="008902F2" w:rsidRDefault="00027659">
      <w:pPr>
        <w:pStyle w:val="T3"/>
        <w:rPr>
          <w:rFonts w:ascii="Times New Roman" w:eastAsiaTheme="minorEastAsia" w:hAnsi="Times New Roman"/>
          <w:noProof/>
          <w:lang w:val="en-US"/>
        </w:rPr>
      </w:pPr>
      <w:hyperlink w:anchor="_Toc143113497" w:history="1">
        <w:r w:rsidR="00AF69EA" w:rsidRPr="008902F2">
          <w:rPr>
            <w:rStyle w:val="Kpr"/>
            <w:rFonts w:ascii="Times New Roman" w:hAnsi="Times New Roman"/>
            <w:noProof/>
            <w:lang w:val="en-GB"/>
          </w:rPr>
          <w:t>13.2.2. Other Educational Activities</w:t>
        </w:r>
        <w:r w:rsidR="00AF69EA" w:rsidRPr="008902F2">
          <w:rPr>
            <w:rFonts w:ascii="Times New Roman" w:hAnsi="Times New Roman"/>
            <w:noProof/>
            <w:webHidden/>
          </w:rPr>
          <w:tab/>
        </w:r>
        <w:r w:rsidR="000D129B" w:rsidRPr="008902F2">
          <w:rPr>
            <w:rFonts w:ascii="Times New Roman" w:hAnsi="Times New Roman"/>
            <w:noProof/>
            <w:webHidden/>
          </w:rPr>
          <w:t>221</w:t>
        </w:r>
      </w:hyperlink>
    </w:p>
    <w:p w14:paraId="7F077EB6" w14:textId="6467C6A4" w:rsidR="00AF69EA" w:rsidRPr="008902F2" w:rsidRDefault="00027659">
      <w:pPr>
        <w:pStyle w:val="T1"/>
        <w:rPr>
          <w:rFonts w:ascii="Times New Roman" w:eastAsiaTheme="minorEastAsia" w:hAnsi="Times New Roman"/>
          <w:b w:val="0"/>
          <w:noProof/>
          <w:lang w:val="en-US"/>
        </w:rPr>
      </w:pPr>
      <w:hyperlink w:anchor="_Toc143113498" w:history="1">
        <w:r w:rsidR="00AF69EA" w:rsidRPr="008902F2">
          <w:rPr>
            <w:rStyle w:val="Kpr"/>
            <w:rFonts w:ascii="Times New Roman" w:hAnsi="Times New Roman"/>
            <w:noProof/>
            <w:lang w:val="en-GB"/>
          </w:rPr>
          <w:t>14. FINANCIAL INFORMATION</w:t>
        </w:r>
        <w:r w:rsidR="00AF69EA" w:rsidRPr="008902F2">
          <w:rPr>
            <w:rFonts w:ascii="Times New Roman" w:hAnsi="Times New Roman"/>
            <w:noProof/>
            <w:webHidden/>
          </w:rPr>
          <w:tab/>
        </w:r>
        <w:r w:rsidR="000D129B" w:rsidRPr="008902F2">
          <w:rPr>
            <w:rFonts w:ascii="Times New Roman" w:hAnsi="Times New Roman"/>
            <w:noProof/>
            <w:webHidden/>
          </w:rPr>
          <w:t>224</w:t>
        </w:r>
      </w:hyperlink>
    </w:p>
    <w:p w14:paraId="5D951649" w14:textId="2D578A1A" w:rsidR="00AF69EA" w:rsidRPr="008902F2" w:rsidRDefault="00027659">
      <w:pPr>
        <w:pStyle w:val="T2"/>
        <w:rPr>
          <w:rFonts w:ascii="Times New Roman" w:eastAsiaTheme="minorEastAsia" w:hAnsi="Times New Roman"/>
          <w:bCs w:val="0"/>
          <w:lang w:val="en-US"/>
        </w:rPr>
      </w:pPr>
      <w:hyperlink w:anchor="_Toc143113499" w:history="1">
        <w:r w:rsidR="00AF69EA" w:rsidRPr="008902F2">
          <w:rPr>
            <w:rStyle w:val="Kpr"/>
            <w:rFonts w:ascii="Times New Roman" w:hAnsi="Times New Roman"/>
            <w:lang w:val="en-GB"/>
          </w:rPr>
          <w:t>14.1. 2022 Budget Implementation Results</w:t>
        </w:r>
        <w:r w:rsidR="00AF69EA" w:rsidRPr="008902F2">
          <w:rPr>
            <w:rFonts w:ascii="Times New Roman" w:hAnsi="Times New Roman"/>
            <w:webHidden/>
          </w:rPr>
          <w:tab/>
        </w:r>
        <w:r w:rsidR="000D129B" w:rsidRPr="008902F2">
          <w:rPr>
            <w:rFonts w:ascii="Times New Roman" w:hAnsi="Times New Roman"/>
            <w:webHidden/>
          </w:rPr>
          <w:t>225</w:t>
        </w:r>
      </w:hyperlink>
    </w:p>
    <w:p w14:paraId="3B84C643" w14:textId="45C2A45E" w:rsidR="00AF69EA" w:rsidRPr="008902F2" w:rsidRDefault="00027659">
      <w:pPr>
        <w:pStyle w:val="T3"/>
        <w:rPr>
          <w:rFonts w:ascii="Times New Roman" w:eastAsiaTheme="minorEastAsia" w:hAnsi="Times New Roman"/>
          <w:noProof/>
          <w:lang w:val="en-US"/>
        </w:rPr>
      </w:pPr>
      <w:hyperlink w:anchor="_Toc143113500" w:history="1">
        <w:r w:rsidR="00AF69EA" w:rsidRPr="008902F2">
          <w:rPr>
            <w:rStyle w:val="Kpr"/>
            <w:rFonts w:ascii="Times New Roman" w:hAnsi="Times New Roman"/>
            <w:noProof/>
            <w:lang w:val="en-GB"/>
          </w:rPr>
          <w:t>14.1.1. Revenue Budget</w:t>
        </w:r>
        <w:r w:rsidR="00AF69EA" w:rsidRPr="008902F2">
          <w:rPr>
            <w:rFonts w:ascii="Times New Roman" w:hAnsi="Times New Roman"/>
            <w:noProof/>
            <w:webHidden/>
          </w:rPr>
          <w:tab/>
        </w:r>
        <w:r w:rsidR="000D129B" w:rsidRPr="008902F2">
          <w:rPr>
            <w:rFonts w:ascii="Times New Roman" w:hAnsi="Times New Roman"/>
            <w:noProof/>
            <w:webHidden/>
          </w:rPr>
          <w:t>225</w:t>
        </w:r>
      </w:hyperlink>
    </w:p>
    <w:p w14:paraId="6FB6C6B6" w14:textId="7203EF10" w:rsidR="00AF69EA" w:rsidRPr="008902F2" w:rsidRDefault="00027659">
      <w:pPr>
        <w:pStyle w:val="T3"/>
        <w:rPr>
          <w:rFonts w:ascii="Times New Roman" w:eastAsiaTheme="minorEastAsia" w:hAnsi="Times New Roman"/>
          <w:noProof/>
          <w:lang w:val="en-US"/>
        </w:rPr>
      </w:pPr>
      <w:hyperlink w:anchor="_Toc143113501" w:history="1">
        <w:r w:rsidR="00AF69EA" w:rsidRPr="008902F2">
          <w:rPr>
            <w:rStyle w:val="Kpr"/>
            <w:rFonts w:ascii="Times New Roman" w:hAnsi="Times New Roman"/>
            <w:noProof/>
            <w:lang w:val="en-GB"/>
          </w:rPr>
          <w:t>14.1.2. Expense Budget</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_Toc143113501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22</w:t>
        </w:r>
        <w:r w:rsidR="00AF69EA" w:rsidRPr="008902F2">
          <w:rPr>
            <w:rFonts w:ascii="Times New Roman" w:hAnsi="Times New Roman"/>
            <w:noProof/>
            <w:webHidden/>
          </w:rPr>
          <w:fldChar w:fldCharType="end"/>
        </w:r>
      </w:hyperlink>
      <w:r w:rsidR="000D129B" w:rsidRPr="008902F2">
        <w:rPr>
          <w:rFonts w:ascii="Times New Roman" w:hAnsi="Times New Roman"/>
          <w:noProof/>
        </w:rPr>
        <w:t>5</w:t>
      </w:r>
    </w:p>
    <w:p w14:paraId="51F2342B" w14:textId="3A8CE71D" w:rsidR="00AF69EA" w:rsidRPr="008902F2" w:rsidRDefault="00027659">
      <w:pPr>
        <w:pStyle w:val="T1"/>
        <w:rPr>
          <w:rFonts w:ascii="Times New Roman" w:eastAsiaTheme="minorEastAsia" w:hAnsi="Times New Roman"/>
          <w:b w:val="0"/>
          <w:noProof/>
          <w:lang w:val="en-US"/>
        </w:rPr>
      </w:pPr>
      <w:hyperlink w:anchor="_Toc143113502" w:history="1">
        <w:r w:rsidR="00AF69EA" w:rsidRPr="008902F2">
          <w:rPr>
            <w:rStyle w:val="Kpr"/>
            <w:rFonts w:ascii="Times New Roman" w:eastAsiaTheme="majorEastAsia" w:hAnsi="Times New Roman"/>
            <w:bCs/>
            <w:noProof/>
          </w:rPr>
          <w:t>ANNEXES</w:t>
        </w:r>
        <w:r w:rsidR="00AF69EA" w:rsidRPr="008902F2">
          <w:rPr>
            <w:rFonts w:ascii="Times New Roman" w:hAnsi="Times New Roman"/>
            <w:noProof/>
            <w:webHidden/>
          </w:rPr>
          <w:tab/>
        </w:r>
        <w:r w:rsidR="00AF69EA" w:rsidRPr="008902F2">
          <w:rPr>
            <w:rFonts w:ascii="Times New Roman" w:hAnsi="Times New Roman"/>
            <w:noProof/>
            <w:webHidden/>
          </w:rPr>
          <w:fldChar w:fldCharType="begin"/>
        </w:r>
        <w:r w:rsidR="00AF69EA" w:rsidRPr="008902F2">
          <w:rPr>
            <w:rFonts w:ascii="Times New Roman" w:hAnsi="Times New Roman"/>
            <w:noProof/>
            <w:webHidden/>
          </w:rPr>
          <w:instrText xml:space="preserve"> PAGEREF _Toc143113502 \h </w:instrText>
        </w:r>
        <w:r w:rsidR="00AF69EA" w:rsidRPr="008902F2">
          <w:rPr>
            <w:rFonts w:ascii="Times New Roman" w:hAnsi="Times New Roman"/>
            <w:noProof/>
            <w:webHidden/>
          </w:rPr>
        </w:r>
        <w:r w:rsidR="00AF69EA" w:rsidRPr="008902F2">
          <w:rPr>
            <w:rFonts w:ascii="Times New Roman" w:hAnsi="Times New Roman"/>
            <w:noProof/>
            <w:webHidden/>
          </w:rPr>
          <w:fldChar w:fldCharType="separate"/>
        </w:r>
        <w:r w:rsidR="00AF69EA" w:rsidRPr="008902F2">
          <w:rPr>
            <w:rFonts w:ascii="Times New Roman" w:hAnsi="Times New Roman"/>
            <w:noProof/>
            <w:webHidden/>
          </w:rPr>
          <w:t>22</w:t>
        </w:r>
        <w:r w:rsidR="00AF69EA" w:rsidRPr="008902F2">
          <w:rPr>
            <w:rFonts w:ascii="Times New Roman" w:hAnsi="Times New Roman"/>
            <w:noProof/>
            <w:webHidden/>
          </w:rPr>
          <w:fldChar w:fldCharType="end"/>
        </w:r>
      </w:hyperlink>
      <w:r w:rsidR="000D129B" w:rsidRPr="008902F2">
        <w:rPr>
          <w:rFonts w:ascii="Times New Roman" w:hAnsi="Times New Roman"/>
          <w:noProof/>
        </w:rPr>
        <w:t>6</w:t>
      </w:r>
    </w:p>
    <w:p w14:paraId="64577A23" w14:textId="6C8F6BBA" w:rsidR="00DB7855" w:rsidRPr="008902F2" w:rsidRDefault="00443693" w:rsidP="6F691FB8">
      <w:pPr>
        <w:pStyle w:val="T1"/>
        <w:rPr>
          <w:rFonts w:ascii="Times New Roman" w:eastAsiaTheme="minorEastAsia" w:hAnsi="Times New Roman"/>
          <w:b w:val="0"/>
          <w:noProof/>
          <w:lang w:val="en-US"/>
        </w:rPr>
      </w:pPr>
      <w:r w:rsidRPr="008902F2">
        <w:rPr>
          <w:rFonts w:ascii="Times New Roman" w:hAnsi="Times New Roman"/>
        </w:rPr>
        <w:lastRenderedPageBreak/>
        <w:fldChar w:fldCharType="end"/>
      </w:r>
    </w:p>
    <w:p w14:paraId="4EA79CB1" w14:textId="77777777" w:rsidR="00F4087E" w:rsidRPr="008902F2" w:rsidRDefault="00364BDD" w:rsidP="6F691FB8">
      <w:pPr>
        <w:spacing w:after="0"/>
        <w:rPr>
          <w:rFonts w:ascii="Times New Roman" w:hAnsi="Times New Roman"/>
          <w:b/>
          <w:bCs/>
        </w:rPr>
      </w:pPr>
      <w:r w:rsidRPr="008902F2">
        <w:rPr>
          <w:rFonts w:ascii="Times New Roman" w:hAnsi="Times New Roman"/>
          <w:b/>
          <w:bCs/>
        </w:rPr>
        <w:br w:type="page"/>
      </w:r>
      <w:r w:rsidR="10E99E5E" w:rsidRPr="008902F2">
        <w:rPr>
          <w:rFonts w:ascii="Times New Roman" w:hAnsi="Times New Roman"/>
          <w:b/>
          <w:bCs/>
        </w:rPr>
        <w:lastRenderedPageBreak/>
        <w:t>TABLES AND FIGURES LIST</w:t>
      </w:r>
    </w:p>
    <w:p w14:paraId="78476DB3" w14:textId="77777777" w:rsidR="00DB7855" w:rsidRPr="008902F2" w:rsidRDefault="00364BDD">
      <w:pPr>
        <w:pStyle w:val="ekillerTablosu"/>
        <w:tabs>
          <w:tab w:val="right" w:leader="dot" w:pos="9060"/>
        </w:tabs>
        <w:rPr>
          <w:rFonts w:ascii="Times New Roman" w:eastAsiaTheme="minorEastAsia" w:hAnsi="Times New Roman"/>
          <w:noProof/>
          <w:lang w:val="en-US"/>
        </w:rPr>
      </w:pPr>
      <w:r w:rsidRPr="008902F2">
        <w:rPr>
          <w:rFonts w:ascii="Times New Roman" w:hAnsi="Times New Roman"/>
        </w:rPr>
        <w:fldChar w:fldCharType="begin"/>
      </w:r>
      <w:r w:rsidR="00170052" w:rsidRPr="008902F2">
        <w:rPr>
          <w:rFonts w:ascii="Times New Roman" w:hAnsi="Times New Roman"/>
        </w:rPr>
        <w:instrText xml:space="preserve"> TOC \h \z \t "Başlık 5" \c </w:instrText>
      </w:r>
      <w:r w:rsidRPr="008902F2">
        <w:rPr>
          <w:rFonts w:ascii="Times New Roman" w:hAnsi="Times New Roman"/>
        </w:rPr>
        <w:fldChar w:fldCharType="separate"/>
      </w:r>
      <w:hyperlink w:anchor="_Toc132713883" w:history="1">
        <w:r w:rsidR="00DB7855" w:rsidRPr="008902F2">
          <w:rPr>
            <w:rStyle w:val="Kpr"/>
            <w:rFonts w:ascii="Times New Roman" w:hAnsi="Times New Roman"/>
            <w:b/>
            <w:bCs/>
            <w:noProof/>
          </w:rPr>
          <w:t>Table 1.1: Distribution of Board Decisions Taken in 2022 by Institution Service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3</w:t>
        </w:r>
        <w:r w:rsidR="00DB7855" w:rsidRPr="008902F2">
          <w:rPr>
            <w:rFonts w:ascii="Times New Roman" w:hAnsi="Times New Roman"/>
            <w:noProof/>
            <w:webHidden/>
          </w:rPr>
          <w:fldChar w:fldCharType="end"/>
        </w:r>
      </w:hyperlink>
    </w:p>
    <w:p w14:paraId="730159F6"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4" w:history="1">
        <w:r w:rsidR="00DB7855" w:rsidRPr="008902F2">
          <w:rPr>
            <w:rStyle w:val="Kpr"/>
            <w:rFonts w:ascii="Times New Roman" w:hAnsi="Times New Roman"/>
            <w:b/>
            <w:bCs/>
            <w:noProof/>
          </w:rPr>
          <w:t>Figure 1.1: Board Decisions Taken by Service Units for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3</w:t>
        </w:r>
        <w:r w:rsidR="00DB7855" w:rsidRPr="008902F2">
          <w:rPr>
            <w:rFonts w:ascii="Times New Roman" w:hAnsi="Times New Roman"/>
            <w:noProof/>
            <w:webHidden/>
          </w:rPr>
          <w:fldChar w:fldCharType="end"/>
        </w:r>
      </w:hyperlink>
    </w:p>
    <w:p w14:paraId="77BC0F3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5" w:history="1">
        <w:r w:rsidR="00DB7855" w:rsidRPr="008902F2">
          <w:rPr>
            <w:rStyle w:val="Kpr"/>
            <w:rFonts w:ascii="Times New Roman" w:hAnsi="Times New Roman"/>
            <w:b/>
            <w:bCs/>
            <w:noProof/>
          </w:rPr>
          <w:t>Table 1.2: Distribution of Board Decisions Taken Between 2018-2022 by Institution Service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4</w:t>
        </w:r>
        <w:r w:rsidR="00DB7855" w:rsidRPr="008902F2">
          <w:rPr>
            <w:rFonts w:ascii="Times New Roman" w:hAnsi="Times New Roman"/>
            <w:noProof/>
            <w:webHidden/>
          </w:rPr>
          <w:fldChar w:fldCharType="end"/>
        </w:r>
      </w:hyperlink>
    </w:p>
    <w:p w14:paraId="37A24F2F"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6" w:history="1">
        <w:r w:rsidR="00DB7855" w:rsidRPr="008902F2">
          <w:rPr>
            <w:rStyle w:val="Kpr"/>
            <w:rFonts w:ascii="Times New Roman" w:hAnsi="Times New Roman"/>
            <w:b/>
            <w:bCs/>
            <w:noProof/>
          </w:rPr>
          <w:t>Table 1.3: General Distribution of Board Decisions Taken Between 2018-2022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4</w:t>
        </w:r>
        <w:r w:rsidR="00DB7855" w:rsidRPr="008902F2">
          <w:rPr>
            <w:rFonts w:ascii="Times New Roman" w:hAnsi="Times New Roman"/>
            <w:noProof/>
            <w:webHidden/>
          </w:rPr>
          <w:fldChar w:fldCharType="end"/>
        </w:r>
      </w:hyperlink>
    </w:p>
    <w:p w14:paraId="4942828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7" w:history="1">
        <w:r w:rsidR="00DB7855" w:rsidRPr="008902F2">
          <w:rPr>
            <w:rStyle w:val="Kpr"/>
            <w:rFonts w:ascii="Times New Roman" w:hAnsi="Times New Roman"/>
            <w:b/>
            <w:bCs/>
            <w:noProof/>
          </w:rPr>
          <w:t xml:space="preserve">Figure 1.2: </w:t>
        </w:r>
        <w:r w:rsidR="00DB7855" w:rsidRPr="008902F2">
          <w:rPr>
            <w:rStyle w:val="Kpr"/>
            <w:rFonts w:ascii="Times New Roman" w:hAnsi="Times New Roman"/>
            <w:b/>
            <w:noProof/>
          </w:rPr>
          <w:t>Distribution of Board Decisions Taken Between 2018-2022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5</w:t>
        </w:r>
        <w:r w:rsidR="00DB7855" w:rsidRPr="008902F2">
          <w:rPr>
            <w:rFonts w:ascii="Times New Roman" w:hAnsi="Times New Roman"/>
            <w:noProof/>
            <w:webHidden/>
          </w:rPr>
          <w:fldChar w:fldCharType="end"/>
        </w:r>
      </w:hyperlink>
    </w:p>
    <w:p w14:paraId="222757C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8" w:history="1">
        <w:r w:rsidR="00DB7855" w:rsidRPr="008902F2">
          <w:rPr>
            <w:rStyle w:val="Kpr"/>
            <w:rFonts w:ascii="Times New Roman" w:hAnsi="Times New Roman"/>
            <w:b/>
            <w:bCs/>
            <w:noProof/>
          </w:rPr>
          <w:t>Table 2.1: Change of the Free Consumer Limit in the Electricity Market by Years (2003-2022)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41</w:t>
        </w:r>
        <w:r w:rsidR="00DB7855" w:rsidRPr="008902F2">
          <w:rPr>
            <w:rFonts w:ascii="Times New Roman" w:hAnsi="Times New Roman"/>
            <w:noProof/>
            <w:webHidden/>
          </w:rPr>
          <w:fldChar w:fldCharType="end"/>
        </w:r>
      </w:hyperlink>
    </w:p>
    <w:p w14:paraId="1DB4CA2B"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89" w:history="1">
        <w:r w:rsidR="00DB7855" w:rsidRPr="008902F2">
          <w:rPr>
            <w:rStyle w:val="Kpr"/>
            <w:rFonts w:ascii="Times New Roman" w:hAnsi="Times New Roman"/>
            <w:b/>
            <w:bCs/>
            <w:noProof/>
          </w:rPr>
          <w:t>Table 2.2: Natural Gas Consumption Forecast and Realization Data by Year (2005-2022)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_Toc132713889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90</w:t>
        </w:r>
        <w:r w:rsidR="00DB7855" w:rsidRPr="008902F2">
          <w:rPr>
            <w:rFonts w:ascii="Times New Roman" w:hAnsi="Times New Roman"/>
            <w:noProof/>
            <w:webHidden/>
          </w:rPr>
          <w:fldChar w:fldCharType="end"/>
        </w:r>
      </w:hyperlink>
    </w:p>
    <w:p w14:paraId="7628A7B6"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0" w:history="1">
        <w:r w:rsidR="00DB7855" w:rsidRPr="008902F2">
          <w:rPr>
            <w:rStyle w:val="Kpr"/>
            <w:rFonts w:ascii="Times New Roman" w:hAnsi="Times New Roman"/>
            <w:b/>
            <w:bCs/>
            <w:noProof/>
          </w:rPr>
          <w:t>Table 2.3: Change of the Free Consumer Limit in the Natural Gas Market by Years (2005-2022)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111</w:t>
        </w:r>
        <w:r w:rsidR="00DB7855" w:rsidRPr="008902F2">
          <w:rPr>
            <w:rFonts w:ascii="Times New Roman" w:hAnsi="Times New Roman"/>
            <w:noProof/>
            <w:webHidden/>
          </w:rPr>
          <w:fldChar w:fldCharType="end"/>
        </w:r>
      </w:hyperlink>
    </w:p>
    <w:p w14:paraId="0165C21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1" w:history="1">
        <w:r w:rsidR="00DB7855" w:rsidRPr="008902F2">
          <w:rPr>
            <w:rStyle w:val="Kpr"/>
            <w:rFonts w:ascii="Times New Roman" w:hAnsi="Times New Roman"/>
            <w:b/>
            <w:bCs/>
            <w:noProof/>
          </w:rPr>
          <w:t>Table 3.1: License Transactions in the Electricity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132</w:t>
        </w:r>
        <w:r w:rsidR="00DB7855" w:rsidRPr="008902F2">
          <w:rPr>
            <w:rFonts w:ascii="Times New Roman" w:hAnsi="Times New Roman"/>
            <w:noProof/>
            <w:webHidden/>
          </w:rPr>
          <w:fldChar w:fldCharType="end"/>
        </w:r>
      </w:hyperlink>
    </w:p>
    <w:p w14:paraId="6C84A98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2" w:history="1">
        <w:r w:rsidR="00DB7855" w:rsidRPr="008902F2">
          <w:rPr>
            <w:rStyle w:val="Kpr"/>
            <w:rFonts w:ascii="Times New Roman" w:hAnsi="Times New Roman"/>
            <w:b/>
            <w:bCs/>
            <w:noProof/>
          </w:rPr>
          <w:t>Table 3.2: License Procedures Carried Out in the Electricity Market within the Scope of Generation Activities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133</w:t>
        </w:r>
        <w:r w:rsidR="00DB7855" w:rsidRPr="008902F2">
          <w:rPr>
            <w:rFonts w:ascii="Times New Roman" w:hAnsi="Times New Roman"/>
            <w:noProof/>
            <w:webHidden/>
          </w:rPr>
          <w:fldChar w:fldCharType="end"/>
        </w:r>
      </w:hyperlink>
    </w:p>
    <w:p w14:paraId="35D657B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3" w:history="1">
        <w:r w:rsidR="00DB7855" w:rsidRPr="008902F2">
          <w:rPr>
            <w:rStyle w:val="Kpr"/>
            <w:rFonts w:ascii="Times New Roman" w:hAnsi="Times New Roman"/>
            <w:b/>
            <w:bCs/>
            <w:noProof/>
          </w:rPr>
          <w:t>Table 3.3: License Transactions in the Charging Service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135</w:t>
        </w:r>
        <w:r w:rsidR="00DB7855" w:rsidRPr="008902F2">
          <w:rPr>
            <w:rFonts w:ascii="Times New Roman" w:hAnsi="Times New Roman"/>
            <w:noProof/>
            <w:webHidden/>
          </w:rPr>
          <w:fldChar w:fldCharType="end"/>
        </w:r>
      </w:hyperlink>
    </w:p>
    <w:p w14:paraId="3BD4522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4" w:history="1">
        <w:r w:rsidR="00DB7855" w:rsidRPr="008902F2">
          <w:rPr>
            <w:rStyle w:val="Kpr"/>
            <w:rFonts w:ascii="Times New Roman" w:hAnsi="Times New Roman"/>
            <w:b/>
            <w:bCs/>
            <w:noProof/>
          </w:rPr>
          <w:t>Table 3.4: License Transactions in the Natural Gas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136</w:t>
        </w:r>
        <w:r w:rsidR="00DB7855" w:rsidRPr="008902F2">
          <w:rPr>
            <w:rFonts w:ascii="Times New Roman" w:hAnsi="Times New Roman"/>
            <w:noProof/>
            <w:webHidden/>
          </w:rPr>
          <w:fldChar w:fldCharType="end"/>
        </w:r>
      </w:hyperlink>
    </w:p>
    <w:p w14:paraId="07038272"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5" w:history="1">
        <w:r w:rsidR="00DB7855" w:rsidRPr="008902F2">
          <w:rPr>
            <w:rStyle w:val="Kpr"/>
            <w:rFonts w:ascii="Times New Roman" w:hAnsi="Times New Roman"/>
            <w:b/>
            <w:bCs/>
            <w:noProof/>
          </w:rPr>
          <w:t>Table 3.5: Licensed Natural Gas Storage Facility Information</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137</w:t>
        </w:r>
        <w:r w:rsidR="00DB7855" w:rsidRPr="008902F2">
          <w:rPr>
            <w:rFonts w:ascii="Times New Roman" w:hAnsi="Times New Roman"/>
            <w:noProof/>
            <w:webHidden/>
          </w:rPr>
          <w:fldChar w:fldCharType="end"/>
        </w:r>
      </w:hyperlink>
    </w:p>
    <w:p w14:paraId="5A27CAAB"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6" w:history="1">
        <w:r w:rsidR="00DB7855" w:rsidRPr="008902F2">
          <w:rPr>
            <w:rStyle w:val="Kpr"/>
            <w:rFonts w:ascii="Times New Roman" w:hAnsi="Times New Roman"/>
            <w:b/>
            <w:bCs/>
            <w:noProof/>
          </w:rPr>
          <w:t>Table 3.6: Certification Procedures in the Natural Gas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137</w:t>
        </w:r>
        <w:r w:rsidR="00DB7855" w:rsidRPr="008902F2">
          <w:rPr>
            <w:rFonts w:ascii="Times New Roman" w:hAnsi="Times New Roman"/>
            <w:noProof/>
            <w:webHidden/>
          </w:rPr>
          <w:fldChar w:fldCharType="end"/>
        </w:r>
      </w:hyperlink>
    </w:p>
    <w:p w14:paraId="4D83F69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7" w:history="1">
        <w:r w:rsidR="00DB7855" w:rsidRPr="008902F2">
          <w:rPr>
            <w:rStyle w:val="Kpr"/>
            <w:rFonts w:ascii="Times New Roman" w:hAnsi="Times New Roman"/>
            <w:b/>
            <w:bCs/>
            <w:noProof/>
          </w:rPr>
          <w:t>Table 3.7: License Transactions in the Petroleum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138</w:t>
        </w:r>
        <w:r w:rsidR="00DB7855" w:rsidRPr="008902F2">
          <w:rPr>
            <w:rFonts w:ascii="Times New Roman" w:hAnsi="Times New Roman"/>
            <w:noProof/>
            <w:webHidden/>
          </w:rPr>
          <w:fldChar w:fldCharType="end"/>
        </w:r>
      </w:hyperlink>
    </w:p>
    <w:p w14:paraId="1CB1D6D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8" w:history="1">
        <w:r w:rsidR="00DB7855" w:rsidRPr="008902F2">
          <w:rPr>
            <w:rStyle w:val="Kpr"/>
            <w:rFonts w:ascii="Times New Roman" w:hAnsi="Times New Roman"/>
            <w:b/>
            <w:bCs/>
            <w:noProof/>
          </w:rPr>
          <w:t>Table 3.8: Licensed Refinery Facility Information as of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138</w:t>
        </w:r>
        <w:r w:rsidR="00DB7855" w:rsidRPr="008902F2">
          <w:rPr>
            <w:rFonts w:ascii="Times New Roman" w:hAnsi="Times New Roman"/>
            <w:noProof/>
            <w:webHidden/>
          </w:rPr>
          <w:fldChar w:fldCharType="end"/>
        </w:r>
      </w:hyperlink>
    </w:p>
    <w:p w14:paraId="49BED5F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899" w:history="1">
        <w:r w:rsidR="00DB7855" w:rsidRPr="008902F2">
          <w:rPr>
            <w:rStyle w:val="Kpr"/>
            <w:rFonts w:ascii="Times New Roman" w:hAnsi="Times New Roman"/>
            <w:b/>
            <w:bCs/>
            <w:noProof/>
          </w:rPr>
          <w:t>Table 3.9: Petroleum Market Storage License Information as of the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_Toc132713899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139</w:t>
        </w:r>
        <w:r w:rsidR="00DB7855" w:rsidRPr="008902F2">
          <w:rPr>
            <w:rFonts w:ascii="Times New Roman" w:hAnsi="Times New Roman"/>
            <w:noProof/>
            <w:webHidden/>
          </w:rPr>
          <w:fldChar w:fldCharType="end"/>
        </w:r>
      </w:hyperlink>
    </w:p>
    <w:p w14:paraId="1C84ED7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0" w:history="1">
        <w:r w:rsidR="00DB7855" w:rsidRPr="008902F2">
          <w:rPr>
            <w:rStyle w:val="Kpr"/>
            <w:rFonts w:ascii="Times New Roman" w:hAnsi="Times New Roman"/>
            <w:b/>
            <w:bCs/>
            <w:noProof/>
          </w:rPr>
          <w:t>Table 3.10: National Markers Used by Years and Quantities of Fuel Marked</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140</w:t>
        </w:r>
        <w:r w:rsidR="00DB7855" w:rsidRPr="008902F2">
          <w:rPr>
            <w:rFonts w:ascii="Times New Roman" w:hAnsi="Times New Roman"/>
            <w:noProof/>
            <w:webHidden/>
          </w:rPr>
          <w:fldChar w:fldCharType="end"/>
        </w:r>
      </w:hyperlink>
    </w:p>
    <w:p w14:paraId="754D50C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1" w:history="1">
        <w:r w:rsidR="00DB7855" w:rsidRPr="008902F2">
          <w:rPr>
            <w:rStyle w:val="Kpr"/>
            <w:rFonts w:ascii="Times New Roman" w:hAnsi="Times New Roman"/>
            <w:b/>
            <w:bCs/>
            <w:noProof/>
          </w:rPr>
          <w:t>Table 3.11: Authorized Automation Companies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143</w:t>
        </w:r>
        <w:r w:rsidR="00DB7855" w:rsidRPr="008902F2">
          <w:rPr>
            <w:rFonts w:ascii="Times New Roman" w:hAnsi="Times New Roman"/>
            <w:noProof/>
            <w:webHidden/>
          </w:rPr>
          <w:fldChar w:fldCharType="end"/>
        </w:r>
      </w:hyperlink>
    </w:p>
    <w:p w14:paraId="427E7F3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2" w:history="1">
        <w:r w:rsidR="00DB7855" w:rsidRPr="008902F2">
          <w:rPr>
            <w:rStyle w:val="Kpr"/>
            <w:rFonts w:ascii="Times New Roman" w:hAnsi="Times New Roman"/>
            <w:b/>
            <w:bCs/>
            <w:noProof/>
          </w:rPr>
          <w:t>Table 3.12: License Transactions in the LPG Market in 2022 (Units)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144</w:t>
        </w:r>
        <w:r w:rsidR="00DB7855" w:rsidRPr="008902F2">
          <w:rPr>
            <w:rFonts w:ascii="Times New Roman" w:hAnsi="Times New Roman"/>
            <w:noProof/>
            <w:webHidden/>
          </w:rPr>
          <w:fldChar w:fldCharType="end"/>
        </w:r>
      </w:hyperlink>
    </w:p>
    <w:p w14:paraId="660116C2"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3" w:history="1">
        <w:r w:rsidR="00DB7855" w:rsidRPr="008902F2">
          <w:rPr>
            <w:rStyle w:val="Kpr"/>
            <w:rFonts w:ascii="Times New Roman" w:hAnsi="Times New Roman"/>
            <w:b/>
            <w:bCs/>
            <w:noProof/>
          </w:rPr>
          <w:t>Table 3.13: LPG Market Storage License Information as of the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144</w:t>
        </w:r>
        <w:r w:rsidR="00DB7855" w:rsidRPr="008902F2">
          <w:rPr>
            <w:rFonts w:ascii="Times New Roman" w:hAnsi="Times New Roman"/>
            <w:noProof/>
            <w:webHidden/>
          </w:rPr>
          <w:fldChar w:fldCharType="end"/>
        </w:r>
      </w:hyperlink>
    </w:p>
    <w:p w14:paraId="199F0B0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4" w:history="1">
        <w:r w:rsidR="00DB7855" w:rsidRPr="008902F2">
          <w:rPr>
            <w:rStyle w:val="Kpr"/>
            <w:rFonts w:ascii="Times New Roman" w:hAnsi="Times New Roman"/>
            <w:b/>
            <w:bCs/>
            <w:noProof/>
          </w:rPr>
          <w:t>Table 4.1: System Usage and System Operation Revenue Ceilings of TEİAŞ for 2023</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146</w:t>
        </w:r>
        <w:r w:rsidR="00DB7855" w:rsidRPr="008902F2">
          <w:rPr>
            <w:rFonts w:ascii="Times New Roman" w:hAnsi="Times New Roman"/>
            <w:noProof/>
            <w:webHidden/>
          </w:rPr>
          <w:fldChar w:fldCharType="end"/>
        </w:r>
      </w:hyperlink>
    </w:p>
    <w:p w14:paraId="4D9271CA"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5" w:history="1">
        <w:r w:rsidR="00DB7855" w:rsidRPr="008902F2">
          <w:rPr>
            <w:rStyle w:val="Kpr"/>
            <w:rFonts w:ascii="Times New Roman" w:hAnsi="Times New Roman"/>
            <w:b/>
            <w:bCs/>
            <w:noProof/>
          </w:rPr>
          <w:t>Table 4.2: Transmission System Usage and System Operating Tariffs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146</w:t>
        </w:r>
        <w:r w:rsidR="00DB7855" w:rsidRPr="008902F2">
          <w:rPr>
            <w:rFonts w:ascii="Times New Roman" w:hAnsi="Times New Roman"/>
            <w:noProof/>
            <w:webHidden/>
          </w:rPr>
          <w:fldChar w:fldCharType="end"/>
        </w:r>
      </w:hyperlink>
    </w:p>
    <w:p w14:paraId="0895090D"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6" w:history="1">
        <w:r w:rsidR="00DB7855" w:rsidRPr="008902F2">
          <w:rPr>
            <w:rStyle w:val="Kpr"/>
            <w:rFonts w:ascii="Times New Roman" w:hAnsi="Times New Roman"/>
            <w:b/>
            <w:bCs/>
            <w:noProof/>
          </w:rPr>
          <w:t>Table 4.3: Board Decisions on Tariff Tables of Distribution and Supply Companies in Charge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147</w:t>
        </w:r>
        <w:r w:rsidR="00DB7855" w:rsidRPr="008902F2">
          <w:rPr>
            <w:rFonts w:ascii="Times New Roman" w:hAnsi="Times New Roman"/>
            <w:noProof/>
            <w:webHidden/>
          </w:rPr>
          <w:fldChar w:fldCharType="end"/>
        </w:r>
      </w:hyperlink>
    </w:p>
    <w:p w14:paraId="306A782F"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7" w:history="1">
        <w:r w:rsidR="00DB7855" w:rsidRPr="008902F2">
          <w:rPr>
            <w:rStyle w:val="Kpr"/>
            <w:rFonts w:ascii="Times New Roman" w:hAnsi="Times New Roman"/>
            <w:b/>
            <w:bCs/>
            <w:noProof/>
          </w:rPr>
          <w:t>Table 4.4: Board Decisions on the Approval of the System Operating Revenue Ceilings of Distribution Companies for the Year 2023</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147</w:t>
        </w:r>
        <w:r w:rsidR="00DB7855" w:rsidRPr="008902F2">
          <w:rPr>
            <w:rFonts w:ascii="Times New Roman" w:hAnsi="Times New Roman"/>
            <w:noProof/>
            <w:webHidden/>
          </w:rPr>
          <w:fldChar w:fldCharType="end"/>
        </w:r>
      </w:hyperlink>
    </w:p>
    <w:p w14:paraId="32E8BDE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8" w:history="1">
        <w:r w:rsidR="00DB7855" w:rsidRPr="008902F2">
          <w:rPr>
            <w:rStyle w:val="Kpr"/>
            <w:rFonts w:ascii="Times New Roman" w:hAnsi="Times New Roman"/>
            <w:b/>
            <w:bCs/>
            <w:noProof/>
          </w:rPr>
          <w:t>Table 4.5: Board Decisions on the Approval of the 2023 Retail Sales Revenue Ceilings of Incumbent Supply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148</w:t>
        </w:r>
        <w:r w:rsidR="00DB7855" w:rsidRPr="008902F2">
          <w:rPr>
            <w:rFonts w:ascii="Times New Roman" w:hAnsi="Times New Roman"/>
            <w:noProof/>
            <w:webHidden/>
          </w:rPr>
          <w:fldChar w:fldCharType="end"/>
        </w:r>
      </w:hyperlink>
    </w:p>
    <w:p w14:paraId="4730FCB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09" w:history="1">
        <w:r w:rsidR="00DB7855" w:rsidRPr="008902F2">
          <w:rPr>
            <w:rStyle w:val="Kpr"/>
            <w:rFonts w:ascii="Times New Roman" w:hAnsi="Times New Roman"/>
            <w:b/>
            <w:bCs/>
            <w:noProof/>
          </w:rPr>
          <w:t>Table 4.6: Board Decisions on the Revision of Investment Plans for the Years 2021-2025</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_Toc132713909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149</w:t>
        </w:r>
        <w:r w:rsidR="00DB7855" w:rsidRPr="008902F2">
          <w:rPr>
            <w:rFonts w:ascii="Times New Roman" w:hAnsi="Times New Roman"/>
            <w:noProof/>
            <w:webHidden/>
          </w:rPr>
          <w:fldChar w:fldCharType="end"/>
        </w:r>
      </w:hyperlink>
    </w:p>
    <w:p w14:paraId="6D0D688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0" w:history="1">
        <w:r w:rsidR="00DB7855" w:rsidRPr="008902F2">
          <w:rPr>
            <w:rStyle w:val="Kpr"/>
            <w:rFonts w:ascii="Times New Roman" w:hAnsi="Times New Roman"/>
            <w:b/>
            <w:bCs/>
            <w:noProof/>
          </w:rPr>
          <w:t>Table 4.7: Investment Amounts Realized on the Basis of Distribution Region in 2022 (Current Prices-TL)</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150</w:t>
        </w:r>
        <w:r w:rsidR="00DB7855" w:rsidRPr="008902F2">
          <w:rPr>
            <w:rFonts w:ascii="Times New Roman" w:hAnsi="Times New Roman"/>
            <w:noProof/>
            <w:webHidden/>
          </w:rPr>
          <w:fldChar w:fldCharType="end"/>
        </w:r>
      </w:hyperlink>
    </w:p>
    <w:p w14:paraId="78C6AF9B"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1" w:history="1">
        <w:r w:rsidR="00DB7855" w:rsidRPr="008902F2">
          <w:rPr>
            <w:rStyle w:val="Kpr"/>
            <w:rFonts w:ascii="Times New Roman" w:hAnsi="Times New Roman"/>
            <w:b/>
            <w:bCs/>
            <w:noProof/>
          </w:rPr>
          <w:t>Table 4.8: Distribution System Connection Fees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151</w:t>
        </w:r>
        <w:r w:rsidR="00DB7855" w:rsidRPr="008902F2">
          <w:rPr>
            <w:rFonts w:ascii="Times New Roman" w:hAnsi="Times New Roman"/>
            <w:noProof/>
            <w:webHidden/>
          </w:rPr>
          <w:fldChar w:fldCharType="end"/>
        </w:r>
      </w:hyperlink>
    </w:p>
    <w:p w14:paraId="523D448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2" w:history="1">
        <w:r w:rsidR="00DB7855" w:rsidRPr="008902F2">
          <w:rPr>
            <w:rStyle w:val="Kpr"/>
            <w:rFonts w:ascii="Times New Roman" w:hAnsi="Times New Roman"/>
            <w:b/>
            <w:bCs/>
            <w:noProof/>
          </w:rPr>
          <w:t>Table 4.9: Cutting-Bonding Charges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152</w:t>
        </w:r>
        <w:r w:rsidR="00DB7855" w:rsidRPr="008902F2">
          <w:rPr>
            <w:rFonts w:ascii="Times New Roman" w:hAnsi="Times New Roman"/>
            <w:noProof/>
            <w:webHidden/>
          </w:rPr>
          <w:fldChar w:fldCharType="end"/>
        </w:r>
      </w:hyperlink>
    </w:p>
    <w:p w14:paraId="16F9A0E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3" w:history="1">
        <w:r w:rsidR="00DB7855" w:rsidRPr="008902F2">
          <w:rPr>
            <w:rStyle w:val="Kpr"/>
            <w:rFonts w:ascii="Times New Roman" w:hAnsi="Times New Roman"/>
            <w:b/>
            <w:bCs/>
            <w:noProof/>
          </w:rPr>
          <w:t>Table 4.10: Assurance Fees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152</w:t>
        </w:r>
        <w:r w:rsidR="00DB7855" w:rsidRPr="008902F2">
          <w:rPr>
            <w:rFonts w:ascii="Times New Roman" w:hAnsi="Times New Roman"/>
            <w:noProof/>
            <w:webHidden/>
          </w:rPr>
          <w:fldChar w:fldCharType="end"/>
        </w:r>
      </w:hyperlink>
    </w:p>
    <w:p w14:paraId="368228EC"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4" w:history="1">
        <w:r w:rsidR="00DB7855" w:rsidRPr="008902F2">
          <w:rPr>
            <w:rStyle w:val="Kpr"/>
            <w:rFonts w:ascii="Times New Roman" w:hAnsi="Times New Roman"/>
            <w:b/>
            <w:bCs/>
            <w:noProof/>
          </w:rPr>
          <w:t>Table 4.11: Meter Control Fee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152</w:t>
        </w:r>
        <w:r w:rsidR="00DB7855" w:rsidRPr="008902F2">
          <w:rPr>
            <w:rFonts w:ascii="Times New Roman" w:hAnsi="Times New Roman"/>
            <w:noProof/>
            <w:webHidden/>
          </w:rPr>
          <w:fldChar w:fldCharType="end"/>
        </w:r>
      </w:hyperlink>
    </w:p>
    <w:p w14:paraId="4104035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5" w:history="1">
        <w:r w:rsidR="00DB7855" w:rsidRPr="008902F2">
          <w:rPr>
            <w:rStyle w:val="Kpr"/>
            <w:rFonts w:ascii="Times New Roman" w:hAnsi="Times New Roman"/>
            <w:b/>
            <w:bCs/>
            <w:noProof/>
          </w:rPr>
          <w:t>Table 4.12: Unlicensed Production Application Fee (Distribution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152</w:t>
        </w:r>
        <w:r w:rsidR="00DB7855" w:rsidRPr="008902F2">
          <w:rPr>
            <w:rFonts w:ascii="Times New Roman" w:hAnsi="Times New Roman"/>
            <w:noProof/>
            <w:webHidden/>
          </w:rPr>
          <w:fldChar w:fldCharType="end"/>
        </w:r>
      </w:hyperlink>
    </w:p>
    <w:p w14:paraId="18A33C7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6" w:history="1">
        <w:r w:rsidR="00DB7855" w:rsidRPr="008902F2">
          <w:rPr>
            <w:rStyle w:val="Kpr"/>
            <w:rFonts w:ascii="Times New Roman" w:hAnsi="Times New Roman"/>
            <w:b/>
            <w:bCs/>
            <w:noProof/>
          </w:rPr>
          <w:t>Table 4.13: Unlicensed Production Operating Price (Authorized Supply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153</w:t>
        </w:r>
        <w:r w:rsidR="00DB7855" w:rsidRPr="008902F2">
          <w:rPr>
            <w:rFonts w:ascii="Times New Roman" w:hAnsi="Times New Roman"/>
            <w:noProof/>
            <w:webHidden/>
          </w:rPr>
          <w:fldChar w:fldCharType="end"/>
        </w:r>
      </w:hyperlink>
    </w:p>
    <w:p w14:paraId="47572C0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7" w:history="1">
        <w:r w:rsidR="00DB7855" w:rsidRPr="008902F2">
          <w:rPr>
            <w:rStyle w:val="Kpr"/>
            <w:rFonts w:ascii="Times New Roman" w:hAnsi="Times New Roman"/>
            <w:b/>
            <w:bCs/>
            <w:noProof/>
          </w:rPr>
          <w:t>Table 4.14: Unlicensed Production Operating Price (Electricity Distribution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153</w:t>
        </w:r>
        <w:r w:rsidR="00DB7855" w:rsidRPr="008902F2">
          <w:rPr>
            <w:rFonts w:ascii="Times New Roman" w:hAnsi="Times New Roman"/>
            <w:noProof/>
            <w:webHidden/>
          </w:rPr>
          <w:fldChar w:fldCharType="end"/>
        </w:r>
      </w:hyperlink>
    </w:p>
    <w:p w14:paraId="46D2E8F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8" w:history="1">
        <w:r w:rsidR="00DB7855" w:rsidRPr="008902F2">
          <w:rPr>
            <w:rStyle w:val="Kpr"/>
            <w:rFonts w:ascii="Times New Roman" w:hAnsi="Times New Roman"/>
            <w:b/>
            <w:bCs/>
            <w:noProof/>
          </w:rPr>
          <w:t>Table 4.15: EPİAŞ Market Operating Income Ceiling for 2023 (TL)</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154</w:t>
        </w:r>
        <w:r w:rsidR="00DB7855" w:rsidRPr="008902F2">
          <w:rPr>
            <w:rFonts w:ascii="Times New Roman" w:hAnsi="Times New Roman"/>
            <w:noProof/>
            <w:webHidden/>
          </w:rPr>
          <w:fldChar w:fldCharType="end"/>
        </w:r>
      </w:hyperlink>
    </w:p>
    <w:p w14:paraId="6193F04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19" w:history="1">
        <w:r w:rsidR="00DB7855" w:rsidRPr="008902F2">
          <w:rPr>
            <w:rStyle w:val="Kpr"/>
            <w:rFonts w:ascii="Times New Roman" w:hAnsi="Times New Roman"/>
            <w:b/>
            <w:bCs/>
            <w:noProof/>
          </w:rPr>
          <w:t xml:space="preserve">Table 4.16: EÜAŞ Wholesale Tariffs </w:t>
        </w:r>
        <w:r w:rsidR="00DB7855" w:rsidRPr="008902F2">
          <w:rPr>
            <w:rStyle w:val="Kpr"/>
            <w:rFonts w:ascii="Times New Roman" w:hAnsi="Times New Roman"/>
            <w:bCs/>
            <w:noProof/>
          </w:rPr>
          <w:t>(</w:t>
        </w:r>
        <w:r w:rsidR="00DB7855" w:rsidRPr="008902F2">
          <w:rPr>
            <w:rStyle w:val="Kpr"/>
            <w:rFonts w:ascii="Times New Roman" w:hAnsi="Times New Roman"/>
            <w:b/>
            <w:noProof/>
          </w:rPr>
          <w:t>In Sales to Supply Companies Tasked with Technical and Non-Technical Lost Energy Sales to Distribution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_Toc132713919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154</w:t>
        </w:r>
        <w:r w:rsidR="00DB7855" w:rsidRPr="008902F2">
          <w:rPr>
            <w:rFonts w:ascii="Times New Roman" w:hAnsi="Times New Roman"/>
            <w:noProof/>
            <w:webHidden/>
          </w:rPr>
          <w:fldChar w:fldCharType="end"/>
        </w:r>
      </w:hyperlink>
    </w:p>
    <w:p w14:paraId="6FE0866A"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0" w:history="1">
        <w:r w:rsidR="00DB7855" w:rsidRPr="008902F2">
          <w:rPr>
            <w:rStyle w:val="Kpr"/>
            <w:rFonts w:ascii="Times New Roman" w:hAnsi="Times New Roman"/>
            <w:b/>
            <w:bCs/>
            <w:noProof/>
          </w:rPr>
          <w:t xml:space="preserve">Table 4.17: EÜAŞ Wholesale Tariffs </w:t>
        </w:r>
        <w:r w:rsidR="00DB7855" w:rsidRPr="008902F2">
          <w:rPr>
            <w:rStyle w:val="Kpr"/>
            <w:rFonts w:ascii="Times New Roman" w:hAnsi="Times New Roman"/>
            <w:bCs/>
            <w:noProof/>
          </w:rPr>
          <w:t>(</w:t>
        </w:r>
        <w:r w:rsidR="00DB7855" w:rsidRPr="008902F2">
          <w:rPr>
            <w:rStyle w:val="Kpr"/>
            <w:rFonts w:ascii="Times New Roman" w:hAnsi="Times New Roman"/>
            <w:b/>
            <w:noProof/>
          </w:rPr>
          <w:t>In sales made to distribution companies within the scope of general lighting)</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155</w:t>
        </w:r>
        <w:r w:rsidR="00DB7855" w:rsidRPr="008902F2">
          <w:rPr>
            <w:rFonts w:ascii="Times New Roman" w:hAnsi="Times New Roman"/>
            <w:noProof/>
            <w:webHidden/>
          </w:rPr>
          <w:fldChar w:fldCharType="end"/>
        </w:r>
      </w:hyperlink>
    </w:p>
    <w:p w14:paraId="7CE7BA6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1" w:history="1">
        <w:r w:rsidR="00DB7855" w:rsidRPr="008902F2">
          <w:rPr>
            <w:rStyle w:val="Kpr"/>
            <w:rFonts w:ascii="Times New Roman" w:hAnsi="Times New Roman"/>
            <w:b/>
            <w:bCs/>
            <w:noProof/>
          </w:rPr>
          <w:t>Table 4.18: Upper Limits of Transmission Capacity Price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162</w:t>
        </w:r>
        <w:r w:rsidR="00DB7855" w:rsidRPr="008902F2">
          <w:rPr>
            <w:rFonts w:ascii="Times New Roman" w:hAnsi="Times New Roman"/>
            <w:noProof/>
            <w:webHidden/>
          </w:rPr>
          <w:fldChar w:fldCharType="end"/>
        </w:r>
      </w:hyperlink>
    </w:p>
    <w:p w14:paraId="70E581A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2" w:history="1">
        <w:r w:rsidR="00DB7855" w:rsidRPr="008902F2">
          <w:rPr>
            <w:rStyle w:val="Kpr"/>
            <w:rFonts w:ascii="Times New Roman" w:hAnsi="Times New Roman"/>
            <w:b/>
            <w:bCs/>
            <w:noProof/>
          </w:rPr>
          <w:t>Table 4.19: Upper Limit of BOTAŞ's Transmission Service Fee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162</w:t>
        </w:r>
        <w:r w:rsidR="00DB7855" w:rsidRPr="008902F2">
          <w:rPr>
            <w:rFonts w:ascii="Times New Roman" w:hAnsi="Times New Roman"/>
            <w:noProof/>
            <w:webHidden/>
          </w:rPr>
          <w:fldChar w:fldCharType="end"/>
        </w:r>
      </w:hyperlink>
    </w:p>
    <w:p w14:paraId="72BD00A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3" w:history="1">
        <w:r w:rsidR="00DB7855" w:rsidRPr="008902F2">
          <w:rPr>
            <w:rStyle w:val="Kpr"/>
            <w:rFonts w:ascii="Times New Roman" w:hAnsi="Times New Roman"/>
            <w:b/>
            <w:bCs/>
            <w:noProof/>
          </w:rPr>
          <w:t>Table 4.20: Investment Ceiling of BOTAŞ's Third Implementation Period</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163</w:t>
        </w:r>
        <w:r w:rsidR="00DB7855" w:rsidRPr="008902F2">
          <w:rPr>
            <w:rFonts w:ascii="Times New Roman" w:hAnsi="Times New Roman"/>
            <w:noProof/>
            <w:webHidden/>
          </w:rPr>
          <w:fldChar w:fldCharType="end"/>
        </w:r>
      </w:hyperlink>
    </w:p>
    <w:p w14:paraId="7128A6FC"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4" w:history="1">
        <w:r w:rsidR="00DB7855" w:rsidRPr="008902F2">
          <w:rPr>
            <w:rStyle w:val="Kpr"/>
            <w:rFonts w:ascii="Times New Roman" w:hAnsi="Times New Roman"/>
            <w:b/>
            <w:bCs/>
            <w:noProof/>
          </w:rPr>
          <w:t>Table 4.21: BOTAŞ's Revenue Requirement for the Third Implementation Period</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163</w:t>
        </w:r>
        <w:r w:rsidR="00DB7855" w:rsidRPr="008902F2">
          <w:rPr>
            <w:rFonts w:ascii="Times New Roman" w:hAnsi="Times New Roman"/>
            <w:noProof/>
            <w:webHidden/>
          </w:rPr>
          <w:fldChar w:fldCharType="end"/>
        </w:r>
      </w:hyperlink>
    </w:p>
    <w:p w14:paraId="336541A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5" w:history="1">
        <w:r w:rsidR="00DB7855" w:rsidRPr="008902F2">
          <w:rPr>
            <w:rStyle w:val="Kpr"/>
            <w:rFonts w:ascii="Times New Roman" w:hAnsi="Times New Roman"/>
            <w:b/>
            <w:bCs/>
            <w:noProof/>
          </w:rPr>
          <w:t>Table 4.22: EPİAŞ 2023 Market Operating Income Ceiling (TL)</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163</w:t>
        </w:r>
        <w:r w:rsidR="00DB7855" w:rsidRPr="008902F2">
          <w:rPr>
            <w:rFonts w:ascii="Times New Roman" w:hAnsi="Times New Roman"/>
            <w:noProof/>
            <w:webHidden/>
          </w:rPr>
          <w:fldChar w:fldCharType="end"/>
        </w:r>
      </w:hyperlink>
    </w:p>
    <w:p w14:paraId="31E2FE4B"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6" w:history="1">
        <w:r w:rsidR="00DB7855" w:rsidRPr="008902F2">
          <w:rPr>
            <w:rStyle w:val="Kpr"/>
            <w:rFonts w:ascii="Times New Roman" w:hAnsi="Times New Roman"/>
            <w:b/>
            <w:bCs/>
            <w:noProof/>
          </w:rPr>
          <w:t>Table 4.23: Connection Tariffs Determined for Distribution Companies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163</w:t>
        </w:r>
        <w:r w:rsidR="00DB7855" w:rsidRPr="008902F2">
          <w:rPr>
            <w:rFonts w:ascii="Times New Roman" w:hAnsi="Times New Roman"/>
            <w:noProof/>
            <w:webHidden/>
          </w:rPr>
          <w:fldChar w:fldCharType="end"/>
        </w:r>
      </w:hyperlink>
    </w:p>
    <w:p w14:paraId="5BFA611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7" w:history="1">
        <w:r w:rsidR="00DB7855" w:rsidRPr="008902F2">
          <w:rPr>
            <w:rStyle w:val="Kpr"/>
            <w:rFonts w:ascii="Times New Roman" w:hAnsi="Times New Roman"/>
            <w:b/>
            <w:bCs/>
            <w:noProof/>
          </w:rPr>
          <w:t>Table 4.24: Internal Installation Project Approval, Control, Test and Commissioning Upper Fees Determined by the Authority</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164</w:t>
        </w:r>
        <w:r w:rsidR="00DB7855" w:rsidRPr="008902F2">
          <w:rPr>
            <w:rFonts w:ascii="Times New Roman" w:hAnsi="Times New Roman"/>
            <w:noProof/>
            <w:webHidden/>
          </w:rPr>
          <w:fldChar w:fldCharType="end"/>
        </w:r>
      </w:hyperlink>
    </w:p>
    <w:p w14:paraId="1A37068F"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8" w:history="1">
        <w:r w:rsidR="00DB7855" w:rsidRPr="008902F2">
          <w:rPr>
            <w:rStyle w:val="Kpr"/>
            <w:rFonts w:ascii="Times New Roman" w:hAnsi="Times New Roman"/>
            <w:b/>
            <w:bCs/>
            <w:noProof/>
          </w:rPr>
          <w:t>Table 4.25: Natural Gas Distribution Companies Decided by the Board on Retail Sales Tariffs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165</w:t>
        </w:r>
        <w:r w:rsidR="00DB7855" w:rsidRPr="008902F2">
          <w:rPr>
            <w:rFonts w:ascii="Times New Roman" w:hAnsi="Times New Roman"/>
            <w:noProof/>
            <w:webHidden/>
          </w:rPr>
          <w:fldChar w:fldCharType="end"/>
        </w:r>
      </w:hyperlink>
    </w:p>
    <w:p w14:paraId="6F0FAC9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29" w:history="1">
        <w:r w:rsidR="00DB7855" w:rsidRPr="008902F2">
          <w:rPr>
            <w:rStyle w:val="Kpr"/>
            <w:rFonts w:ascii="Times New Roman" w:hAnsi="Times New Roman"/>
            <w:b/>
            <w:bCs/>
            <w:noProof/>
          </w:rPr>
          <w:t>Table 6.1: List of Vehicles of Protocol Organizations within the Scope of Audit for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_Toc132713929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183</w:t>
        </w:r>
        <w:r w:rsidR="00DB7855" w:rsidRPr="008902F2">
          <w:rPr>
            <w:rFonts w:ascii="Times New Roman" w:hAnsi="Times New Roman"/>
            <w:noProof/>
            <w:webHidden/>
          </w:rPr>
          <w:fldChar w:fldCharType="end"/>
        </w:r>
      </w:hyperlink>
    </w:p>
    <w:p w14:paraId="40EF51C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0" w:history="1">
        <w:r w:rsidR="00DB7855" w:rsidRPr="008902F2">
          <w:rPr>
            <w:rStyle w:val="Kpr"/>
            <w:rFonts w:ascii="Times New Roman" w:hAnsi="Times New Roman"/>
            <w:b/>
            <w:bCs/>
            <w:noProof/>
          </w:rPr>
          <w:t>Table 6.2: Number of Auditors of Protocol Organizations within the Scope of Audit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183</w:t>
        </w:r>
        <w:r w:rsidR="00DB7855" w:rsidRPr="008902F2">
          <w:rPr>
            <w:rFonts w:ascii="Times New Roman" w:hAnsi="Times New Roman"/>
            <w:noProof/>
            <w:webHidden/>
          </w:rPr>
          <w:fldChar w:fldCharType="end"/>
        </w:r>
      </w:hyperlink>
    </w:p>
    <w:p w14:paraId="0A84A81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1" w:history="1">
        <w:r w:rsidR="00DB7855" w:rsidRPr="008902F2">
          <w:rPr>
            <w:rStyle w:val="Kpr"/>
            <w:rFonts w:ascii="Times New Roman" w:hAnsi="Times New Roman"/>
            <w:b/>
            <w:bCs/>
            <w:noProof/>
          </w:rPr>
          <w:t>Table 6.3: Transfer of Appropriations to Protocolist Institutions within the Scope of Audit in 2021 and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183</w:t>
        </w:r>
        <w:r w:rsidR="00DB7855" w:rsidRPr="008902F2">
          <w:rPr>
            <w:rFonts w:ascii="Times New Roman" w:hAnsi="Times New Roman"/>
            <w:noProof/>
            <w:webHidden/>
          </w:rPr>
          <w:fldChar w:fldCharType="end"/>
        </w:r>
      </w:hyperlink>
    </w:p>
    <w:p w14:paraId="7C8F235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2" w:history="1">
        <w:r w:rsidR="00DB7855" w:rsidRPr="008902F2">
          <w:rPr>
            <w:rStyle w:val="Kpr"/>
            <w:rFonts w:ascii="Times New Roman" w:hAnsi="Times New Roman"/>
            <w:b/>
            <w:bCs/>
            <w:noProof/>
          </w:rPr>
          <w:t>Table 6.4: Comparison of National Marker Field Device (XP) Analysis Results for the Years 2020-2022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184</w:t>
        </w:r>
        <w:r w:rsidR="00DB7855" w:rsidRPr="008902F2">
          <w:rPr>
            <w:rFonts w:ascii="Times New Roman" w:hAnsi="Times New Roman"/>
            <w:noProof/>
            <w:webHidden/>
          </w:rPr>
          <w:fldChar w:fldCharType="end"/>
        </w:r>
      </w:hyperlink>
    </w:p>
    <w:p w14:paraId="22145062"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3" w:history="1">
        <w:r w:rsidR="00DB7855" w:rsidRPr="008902F2">
          <w:rPr>
            <w:rStyle w:val="Kpr"/>
            <w:rFonts w:ascii="Times New Roman" w:hAnsi="Times New Roman"/>
            <w:b/>
            <w:bCs/>
            <w:noProof/>
          </w:rPr>
          <w:t>Table 6.5: Distribution of Administrative Fines Applied in the Oil Market in 2022 by License Type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184</w:t>
        </w:r>
        <w:r w:rsidR="00DB7855" w:rsidRPr="008902F2">
          <w:rPr>
            <w:rFonts w:ascii="Times New Roman" w:hAnsi="Times New Roman"/>
            <w:noProof/>
            <w:webHidden/>
          </w:rPr>
          <w:fldChar w:fldCharType="end"/>
        </w:r>
      </w:hyperlink>
    </w:p>
    <w:p w14:paraId="42B2331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4" w:history="1">
        <w:r w:rsidR="00DB7855" w:rsidRPr="008902F2">
          <w:rPr>
            <w:rStyle w:val="Kpr"/>
            <w:rFonts w:ascii="Times New Roman" w:hAnsi="Times New Roman"/>
            <w:b/>
            <w:bCs/>
            <w:noProof/>
          </w:rPr>
          <w:t>Table 6.6: Distribution of Administrative Fines Applied in the Petroleum Market in 2021-2022 by License Type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185</w:t>
        </w:r>
        <w:r w:rsidR="00DB7855" w:rsidRPr="008902F2">
          <w:rPr>
            <w:rFonts w:ascii="Times New Roman" w:hAnsi="Times New Roman"/>
            <w:noProof/>
            <w:webHidden/>
          </w:rPr>
          <w:fldChar w:fldCharType="end"/>
        </w:r>
      </w:hyperlink>
    </w:p>
    <w:p w14:paraId="7888C09D"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5" w:history="1">
        <w:r w:rsidR="00DB7855" w:rsidRPr="008902F2">
          <w:rPr>
            <w:rStyle w:val="Kpr"/>
            <w:rFonts w:ascii="Times New Roman" w:hAnsi="Times New Roman"/>
            <w:b/>
            <w:bCs/>
            <w:noProof/>
          </w:rPr>
          <w:t>Table 6.7: Distribution of Administrative Fines Applied in the Petroleum Market in 2022 According to the Acts Subject to Administrative Fines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185</w:t>
        </w:r>
        <w:r w:rsidR="00DB7855" w:rsidRPr="008902F2">
          <w:rPr>
            <w:rFonts w:ascii="Times New Roman" w:hAnsi="Times New Roman"/>
            <w:noProof/>
            <w:webHidden/>
          </w:rPr>
          <w:fldChar w:fldCharType="end"/>
        </w:r>
      </w:hyperlink>
    </w:p>
    <w:p w14:paraId="3B48CE94"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6" w:history="1">
        <w:r w:rsidR="00DB7855" w:rsidRPr="008902F2">
          <w:rPr>
            <w:rStyle w:val="Kpr"/>
            <w:rFonts w:ascii="Times New Roman" w:hAnsi="Times New Roman"/>
            <w:b/>
            <w:bCs/>
            <w:noProof/>
          </w:rPr>
          <w:t>Table 6.8: Transactions carried out within the framework of subparagraph (g) of the second paragraph of Article 20 of the Law No. 5015</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186</w:t>
        </w:r>
        <w:r w:rsidR="00DB7855" w:rsidRPr="008902F2">
          <w:rPr>
            <w:rFonts w:ascii="Times New Roman" w:hAnsi="Times New Roman"/>
            <w:noProof/>
            <w:webHidden/>
          </w:rPr>
          <w:fldChar w:fldCharType="end"/>
        </w:r>
      </w:hyperlink>
    </w:p>
    <w:p w14:paraId="5A2EB81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7" w:history="1">
        <w:r w:rsidR="00DB7855" w:rsidRPr="008902F2">
          <w:rPr>
            <w:rStyle w:val="Kpr"/>
            <w:rFonts w:ascii="Times New Roman" w:hAnsi="Times New Roman"/>
            <w:b/>
            <w:bCs/>
            <w:noProof/>
          </w:rPr>
          <w:t>Table 6.9: Transactions carried out within the scope of subparagraph (h) of the second paragraph of Article 20 of the Law No. 5015</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186</w:t>
        </w:r>
        <w:r w:rsidR="00DB7855" w:rsidRPr="008902F2">
          <w:rPr>
            <w:rFonts w:ascii="Times New Roman" w:hAnsi="Times New Roman"/>
            <w:noProof/>
            <w:webHidden/>
          </w:rPr>
          <w:fldChar w:fldCharType="end"/>
        </w:r>
      </w:hyperlink>
    </w:p>
    <w:p w14:paraId="3357B3CA"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8" w:history="1">
        <w:r w:rsidR="00DB7855" w:rsidRPr="008902F2">
          <w:rPr>
            <w:rStyle w:val="Kpr"/>
            <w:rFonts w:ascii="Times New Roman" w:hAnsi="Times New Roman"/>
            <w:b/>
            <w:bCs/>
            <w:noProof/>
          </w:rPr>
          <w:t>Table 6.10: Provincial Data on the Collateral Obligation Applied under the Implementation of the V.U.K General Communiqué No. 531</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186</w:t>
        </w:r>
        <w:r w:rsidR="00DB7855" w:rsidRPr="008902F2">
          <w:rPr>
            <w:rFonts w:ascii="Times New Roman" w:hAnsi="Times New Roman"/>
            <w:noProof/>
            <w:webHidden/>
          </w:rPr>
          <w:fldChar w:fldCharType="end"/>
        </w:r>
      </w:hyperlink>
    </w:p>
    <w:p w14:paraId="4973EB4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39" w:history="1">
        <w:r w:rsidR="00DB7855" w:rsidRPr="008902F2">
          <w:rPr>
            <w:rStyle w:val="Kpr"/>
            <w:rFonts w:ascii="Times New Roman" w:hAnsi="Times New Roman"/>
            <w:b/>
            <w:bCs/>
            <w:noProof/>
          </w:rPr>
          <w:t>Table 6.11: Distribution of Administrative Fines Applied in the LPG Market in 2022 by License Type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_Toc132713939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189</w:t>
        </w:r>
        <w:r w:rsidR="00DB7855" w:rsidRPr="008902F2">
          <w:rPr>
            <w:rFonts w:ascii="Times New Roman" w:hAnsi="Times New Roman"/>
            <w:noProof/>
            <w:webHidden/>
          </w:rPr>
          <w:fldChar w:fldCharType="end"/>
        </w:r>
      </w:hyperlink>
    </w:p>
    <w:p w14:paraId="6C4056DF"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0" w:history="1">
        <w:r w:rsidR="00DB7855" w:rsidRPr="008902F2">
          <w:rPr>
            <w:rStyle w:val="Kpr"/>
            <w:rFonts w:ascii="Times New Roman" w:hAnsi="Times New Roman"/>
            <w:b/>
            <w:bCs/>
            <w:noProof/>
          </w:rPr>
          <w:t>Table 6.12: Distribution of Administrative Fines Applied in the LPG Market in 2021-2022 by License Type</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189</w:t>
        </w:r>
        <w:r w:rsidR="00DB7855" w:rsidRPr="008902F2">
          <w:rPr>
            <w:rFonts w:ascii="Times New Roman" w:hAnsi="Times New Roman"/>
            <w:noProof/>
            <w:webHidden/>
          </w:rPr>
          <w:fldChar w:fldCharType="end"/>
        </w:r>
      </w:hyperlink>
    </w:p>
    <w:p w14:paraId="1FE8413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1" w:history="1">
        <w:r w:rsidR="00DB7855" w:rsidRPr="008902F2">
          <w:rPr>
            <w:rStyle w:val="Kpr"/>
            <w:rFonts w:ascii="Times New Roman" w:hAnsi="Times New Roman"/>
            <w:b/>
            <w:bCs/>
            <w:noProof/>
          </w:rPr>
          <w:t>Table 6.13: Distribution of Administrative Fines Applied in 2022 in the LPG Market According to the Acts Subject to Administrative Fines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189</w:t>
        </w:r>
        <w:r w:rsidR="00DB7855" w:rsidRPr="008902F2">
          <w:rPr>
            <w:rFonts w:ascii="Times New Roman" w:hAnsi="Times New Roman"/>
            <w:noProof/>
            <w:webHidden/>
          </w:rPr>
          <w:fldChar w:fldCharType="end"/>
        </w:r>
      </w:hyperlink>
    </w:p>
    <w:p w14:paraId="2EBCCD8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2" w:history="1">
        <w:r w:rsidR="00DB7855" w:rsidRPr="008902F2">
          <w:rPr>
            <w:rStyle w:val="Kpr"/>
            <w:rFonts w:ascii="Times New Roman" w:hAnsi="Times New Roman"/>
            <w:b/>
            <w:noProof/>
          </w:rPr>
          <w:t>Figure 7.1: Distribution of Board Decisions Regarding the Acquisition of Immovable Property in 2022 on the Basis of Transactions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191</w:t>
        </w:r>
        <w:r w:rsidR="00DB7855" w:rsidRPr="008902F2">
          <w:rPr>
            <w:rFonts w:ascii="Times New Roman" w:hAnsi="Times New Roman"/>
            <w:noProof/>
            <w:webHidden/>
          </w:rPr>
          <w:fldChar w:fldCharType="end"/>
        </w:r>
      </w:hyperlink>
    </w:p>
    <w:p w14:paraId="47C1835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3" w:history="1">
        <w:r w:rsidR="00DB7855" w:rsidRPr="008902F2">
          <w:rPr>
            <w:rStyle w:val="Kpr"/>
            <w:rFonts w:ascii="Times New Roman" w:hAnsi="Times New Roman"/>
            <w:b/>
            <w:bCs/>
            <w:noProof/>
          </w:rPr>
          <w:t>Figure 7.2: Sectoral Distribution of Board Decisions Regarding the Provision of Immovable Property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192</w:t>
        </w:r>
        <w:r w:rsidR="00DB7855" w:rsidRPr="008902F2">
          <w:rPr>
            <w:rFonts w:ascii="Times New Roman" w:hAnsi="Times New Roman"/>
            <w:noProof/>
            <w:webHidden/>
          </w:rPr>
          <w:fldChar w:fldCharType="end"/>
        </w:r>
      </w:hyperlink>
    </w:p>
    <w:p w14:paraId="46BE098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4" w:history="1">
        <w:r w:rsidR="00DB7855" w:rsidRPr="008902F2">
          <w:rPr>
            <w:rStyle w:val="Kpr"/>
            <w:rFonts w:ascii="Times New Roman" w:hAnsi="Times New Roman"/>
            <w:b/>
            <w:noProof/>
          </w:rPr>
          <w:t>Table 8.1: Total Number of Cases To which Our Institution Is a Party as of the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194</w:t>
        </w:r>
        <w:r w:rsidR="00DB7855" w:rsidRPr="008902F2">
          <w:rPr>
            <w:rFonts w:ascii="Times New Roman" w:hAnsi="Times New Roman"/>
            <w:noProof/>
            <w:webHidden/>
          </w:rPr>
          <w:fldChar w:fldCharType="end"/>
        </w:r>
      </w:hyperlink>
    </w:p>
    <w:p w14:paraId="244F585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5" w:history="1">
        <w:r w:rsidR="00DB7855" w:rsidRPr="008902F2">
          <w:rPr>
            <w:rStyle w:val="Kpr"/>
            <w:rFonts w:ascii="Times New Roman" w:hAnsi="Times New Roman"/>
            <w:b/>
            <w:bCs/>
            <w:noProof/>
          </w:rPr>
          <w:t>Table 8.2: Distribution of Cases to which our Institution is a Party as of the End of 2022 to the Markets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194</w:t>
        </w:r>
        <w:r w:rsidR="00DB7855" w:rsidRPr="008902F2">
          <w:rPr>
            <w:rFonts w:ascii="Times New Roman" w:hAnsi="Times New Roman"/>
            <w:noProof/>
            <w:webHidden/>
          </w:rPr>
          <w:fldChar w:fldCharType="end"/>
        </w:r>
      </w:hyperlink>
    </w:p>
    <w:p w14:paraId="2FA82D4D"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6" w:history="1">
        <w:r w:rsidR="00DB7855" w:rsidRPr="008902F2">
          <w:rPr>
            <w:rStyle w:val="Kpr"/>
            <w:rFonts w:ascii="Times New Roman" w:hAnsi="Times New Roman"/>
            <w:b/>
            <w:noProof/>
          </w:rPr>
          <w:t>Table 8.3: Distribution of Cases to which Our Institution is a Party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194</w:t>
        </w:r>
        <w:r w:rsidR="00DB7855" w:rsidRPr="008902F2">
          <w:rPr>
            <w:rFonts w:ascii="Times New Roman" w:hAnsi="Times New Roman"/>
            <w:noProof/>
            <w:webHidden/>
          </w:rPr>
          <w:fldChar w:fldCharType="end"/>
        </w:r>
      </w:hyperlink>
    </w:p>
    <w:p w14:paraId="5787C54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7" w:history="1">
        <w:r w:rsidR="00DB7855" w:rsidRPr="008902F2">
          <w:rPr>
            <w:rStyle w:val="Kpr"/>
            <w:rFonts w:ascii="Times New Roman" w:hAnsi="Times New Roman"/>
            <w:b/>
            <w:bCs/>
            <w:noProof/>
          </w:rPr>
          <w:t>Figure 8.1: Distribution of Lawsuits Filed by the Authority by Years on a Market Basis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195</w:t>
        </w:r>
        <w:r w:rsidR="00DB7855" w:rsidRPr="008902F2">
          <w:rPr>
            <w:rFonts w:ascii="Times New Roman" w:hAnsi="Times New Roman"/>
            <w:noProof/>
            <w:webHidden/>
          </w:rPr>
          <w:fldChar w:fldCharType="end"/>
        </w:r>
      </w:hyperlink>
    </w:p>
    <w:p w14:paraId="5808FC1A"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8" w:history="1">
        <w:r w:rsidR="00DB7855" w:rsidRPr="008902F2">
          <w:rPr>
            <w:rStyle w:val="Kpr"/>
            <w:rFonts w:ascii="Times New Roman" w:hAnsi="Times New Roman"/>
            <w:b/>
            <w:bCs/>
            <w:noProof/>
          </w:rPr>
          <w:t>Table 8.4: Distribution of Non-Litigation Files Pursued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195</w:t>
        </w:r>
        <w:r w:rsidR="00DB7855" w:rsidRPr="008902F2">
          <w:rPr>
            <w:rFonts w:ascii="Times New Roman" w:hAnsi="Times New Roman"/>
            <w:noProof/>
            <w:webHidden/>
          </w:rPr>
          <w:fldChar w:fldCharType="end"/>
        </w:r>
      </w:hyperlink>
    </w:p>
    <w:p w14:paraId="7CECCF9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49" w:history="1">
        <w:r w:rsidR="00DB7855" w:rsidRPr="008902F2">
          <w:rPr>
            <w:rStyle w:val="Kpr"/>
            <w:rFonts w:ascii="Times New Roman" w:hAnsi="Times New Roman"/>
            <w:b/>
            <w:noProof/>
          </w:rPr>
          <w:t>Table 8.5: Finalization of Administrative Cases Pursued by Our Institution as of the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_Toc132713949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196</w:t>
        </w:r>
        <w:r w:rsidR="00DB7855" w:rsidRPr="008902F2">
          <w:rPr>
            <w:rFonts w:ascii="Times New Roman" w:hAnsi="Times New Roman"/>
            <w:noProof/>
            <w:webHidden/>
          </w:rPr>
          <w:fldChar w:fldCharType="end"/>
        </w:r>
      </w:hyperlink>
    </w:p>
    <w:p w14:paraId="2A2C5DCD"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0" w:history="1">
        <w:r w:rsidR="00DB7855" w:rsidRPr="008902F2">
          <w:rPr>
            <w:rStyle w:val="Kpr"/>
            <w:rFonts w:ascii="Times New Roman" w:hAnsi="Times New Roman"/>
            <w:b/>
            <w:bCs/>
            <w:noProof/>
          </w:rPr>
          <w:t>Table 8.6: Distribution of Cases Determined to Be Finalized from the Cases to which Our Institution is a Party as of the End of 2022 in terms of Their Results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196</w:t>
        </w:r>
        <w:r w:rsidR="00DB7855" w:rsidRPr="008902F2">
          <w:rPr>
            <w:rFonts w:ascii="Times New Roman" w:hAnsi="Times New Roman"/>
            <w:noProof/>
            <w:webHidden/>
          </w:rPr>
          <w:fldChar w:fldCharType="end"/>
        </w:r>
      </w:hyperlink>
    </w:p>
    <w:p w14:paraId="47B181DC"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1" w:history="1">
        <w:r w:rsidR="00DB7855" w:rsidRPr="008902F2">
          <w:rPr>
            <w:rStyle w:val="Kpr"/>
            <w:rFonts w:ascii="Times New Roman" w:hAnsi="Times New Roman"/>
            <w:b/>
            <w:noProof/>
          </w:rPr>
          <w:t>Table 8.7: Distribution of Cases Ending from the Cases to which Our Institution is a Party as of the End of 2022 in terms of Their Results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196</w:t>
        </w:r>
        <w:r w:rsidR="00DB7855" w:rsidRPr="008902F2">
          <w:rPr>
            <w:rFonts w:ascii="Times New Roman" w:hAnsi="Times New Roman"/>
            <w:noProof/>
            <w:webHidden/>
          </w:rPr>
          <w:fldChar w:fldCharType="end"/>
        </w:r>
      </w:hyperlink>
    </w:p>
    <w:p w14:paraId="6DC1A0D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2" w:history="1">
        <w:r w:rsidR="00DB7855" w:rsidRPr="008902F2">
          <w:rPr>
            <w:rStyle w:val="Kpr"/>
            <w:rFonts w:ascii="Times New Roman" w:hAnsi="Times New Roman"/>
            <w:b/>
            <w:noProof/>
          </w:rPr>
          <w:t>Figure 8.2:</w:t>
        </w:r>
        <w:r w:rsidR="00DB7855" w:rsidRPr="008902F2">
          <w:rPr>
            <w:rStyle w:val="Kpr"/>
            <w:rFonts w:ascii="Times New Roman" w:hAnsi="Times New Roman"/>
            <w:b/>
            <w:bCs/>
            <w:noProof/>
          </w:rPr>
          <w:t xml:space="preserve"> As of the End of 2022, the Distribution of the Cases to which our Institution is a Party in terms of Results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197</w:t>
        </w:r>
        <w:r w:rsidR="00DB7855" w:rsidRPr="008902F2">
          <w:rPr>
            <w:rFonts w:ascii="Times New Roman" w:hAnsi="Times New Roman"/>
            <w:noProof/>
            <w:webHidden/>
          </w:rPr>
          <w:fldChar w:fldCharType="end"/>
        </w:r>
      </w:hyperlink>
    </w:p>
    <w:p w14:paraId="4B81A2D6"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3" w:history="1">
        <w:r w:rsidR="00DB7855" w:rsidRPr="008902F2">
          <w:rPr>
            <w:rStyle w:val="Kpr"/>
            <w:rFonts w:ascii="Times New Roman" w:hAnsi="Times New Roman"/>
            <w:b/>
            <w:bCs/>
            <w:noProof/>
          </w:rPr>
          <w:t>Table 8.8: Distribution of the Number of Mediation Files by Year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197</w:t>
        </w:r>
        <w:r w:rsidR="00DB7855" w:rsidRPr="008902F2">
          <w:rPr>
            <w:rFonts w:ascii="Times New Roman" w:hAnsi="Times New Roman"/>
            <w:noProof/>
            <w:webHidden/>
          </w:rPr>
          <w:fldChar w:fldCharType="end"/>
        </w:r>
      </w:hyperlink>
    </w:p>
    <w:p w14:paraId="0D6F7FD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4" w:history="1">
        <w:r w:rsidR="00DB7855" w:rsidRPr="008902F2">
          <w:rPr>
            <w:rStyle w:val="Kpr"/>
            <w:rFonts w:ascii="Times New Roman" w:hAnsi="Times New Roman"/>
            <w:b/>
            <w:bCs/>
            <w:noProof/>
          </w:rPr>
          <w:t>Table 8.9: Distribution of Opinions Given by the Legal Department as of the End of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198</w:t>
        </w:r>
        <w:r w:rsidR="00DB7855" w:rsidRPr="008902F2">
          <w:rPr>
            <w:rFonts w:ascii="Times New Roman" w:hAnsi="Times New Roman"/>
            <w:noProof/>
            <w:webHidden/>
          </w:rPr>
          <w:fldChar w:fldCharType="end"/>
        </w:r>
      </w:hyperlink>
    </w:p>
    <w:p w14:paraId="3ABB64FE"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5" w:history="1">
        <w:r w:rsidR="00DB7855" w:rsidRPr="008902F2">
          <w:rPr>
            <w:rStyle w:val="Kpr"/>
            <w:rFonts w:ascii="Times New Roman" w:hAnsi="Times New Roman"/>
            <w:b/>
            <w:noProof/>
          </w:rPr>
          <w:t>Table 8.10: Distribution of Opinions Given by the Legal Department by Year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198</w:t>
        </w:r>
        <w:r w:rsidR="00DB7855" w:rsidRPr="008902F2">
          <w:rPr>
            <w:rFonts w:ascii="Times New Roman" w:hAnsi="Times New Roman"/>
            <w:noProof/>
            <w:webHidden/>
          </w:rPr>
          <w:fldChar w:fldCharType="end"/>
        </w:r>
      </w:hyperlink>
    </w:p>
    <w:p w14:paraId="6921F52D"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6" w:history="1">
        <w:r w:rsidR="00DB7855" w:rsidRPr="008902F2">
          <w:rPr>
            <w:rStyle w:val="Kpr"/>
            <w:rFonts w:ascii="Times New Roman" w:hAnsi="Times New Roman"/>
            <w:b/>
            <w:noProof/>
          </w:rPr>
          <w:t>Figure 8.3: Distribution of Opinions Given by the Legal Department by Year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199</w:t>
        </w:r>
        <w:r w:rsidR="00DB7855" w:rsidRPr="008902F2">
          <w:rPr>
            <w:rFonts w:ascii="Times New Roman" w:hAnsi="Times New Roman"/>
            <w:noProof/>
            <w:webHidden/>
          </w:rPr>
          <w:fldChar w:fldCharType="end"/>
        </w:r>
      </w:hyperlink>
    </w:p>
    <w:p w14:paraId="1F6A12B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7" w:history="1">
        <w:r w:rsidR="00DB7855" w:rsidRPr="008902F2">
          <w:rPr>
            <w:rStyle w:val="Kpr"/>
            <w:rFonts w:ascii="Times New Roman" w:hAnsi="Times New Roman"/>
            <w:b/>
            <w:bCs/>
            <w:noProof/>
          </w:rPr>
          <w:t>Figure 9.1: Percentage Distribution of Notifications Processed Under the Complaint Heading as of Months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201</w:t>
        </w:r>
        <w:r w:rsidR="00DB7855" w:rsidRPr="008902F2">
          <w:rPr>
            <w:rFonts w:ascii="Times New Roman" w:hAnsi="Times New Roman"/>
            <w:noProof/>
            <w:webHidden/>
          </w:rPr>
          <w:fldChar w:fldCharType="end"/>
        </w:r>
      </w:hyperlink>
    </w:p>
    <w:p w14:paraId="2CE9A7D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8" w:history="1">
        <w:r w:rsidR="00DB7855" w:rsidRPr="008902F2">
          <w:rPr>
            <w:rStyle w:val="Kpr"/>
            <w:rFonts w:ascii="Times New Roman" w:hAnsi="Times New Roman"/>
            <w:b/>
            <w:bCs/>
            <w:noProof/>
          </w:rPr>
          <w:t>Figure 9.2: Percentage Distribution of Complaint Notifications by Complaint Channels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202</w:t>
        </w:r>
        <w:r w:rsidR="00DB7855" w:rsidRPr="008902F2">
          <w:rPr>
            <w:rFonts w:ascii="Times New Roman" w:hAnsi="Times New Roman"/>
            <w:noProof/>
            <w:webHidden/>
          </w:rPr>
          <w:fldChar w:fldCharType="end"/>
        </w:r>
      </w:hyperlink>
    </w:p>
    <w:p w14:paraId="6948073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59" w:history="1">
        <w:r w:rsidR="00DB7855" w:rsidRPr="008902F2">
          <w:rPr>
            <w:rStyle w:val="Kpr"/>
            <w:rFonts w:ascii="Times New Roman" w:hAnsi="Times New Roman"/>
            <w:b/>
            <w:bCs/>
            <w:noProof/>
          </w:rPr>
          <w:t>Figure 9.3: Sectoral Distribution of Complaint Notifications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_Toc132713959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203</w:t>
        </w:r>
        <w:r w:rsidR="00DB7855" w:rsidRPr="008902F2">
          <w:rPr>
            <w:rFonts w:ascii="Times New Roman" w:hAnsi="Times New Roman"/>
            <w:noProof/>
            <w:webHidden/>
          </w:rPr>
          <w:fldChar w:fldCharType="end"/>
        </w:r>
      </w:hyperlink>
    </w:p>
    <w:p w14:paraId="66A79D1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0" w:history="1">
        <w:r w:rsidR="00DB7855" w:rsidRPr="008902F2">
          <w:rPr>
            <w:rStyle w:val="Kpr"/>
            <w:rFonts w:ascii="Times New Roman" w:hAnsi="Times New Roman"/>
            <w:b/>
            <w:bCs/>
            <w:noProof/>
          </w:rPr>
          <w:t>Figure 9.4: Distribution of Complaint Notifications by Location</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203</w:t>
        </w:r>
        <w:r w:rsidR="00DB7855" w:rsidRPr="008902F2">
          <w:rPr>
            <w:rFonts w:ascii="Times New Roman" w:hAnsi="Times New Roman"/>
            <w:noProof/>
            <w:webHidden/>
          </w:rPr>
          <w:fldChar w:fldCharType="end"/>
        </w:r>
      </w:hyperlink>
    </w:p>
    <w:p w14:paraId="1CA5F0C9"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1" w:history="1">
        <w:r w:rsidR="00DB7855" w:rsidRPr="008902F2">
          <w:rPr>
            <w:rStyle w:val="Kpr"/>
            <w:rFonts w:ascii="Times New Roman" w:hAnsi="Times New Roman"/>
            <w:b/>
            <w:bCs/>
            <w:noProof/>
          </w:rPr>
          <w:t>Figure 9.5: Percentage Distribution of Subclassification of Complaints from the Electricity Sector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204</w:t>
        </w:r>
        <w:r w:rsidR="00DB7855" w:rsidRPr="008902F2">
          <w:rPr>
            <w:rFonts w:ascii="Times New Roman" w:hAnsi="Times New Roman"/>
            <w:noProof/>
            <w:webHidden/>
          </w:rPr>
          <w:fldChar w:fldCharType="end"/>
        </w:r>
      </w:hyperlink>
    </w:p>
    <w:p w14:paraId="4517EA18"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2" w:history="1">
        <w:r w:rsidR="00DB7855" w:rsidRPr="008902F2">
          <w:rPr>
            <w:rStyle w:val="Kpr"/>
            <w:rFonts w:ascii="Times New Roman" w:hAnsi="Times New Roman"/>
            <w:b/>
            <w:bCs/>
            <w:noProof/>
          </w:rPr>
          <w:t>Figure 9.6: Percentage Distribution of Notifications Processed in the Electricity Sector by Month</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205</w:t>
        </w:r>
        <w:r w:rsidR="00DB7855" w:rsidRPr="008902F2">
          <w:rPr>
            <w:rFonts w:ascii="Times New Roman" w:hAnsi="Times New Roman"/>
            <w:noProof/>
            <w:webHidden/>
          </w:rPr>
          <w:fldChar w:fldCharType="end"/>
        </w:r>
      </w:hyperlink>
    </w:p>
    <w:p w14:paraId="0F0E498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3" w:history="1">
        <w:r w:rsidR="00DB7855" w:rsidRPr="008902F2">
          <w:rPr>
            <w:rStyle w:val="Kpr"/>
            <w:rFonts w:ascii="Times New Roman" w:hAnsi="Times New Roman"/>
            <w:b/>
            <w:bCs/>
            <w:noProof/>
          </w:rPr>
          <w:t>Figure 9.7: Percentage Distribution of Subclassification of Natural Gas Sector Complaints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206</w:t>
        </w:r>
        <w:r w:rsidR="00DB7855" w:rsidRPr="008902F2">
          <w:rPr>
            <w:rFonts w:ascii="Times New Roman" w:hAnsi="Times New Roman"/>
            <w:noProof/>
            <w:webHidden/>
          </w:rPr>
          <w:fldChar w:fldCharType="end"/>
        </w:r>
      </w:hyperlink>
    </w:p>
    <w:p w14:paraId="3E68C57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4" w:history="1">
        <w:r w:rsidR="00DB7855" w:rsidRPr="008902F2">
          <w:rPr>
            <w:rStyle w:val="Kpr"/>
            <w:rFonts w:ascii="Times New Roman" w:hAnsi="Times New Roman"/>
            <w:b/>
            <w:bCs/>
            <w:noProof/>
          </w:rPr>
          <w:t>Figure 9.8: Percentage Distribution of Notifications Processed in the Natural Gas Sector by Month</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206</w:t>
        </w:r>
        <w:r w:rsidR="00DB7855" w:rsidRPr="008902F2">
          <w:rPr>
            <w:rFonts w:ascii="Times New Roman" w:hAnsi="Times New Roman"/>
            <w:noProof/>
            <w:webHidden/>
          </w:rPr>
          <w:fldChar w:fldCharType="end"/>
        </w:r>
      </w:hyperlink>
    </w:p>
    <w:p w14:paraId="61354B0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5" w:history="1">
        <w:r w:rsidR="00DB7855" w:rsidRPr="008902F2">
          <w:rPr>
            <w:rStyle w:val="Kpr"/>
            <w:rFonts w:ascii="Times New Roman" w:hAnsi="Times New Roman"/>
            <w:b/>
            <w:bCs/>
            <w:noProof/>
          </w:rPr>
          <w:t>Figure 9.9: Percentage Distribution of Subclassification of Oil Sector Complaints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207</w:t>
        </w:r>
        <w:r w:rsidR="00DB7855" w:rsidRPr="008902F2">
          <w:rPr>
            <w:rFonts w:ascii="Times New Roman" w:hAnsi="Times New Roman"/>
            <w:noProof/>
            <w:webHidden/>
          </w:rPr>
          <w:fldChar w:fldCharType="end"/>
        </w:r>
      </w:hyperlink>
    </w:p>
    <w:p w14:paraId="46F6C5E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6" w:history="1">
        <w:r w:rsidR="00DB7855" w:rsidRPr="008902F2">
          <w:rPr>
            <w:rStyle w:val="Kpr"/>
            <w:rFonts w:ascii="Times New Roman" w:hAnsi="Times New Roman"/>
            <w:b/>
            <w:bCs/>
            <w:noProof/>
          </w:rPr>
          <w:t>Figure 9.10: Percentage Distribution of Subclassification of LPG Sector Complaints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208</w:t>
        </w:r>
        <w:r w:rsidR="00DB7855" w:rsidRPr="008902F2">
          <w:rPr>
            <w:rFonts w:ascii="Times New Roman" w:hAnsi="Times New Roman"/>
            <w:noProof/>
            <w:webHidden/>
          </w:rPr>
          <w:fldChar w:fldCharType="end"/>
        </w:r>
      </w:hyperlink>
    </w:p>
    <w:p w14:paraId="685AFB7F"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7" w:history="1">
        <w:r w:rsidR="00DB7855" w:rsidRPr="008902F2">
          <w:rPr>
            <w:rStyle w:val="Kpr"/>
            <w:rFonts w:ascii="Times New Roman" w:hAnsi="Times New Roman"/>
            <w:b/>
            <w:bCs/>
            <w:noProof/>
          </w:rPr>
          <w:t>Table 11.1: Distribution of Question Proposals in 2022 by Subject</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210</w:t>
        </w:r>
        <w:r w:rsidR="00DB7855" w:rsidRPr="008902F2">
          <w:rPr>
            <w:rFonts w:ascii="Times New Roman" w:hAnsi="Times New Roman"/>
            <w:noProof/>
            <w:webHidden/>
          </w:rPr>
          <w:fldChar w:fldCharType="end"/>
        </w:r>
      </w:hyperlink>
    </w:p>
    <w:p w14:paraId="7248168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8" w:history="1">
        <w:r w:rsidR="00DB7855" w:rsidRPr="008902F2">
          <w:rPr>
            <w:rStyle w:val="Kpr"/>
            <w:rFonts w:ascii="Times New Roman" w:hAnsi="Times New Roman"/>
            <w:b/>
            <w:bCs/>
            <w:noProof/>
          </w:rPr>
          <w:t>Figure 11.1: Percentage Distribution of Question Proposals in 2022 by Subject</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211</w:t>
        </w:r>
        <w:r w:rsidR="00DB7855" w:rsidRPr="008902F2">
          <w:rPr>
            <w:rFonts w:ascii="Times New Roman" w:hAnsi="Times New Roman"/>
            <w:noProof/>
            <w:webHidden/>
          </w:rPr>
          <w:fldChar w:fldCharType="end"/>
        </w:r>
      </w:hyperlink>
    </w:p>
    <w:p w14:paraId="0ECA1800"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69" w:history="1">
        <w:r w:rsidR="00DB7855" w:rsidRPr="008902F2">
          <w:rPr>
            <w:rStyle w:val="Kpr"/>
            <w:rFonts w:ascii="Times New Roman" w:hAnsi="Times New Roman"/>
            <w:b/>
            <w:noProof/>
          </w:rPr>
          <w:t>Table 13.1: Information on the Personnel Employed in the Institution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_Toc132713969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216</w:t>
        </w:r>
        <w:r w:rsidR="00DB7855" w:rsidRPr="008902F2">
          <w:rPr>
            <w:rFonts w:ascii="Times New Roman" w:hAnsi="Times New Roman"/>
            <w:noProof/>
            <w:webHidden/>
          </w:rPr>
          <w:fldChar w:fldCharType="end"/>
        </w:r>
      </w:hyperlink>
    </w:p>
    <w:p w14:paraId="27B2950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0" w:history="1">
        <w:r w:rsidR="00DB7855" w:rsidRPr="008902F2">
          <w:rPr>
            <w:rStyle w:val="Kpr"/>
            <w:rFonts w:ascii="Times New Roman" w:hAnsi="Times New Roman"/>
            <w:b/>
            <w:noProof/>
          </w:rPr>
          <w:t>Table 13.2: Information on Personnel Leaving the Institution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_Toc132713970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217</w:t>
        </w:r>
        <w:r w:rsidR="00DB7855" w:rsidRPr="008902F2">
          <w:rPr>
            <w:rFonts w:ascii="Times New Roman" w:hAnsi="Times New Roman"/>
            <w:noProof/>
            <w:webHidden/>
          </w:rPr>
          <w:fldChar w:fldCharType="end"/>
        </w:r>
      </w:hyperlink>
    </w:p>
    <w:p w14:paraId="597B4B65"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1" w:history="1">
        <w:r w:rsidR="00DB7855" w:rsidRPr="008902F2">
          <w:rPr>
            <w:rStyle w:val="Kpr"/>
            <w:rFonts w:ascii="Times New Roman" w:hAnsi="Times New Roman"/>
            <w:b/>
            <w:noProof/>
          </w:rPr>
          <w:t>Table 13.3: Distribution of Personnel of the Institution</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_Toc132713971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217</w:t>
        </w:r>
        <w:r w:rsidR="00DB7855" w:rsidRPr="008902F2">
          <w:rPr>
            <w:rFonts w:ascii="Times New Roman" w:hAnsi="Times New Roman"/>
            <w:noProof/>
            <w:webHidden/>
          </w:rPr>
          <w:fldChar w:fldCharType="end"/>
        </w:r>
      </w:hyperlink>
    </w:p>
    <w:p w14:paraId="3D34579A"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2" w:history="1">
        <w:r w:rsidR="00DB7855" w:rsidRPr="008902F2">
          <w:rPr>
            <w:rStyle w:val="Kpr"/>
            <w:rFonts w:ascii="Times New Roman" w:hAnsi="Times New Roman"/>
            <w:b/>
            <w:noProof/>
          </w:rPr>
          <w:t>Table 13.4: Number of Personnel of the Institution by Year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_Toc132713972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219</w:t>
        </w:r>
        <w:r w:rsidR="00DB7855" w:rsidRPr="008902F2">
          <w:rPr>
            <w:rFonts w:ascii="Times New Roman" w:hAnsi="Times New Roman"/>
            <w:noProof/>
            <w:webHidden/>
          </w:rPr>
          <w:fldChar w:fldCharType="end"/>
        </w:r>
      </w:hyperlink>
    </w:p>
    <w:p w14:paraId="0123E483"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3" w:history="1">
        <w:r w:rsidR="00DB7855" w:rsidRPr="008902F2">
          <w:rPr>
            <w:rStyle w:val="Kpr"/>
            <w:rFonts w:ascii="Times New Roman" w:hAnsi="Times New Roman"/>
            <w:b/>
            <w:noProof/>
          </w:rPr>
          <w:t>Table 13.5: Information on Personnel Leaving the Institution in 2022 (Permanent Worker)</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_Toc132713973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219</w:t>
        </w:r>
        <w:r w:rsidR="00DB7855" w:rsidRPr="008902F2">
          <w:rPr>
            <w:rFonts w:ascii="Times New Roman" w:hAnsi="Times New Roman"/>
            <w:noProof/>
            <w:webHidden/>
          </w:rPr>
          <w:fldChar w:fldCharType="end"/>
        </w:r>
      </w:hyperlink>
    </w:p>
    <w:p w14:paraId="5CD3372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4" w:history="1">
        <w:r w:rsidR="00DB7855" w:rsidRPr="008902F2">
          <w:rPr>
            <w:rStyle w:val="Kpr"/>
            <w:rFonts w:ascii="Times New Roman" w:hAnsi="Times New Roman"/>
            <w:b/>
            <w:noProof/>
          </w:rPr>
          <w:t>Table 13.6: Distribution of Personnel of the Institution (Permanent Workers)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_Toc132713974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219</w:t>
        </w:r>
        <w:r w:rsidR="00DB7855" w:rsidRPr="008902F2">
          <w:rPr>
            <w:rFonts w:ascii="Times New Roman" w:hAnsi="Times New Roman"/>
            <w:noProof/>
            <w:webHidden/>
          </w:rPr>
          <w:fldChar w:fldCharType="end"/>
        </w:r>
      </w:hyperlink>
    </w:p>
    <w:p w14:paraId="1232759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5" w:history="1">
        <w:r w:rsidR="00DB7855" w:rsidRPr="008902F2">
          <w:rPr>
            <w:rStyle w:val="Kpr"/>
            <w:rFonts w:ascii="Times New Roman" w:hAnsi="Times New Roman"/>
            <w:b/>
            <w:noProof/>
          </w:rPr>
          <w:t>Table 13.7: In-Service Training Activities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_Toc132713975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220</w:t>
        </w:r>
        <w:r w:rsidR="00DB7855" w:rsidRPr="008902F2">
          <w:rPr>
            <w:rFonts w:ascii="Times New Roman" w:hAnsi="Times New Roman"/>
            <w:noProof/>
            <w:webHidden/>
          </w:rPr>
          <w:fldChar w:fldCharType="end"/>
        </w:r>
      </w:hyperlink>
    </w:p>
    <w:p w14:paraId="3AA99531"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6" w:history="1">
        <w:r w:rsidR="00DB7855" w:rsidRPr="008902F2">
          <w:rPr>
            <w:rStyle w:val="Kpr"/>
            <w:rFonts w:ascii="Times New Roman" w:hAnsi="Times New Roman"/>
            <w:b/>
            <w:noProof/>
          </w:rPr>
          <w:t>Table 13.8: Study Abroad Activities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_Toc132713976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221</w:t>
        </w:r>
        <w:r w:rsidR="00DB7855" w:rsidRPr="008902F2">
          <w:rPr>
            <w:rFonts w:ascii="Times New Roman" w:hAnsi="Times New Roman"/>
            <w:noProof/>
            <w:webHidden/>
          </w:rPr>
          <w:fldChar w:fldCharType="end"/>
        </w:r>
      </w:hyperlink>
    </w:p>
    <w:p w14:paraId="19D48AF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7" w:history="1">
        <w:r w:rsidR="00DB7855" w:rsidRPr="008902F2">
          <w:rPr>
            <w:rStyle w:val="Kpr"/>
            <w:rFonts w:ascii="Times New Roman" w:hAnsi="Times New Roman"/>
            <w:b/>
            <w:noProof/>
          </w:rPr>
          <w:t>Table 13.9: Foreign Language Education Activities Received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_Toc132713977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222</w:t>
        </w:r>
        <w:r w:rsidR="00DB7855" w:rsidRPr="008902F2">
          <w:rPr>
            <w:rFonts w:ascii="Times New Roman" w:hAnsi="Times New Roman"/>
            <w:noProof/>
            <w:webHidden/>
          </w:rPr>
          <w:fldChar w:fldCharType="end"/>
        </w:r>
      </w:hyperlink>
    </w:p>
    <w:p w14:paraId="4152A59C"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8" w:history="1">
        <w:r w:rsidR="00DB7855" w:rsidRPr="008902F2">
          <w:rPr>
            <w:rStyle w:val="Kpr"/>
            <w:rFonts w:ascii="Times New Roman" w:hAnsi="Times New Roman"/>
            <w:b/>
            <w:bCs/>
            <w:noProof/>
          </w:rPr>
          <w:t>Table 13.10: Information of the Person Interning in the Institution in 2022</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_Toc132713978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222</w:t>
        </w:r>
        <w:r w:rsidR="00DB7855" w:rsidRPr="008902F2">
          <w:rPr>
            <w:rFonts w:ascii="Times New Roman" w:hAnsi="Times New Roman"/>
            <w:noProof/>
            <w:webHidden/>
          </w:rPr>
          <w:fldChar w:fldCharType="end"/>
        </w:r>
      </w:hyperlink>
    </w:p>
    <w:p w14:paraId="665651D7" w14:textId="77777777" w:rsidR="00DB7855" w:rsidRPr="008902F2" w:rsidRDefault="00027659">
      <w:pPr>
        <w:pStyle w:val="ekillerTablosu"/>
        <w:tabs>
          <w:tab w:val="right" w:leader="dot" w:pos="9060"/>
        </w:tabs>
        <w:rPr>
          <w:rFonts w:ascii="Times New Roman" w:eastAsiaTheme="minorEastAsia" w:hAnsi="Times New Roman"/>
          <w:noProof/>
          <w:lang w:val="en-US"/>
        </w:rPr>
      </w:pPr>
      <w:hyperlink w:anchor="_Toc132713979" w:history="1">
        <w:r w:rsidR="00DB7855" w:rsidRPr="008902F2">
          <w:rPr>
            <w:rStyle w:val="Kpr"/>
            <w:rFonts w:ascii="Times New Roman" w:hAnsi="Times New Roman"/>
            <w:b/>
            <w:noProof/>
          </w:rPr>
          <w:t>Table 14.1: Revenue Surplus (TL) Transferred to the Ministry of Treasury and Finance of the Republic of Turkey by Years</w:t>
        </w:r>
        <w:r w:rsidR="00DB7855" w:rsidRPr="008902F2">
          <w:rPr>
            <w:rFonts w:ascii="Times New Roman" w:hAnsi="Times New Roman"/>
            <w:noProof/>
            <w:webHidden/>
          </w:rPr>
          <w:tab/>
        </w:r>
        <w:r w:rsidR="00DB7855" w:rsidRPr="008902F2">
          <w:rPr>
            <w:rFonts w:ascii="Times New Roman" w:hAnsi="Times New Roman"/>
            <w:noProof/>
            <w:webHidden/>
          </w:rPr>
          <w:fldChar w:fldCharType="begin"/>
        </w:r>
        <w:r w:rsidR="00DB7855" w:rsidRPr="008902F2">
          <w:rPr>
            <w:rFonts w:ascii="Times New Roman" w:hAnsi="Times New Roman"/>
            <w:noProof/>
            <w:webHidden/>
          </w:rPr>
          <w:instrText xml:space="preserve"> PAGEREF _Toc132713979 \h </w:instrText>
        </w:r>
        <w:r w:rsidR="00DB7855" w:rsidRPr="008902F2">
          <w:rPr>
            <w:rFonts w:ascii="Times New Roman" w:hAnsi="Times New Roman"/>
            <w:noProof/>
            <w:webHidden/>
          </w:rPr>
        </w:r>
        <w:r w:rsidR="00DB7855" w:rsidRPr="008902F2">
          <w:rPr>
            <w:rFonts w:ascii="Times New Roman" w:hAnsi="Times New Roman"/>
            <w:noProof/>
            <w:webHidden/>
          </w:rPr>
          <w:fldChar w:fldCharType="separate"/>
        </w:r>
        <w:r w:rsidR="00DB7855" w:rsidRPr="008902F2">
          <w:rPr>
            <w:rFonts w:ascii="Times New Roman" w:hAnsi="Times New Roman"/>
            <w:noProof/>
            <w:webHidden/>
          </w:rPr>
          <w:t>224</w:t>
        </w:r>
        <w:r w:rsidR="00DB7855" w:rsidRPr="008902F2">
          <w:rPr>
            <w:rFonts w:ascii="Times New Roman" w:hAnsi="Times New Roman"/>
            <w:noProof/>
            <w:webHidden/>
          </w:rPr>
          <w:fldChar w:fldCharType="end"/>
        </w:r>
      </w:hyperlink>
    </w:p>
    <w:p w14:paraId="3CF2D8B6" w14:textId="77777777" w:rsidR="00F4087E" w:rsidRPr="008902F2" w:rsidRDefault="00364BDD" w:rsidP="008C40F5">
      <w:pPr>
        <w:spacing w:after="0"/>
        <w:rPr>
          <w:rFonts w:ascii="Times New Roman" w:hAnsi="Times New Roman"/>
        </w:rPr>
      </w:pPr>
      <w:r w:rsidRPr="008902F2">
        <w:rPr>
          <w:rFonts w:ascii="Times New Roman" w:hAnsi="Times New Roman"/>
        </w:rPr>
        <w:fldChar w:fldCharType="end"/>
      </w:r>
    </w:p>
    <w:p w14:paraId="0FB78278" w14:textId="77777777" w:rsidR="00F4087E" w:rsidRPr="008902F2" w:rsidRDefault="00F4087E" w:rsidP="00A02EDE">
      <w:pPr>
        <w:spacing w:after="0"/>
        <w:rPr>
          <w:rFonts w:ascii="Times New Roman" w:hAnsi="Times New Roman"/>
        </w:rPr>
      </w:pPr>
    </w:p>
    <w:p w14:paraId="1FC39945" w14:textId="77777777" w:rsidR="005720F4" w:rsidRPr="008902F2" w:rsidRDefault="005720F4" w:rsidP="00A02EDE">
      <w:pPr>
        <w:spacing w:after="0"/>
        <w:rPr>
          <w:rFonts w:ascii="Times New Roman" w:hAnsi="Times New Roman"/>
        </w:rPr>
      </w:pPr>
    </w:p>
    <w:p w14:paraId="0562CB0E" w14:textId="77777777" w:rsidR="003528E3" w:rsidRPr="008902F2" w:rsidRDefault="003528E3" w:rsidP="00A02EDE">
      <w:pPr>
        <w:spacing w:after="0"/>
        <w:rPr>
          <w:rFonts w:ascii="Times New Roman" w:hAnsi="Times New Roman"/>
        </w:rPr>
      </w:pPr>
    </w:p>
    <w:p w14:paraId="34CE0A41" w14:textId="77777777" w:rsidR="00EE3616" w:rsidRPr="008902F2" w:rsidRDefault="00EE3616">
      <w:pPr>
        <w:rPr>
          <w:rFonts w:ascii="Times New Roman" w:eastAsiaTheme="minorHAnsi" w:hAnsi="Times New Roman"/>
          <w:b/>
        </w:rPr>
      </w:pPr>
      <w:r w:rsidRPr="008902F2">
        <w:rPr>
          <w:rFonts w:ascii="Times New Roman" w:eastAsiaTheme="minorHAnsi" w:hAnsi="Times New Roman"/>
          <w:b/>
        </w:rPr>
        <w:br w:type="page"/>
      </w:r>
    </w:p>
    <w:p w14:paraId="57AECE3E" w14:textId="77777777" w:rsidR="003528E3" w:rsidRPr="008902F2" w:rsidRDefault="003528E3" w:rsidP="008C0C45">
      <w:pPr>
        <w:rPr>
          <w:rFonts w:ascii="Times New Roman" w:hAnsi="Times New Roman"/>
          <w:b/>
        </w:rPr>
      </w:pPr>
      <w:r w:rsidRPr="008902F2">
        <w:rPr>
          <w:rFonts w:ascii="Times New Roman" w:hAnsi="Times New Roman"/>
          <w:b/>
        </w:rPr>
        <w:lastRenderedPageBreak/>
        <w:t>ABBREVIATIONS</w:t>
      </w:r>
    </w:p>
    <w:p w14:paraId="1A7C9CCF" w14:textId="77777777" w:rsidR="009E6287" w:rsidRPr="008902F2" w:rsidRDefault="009E6287" w:rsidP="00A02EDE">
      <w:pPr>
        <w:spacing w:after="100"/>
        <w:rPr>
          <w:rFonts w:ascii="Times New Roman" w:eastAsiaTheme="minorHAnsi" w:hAnsi="Times New Roman"/>
          <w:b/>
        </w:rPr>
      </w:pPr>
      <w:r w:rsidRPr="008902F2">
        <w:rPr>
          <w:rFonts w:ascii="Times New Roman" w:eastAsiaTheme="minorHAnsi" w:hAnsi="Times New Roman"/>
          <w:b/>
        </w:rPr>
        <w:t xml:space="preserve">EU: </w:t>
      </w:r>
      <w:r w:rsidRPr="008902F2">
        <w:rPr>
          <w:rFonts w:ascii="Times New Roman" w:eastAsiaTheme="minorHAnsi" w:hAnsi="Times New Roman"/>
        </w:rPr>
        <w:t>European Union</w:t>
      </w:r>
    </w:p>
    <w:p w14:paraId="4D5828B5" w14:textId="77777777" w:rsidR="003528E3" w:rsidRPr="008902F2" w:rsidRDefault="003528E3" w:rsidP="00A02EDE">
      <w:pPr>
        <w:spacing w:after="100"/>
        <w:rPr>
          <w:rFonts w:ascii="Times New Roman" w:eastAsiaTheme="minorHAnsi" w:hAnsi="Times New Roman"/>
          <w:bCs/>
          <w:color w:val="000000" w:themeColor="text1"/>
        </w:rPr>
      </w:pPr>
      <w:r w:rsidRPr="008902F2">
        <w:rPr>
          <w:rFonts w:ascii="Times New Roman" w:eastAsiaTheme="minorHAnsi" w:hAnsi="Times New Roman"/>
          <w:b/>
          <w:bCs/>
          <w:color w:val="000000" w:themeColor="text1"/>
        </w:rPr>
        <w:t xml:space="preserve">AG: </w:t>
      </w:r>
      <w:r w:rsidRPr="008902F2">
        <w:rPr>
          <w:rFonts w:ascii="Times New Roman" w:eastAsiaTheme="minorHAnsi" w:hAnsi="Times New Roman"/>
          <w:bCs/>
          <w:color w:val="000000" w:themeColor="text1"/>
        </w:rPr>
        <w:t>Low Voltage</w:t>
      </w:r>
    </w:p>
    <w:p w14:paraId="594285F0" w14:textId="5661BBC4"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rPr>
        <w:t xml:space="preserve">Ministry: </w:t>
      </w:r>
      <w:r w:rsidRPr="008902F2">
        <w:rPr>
          <w:rFonts w:ascii="Times New Roman" w:eastAsiaTheme="minorHAnsi" w:hAnsi="Times New Roman"/>
        </w:rPr>
        <w:t>Ministry of Energy and Natural Resources</w:t>
      </w:r>
    </w:p>
    <w:p w14:paraId="495623BC" w14:textId="77777777"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rPr>
        <w:t>ISMS:</w:t>
      </w:r>
      <w:r w:rsidRPr="008902F2">
        <w:rPr>
          <w:rFonts w:ascii="Times New Roman" w:eastAsiaTheme="minorHAnsi" w:hAnsi="Times New Roman"/>
        </w:rPr>
        <w:t xml:space="preserve"> Information Security Management System</w:t>
      </w:r>
    </w:p>
    <w:p w14:paraId="34B2CE55" w14:textId="77777777" w:rsidR="003528E3" w:rsidRPr="008902F2" w:rsidRDefault="003528E3" w:rsidP="00A02EDE">
      <w:pPr>
        <w:spacing w:after="100"/>
        <w:rPr>
          <w:rFonts w:ascii="Times New Roman" w:eastAsiaTheme="minorHAnsi" w:hAnsi="Times New Roman"/>
          <w:color w:val="000000" w:themeColor="text1"/>
        </w:rPr>
      </w:pPr>
      <w:r w:rsidRPr="008902F2">
        <w:rPr>
          <w:rFonts w:ascii="Times New Roman" w:eastAsiaTheme="minorHAnsi" w:hAnsi="Times New Roman"/>
          <w:b/>
          <w:color w:val="000000" w:themeColor="text1"/>
        </w:rPr>
        <w:t xml:space="preserve">BOTAŞ: </w:t>
      </w:r>
      <w:hyperlink r:id="rId11" w:tgtFrame="_blank" w:history="1">
        <w:r w:rsidRPr="008902F2">
          <w:rPr>
            <w:rFonts w:ascii="Times New Roman" w:eastAsiaTheme="minorHAnsi" w:hAnsi="Times New Roman"/>
            <w:color w:val="000000" w:themeColor="text1"/>
          </w:rPr>
          <w:t>Petroleum Transport by Pipelines Joint Stock Company</w:t>
        </w:r>
      </w:hyperlink>
    </w:p>
    <w:p w14:paraId="03865811" w14:textId="77777777" w:rsidR="00FD2C95" w:rsidRPr="008902F2" w:rsidRDefault="00FD2C95" w:rsidP="00A02EDE">
      <w:pPr>
        <w:spacing w:after="100"/>
        <w:rPr>
          <w:rFonts w:ascii="Times New Roman" w:eastAsiaTheme="minorHAnsi" w:hAnsi="Times New Roman"/>
          <w:b/>
          <w:color w:val="000000" w:themeColor="text1"/>
        </w:rPr>
      </w:pPr>
      <w:r w:rsidRPr="008902F2">
        <w:rPr>
          <w:rFonts w:ascii="Times New Roman" w:eastAsiaTheme="minorHAnsi" w:hAnsi="Times New Roman"/>
          <w:b/>
          <w:color w:val="000000" w:themeColor="text1"/>
        </w:rPr>
        <w:t xml:space="preserve">CIMER: </w:t>
      </w:r>
      <w:r w:rsidRPr="008902F2">
        <w:rPr>
          <w:rFonts w:ascii="Times New Roman" w:eastAsiaTheme="minorHAnsi" w:hAnsi="Times New Roman"/>
          <w:color w:val="000000" w:themeColor="text1"/>
        </w:rPr>
        <w:t>Presidential Communication Center</w:t>
      </w:r>
    </w:p>
    <w:p w14:paraId="0A22743E" w14:textId="77777777" w:rsidR="003528E3" w:rsidRPr="008902F2" w:rsidRDefault="003528E3" w:rsidP="00A02EDE">
      <w:pPr>
        <w:spacing w:after="100"/>
        <w:rPr>
          <w:rFonts w:ascii="Times New Roman" w:eastAsiaTheme="minorHAnsi" w:hAnsi="Times New Roman"/>
          <w:bCs/>
          <w:color w:val="000000" w:themeColor="text1"/>
        </w:rPr>
      </w:pPr>
      <w:r w:rsidRPr="008902F2">
        <w:rPr>
          <w:rFonts w:ascii="Times New Roman" w:eastAsiaTheme="minorHAnsi" w:hAnsi="Times New Roman"/>
          <w:b/>
          <w:bCs/>
          <w:color w:val="000000" w:themeColor="text1"/>
        </w:rPr>
        <w:t>CNG:</w:t>
      </w:r>
      <w:r w:rsidRPr="008902F2">
        <w:rPr>
          <w:rFonts w:ascii="Times New Roman" w:eastAsiaTheme="minorHAnsi" w:hAnsi="Times New Roman"/>
          <w:bCs/>
          <w:color w:val="000000" w:themeColor="text1"/>
        </w:rPr>
        <w:t xml:space="preserve"> Compressed Natural Gas</w:t>
      </w:r>
    </w:p>
    <w:p w14:paraId="2A32636C" w14:textId="77777777" w:rsidR="008C0C45" w:rsidRPr="008902F2" w:rsidRDefault="008C0C45" w:rsidP="00A02EDE">
      <w:pPr>
        <w:spacing w:after="100"/>
        <w:rPr>
          <w:rFonts w:ascii="Times New Roman" w:eastAsiaTheme="minorHAnsi" w:hAnsi="Times New Roman"/>
          <w:bCs/>
          <w:color w:val="000000" w:themeColor="text1"/>
        </w:rPr>
      </w:pPr>
      <w:r w:rsidRPr="008902F2">
        <w:rPr>
          <w:rFonts w:ascii="Times New Roman" w:eastAsiaTheme="minorHAnsi" w:hAnsi="Times New Roman"/>
          <w:b/>
          <w:bCs/>
          <w:color w:val="000000" w:themeColor="text1"/>
        </w:rPr>
        <w:t>WTO:</w:t>
      </w:r>
      <w:r w:rsidRPr="008902F2">
        <w:rPr>
          <w:rFonts w:ascii="Times New Roman" w:eastAsiaTheme="minorHAnsi" w:hAnsi="Times New Roman"/>
          <w:bCs/>
          <w:color w:val="000000" w:themeColor="text1"/>
        </w:rPr>
        <w:t xml:space="preserve"> World Trade Organization</w:t>
      </w:r>
    </w:p>
    <w:p w14:paraId="57915969" w14:textId="7CAF4B1E" w:rsidR="003528E3" w:rsidRPr="008902F2" w:rsidRDefault="6465F613" w:rsidP="6F691FB8">
      <w:pPr>
        <w:spacing w:after="100"/>
        <w:rPr>
          <w:rFonts w:ascii="Times New Roman" w:eastAsiaTheme="minorEastAsia" w:hAnsi="Times New Roman"/>
        </w:rPr>
      </w:pPr>
      <w:r w:rsidRPr="008902F2">
        <w:rPr>
          <w:rFonts w:ascii="Times New Roman" w:eastAsiaTheme="minorEastAsia" w:hAnsi="Times New Roman"/>
          <w:b/>
          <w:bCs/>
        </w:rPr>
        <w:t>E</w:t>
      </w:r>
      <w:r w:rsidR="2AF558AC" w:rsidRPr="008902F2">
        <w:rPr>
          <w:rFonts w:ascii="Times New Roman" w:eastAsiaTheme="minorEastAsia" w:hAnsi="Times New Roman"/>
          <w:b/>
          <w:bCs/>
        </w:rPr>
        <w:t>MNS</w:t>
      </w:r>
      <w:r w:rsidRPr="008902F2">
        <w:rPr>
          <w:rFonts w:ascii="Times New Roman" w:eastAsiaTheme="minorEastAsia" w:hAnsi="Times New Roman"/>
          <w:b/>
          <w:bCs/>
        </w:rPr>
        <w:t>:</w:t>
      </w:r>
      <w:r w:rsidRPr="008902F2">
        <w:rPr>
          <w:rFonts w:ascii="Times New Roman" w:eastAsiaTheme="minorEastAsia" w:hAnsi="Times New Roman"/>
        </w:rPr>
        <w:t xml:space="preserve"> Energy Market Notification System</w:t>
      </w:r>
    </w:p>
    <w:p w14:paraId="0E532A9C" w14:textId="37D66430" w:rsidR="003528E3" w:rsidRPr="008902F2" w:rsidRDefault="6465F613" w:rsidP="6F691FB8">
      <w:pPr>
        <w:spacing w:after="100"/>
        <w:rPr>
          <w:rFonts w:ascii="Times New Roman" w:eastAsiaTheme="minorEastAsia" w:hAnsi="Times New Roman"/>
        </w:rPr>
      </w:pPr>
      <w:r w:rsidRPr="008902F2">
        <w:rPr>
          <w:rFonts w:ascii="Times New Roman" w:eastAsia="Times New Roman" w:hAnsi="Times New Roman"/>
          <w:b/>
          <w:bCs/>
          <w:color w:val="000000" w:themeColor="text1"/>
        </w:rPr>
        <w:t>E</w:t>
      </w:r>
      <w:r w:rsidR="08F5D1E1" w:rsidRPr="008902F2">
        <w:rPr>
          <w:rFonts w:ascii="Times New Roman" w:eastAsia="Times New Roman" w:hAnsi="Times New Roman"/>
          <w:b/>
          <w:bCs/>
          <w:color w:val="000000" w:themeColor="text1"/>
        </w:rPr>
        <w:t>DMS</w:t>
      </w:r>
      <w:r w:rsidRPr="008902F2">
        <w:rPr>
          <w:rFonts w:ascii="Times New Roman" w:eastAsia="Times New Roman" w:hAnsi="Times New Roman"/>
          <w:b/>
          <w:bCs/>
          <w:color w:val="000000" w:themeColor="text1"/>
        </w:rPr>
        <w:t xml:space="preserve">: </w:t>
      </w:r>
      <w:r w:rsidRPr="008902F2">
        <w:rPr>
          <w:rFonts w:ascii="Times New Roman" w:eastAsiaTheme="minorEastAsia" w:hAnsi="Times New Roman"/>
        </w:rPr>
        <w:t>Electronic Document Management System</w:t>
      </w:r>
    </w:p>
    <w:p w14:paraId="5F048EC2" w14:textId="77777777" w:rsidR="008C0C45" w:rsidRPr="008902F2" w:rsidRDefault="008C0C45" w:rsidP="00A02EDE">
      <w:pPr>
        <w:spacing w:after="100"/>
        <w:rPr>
          <w:rFonts w:ascii="Times New Roman" w:eastAsiaTheme="minorHAnsi" w:hAnsi="Times New Roman"/>
        </w:rPr>
      </w:pPr>
      <w:r w:rsidRPr="008902F2">
        <w:rPr>
          <w:rFonts w:ascii="Times New Roman" w:eastAsiaTheme="minorHAnsi" w:hAnsi="Times New Roman"/>
          <w:b/>
        </w:rPr>
        <w:t xml:space="preserve">ECRB: </w:t>
      </w:r>
      <w:r w:rsidRPr="008902F2">
        <w:rPr>
          <w:rFonts w:ascii="Times New Roman" w:eastAsiaTheme="minorHAnsi" w:hAnsi="Times New Roman"/>
        </w:rPr>
        <w:t>Energy Community Regulatory Board</w:t>
      </w:r>
    </w:p>
    <w:p w14:paraId="4022714C" w14:textId="77777777" w:rsidR="00FD2C95" w:rsidRPr="008902F2" w:rsidRDefault="00FD2C95" w:rsidP="00A02EDE">
      <w:pPr>
        <w:spacing w:after="100"/>
        <w:rPr>
          <w:rFonts w:ascii="Times New Roman" w:hAnsi="Times New Roman"/>
        </w:rPr>
      </w:pPr>
      <w:r w:rsidRPr="008902F2">
        <w:rPr>
          <w:rFonts w:ascii="Times New Roman" w:hAnsi="Times New Roman"/>
          <w:b/>
        </w:rPr>
        <w:t xml:space="preserve">EGE-PAL: </w:t>
      </w:r>
      <w:r w:rsidRPr="008902F2">
        <w:rPr>
          <w:rFonts w:ascii="Times New Roman" w:hAnsi="Times New Roman"/>
        </w:rPr>
        <w:t>Ege University- Petroleum Research Laboratory</w:t>
      </w:r>
    </w:p>
    <w:p w14:paraId="2F424E7E" w14:textId="77777777" w:rsidR="008C0C45" w:rsidRPr="008902F2" w:rsidRDefault="008C0C45" w:rsidP="00A02EDE">
      <w:pPr>
        <w:spacing w:after="100"/>
        <w:rPr>
          <w:rFonts w:ascii="Times New Roman" w:hAnsi="Times New Roman"/>
        </w:rPr>
      </w:pPr>
      <w:r w:rsidRPr="008902F2">
        <w:rPr>
          <w:rFonts w:ascii="Times New Roman" w:hAnsi="Times New Roman"/>
          <w:b/>
        </w:rPr>
        <w:t xml:space="preserve">ECO: </w:t>
      </w:r>
      <w:r w:rsidRPr="008902F2">
        <w:rPr>
          <w:rFonts w:ascii="Times New Roman" w:hAnsi="Times New Roman"/>
        </w:rPr>
        <w:t>Economic Cooperation Organization</w:t>
      </w:r>
    </w:p>
    <w:p w14:paraId="02BAA6B8" w14:textId="75D8DD9D" w:rsidR="003528E3" w:rsidRPr="008902F2" w:rsidRDefault="6465F613" w:rsidP="6F691FB8">
      <w:pPr>
        <w:spacing w:after="100"/>
        <w:rPr>
          <w:rFonts w:ascii="Times New Roman" w:eastAsiaTheme="minorEastAsia" w:hAnsi="Times New Roman"/>
        </w:rPr>
      </w:pPr>
      <w:r w:rsidRPr="008902F2">
        <w:rPr>
          <w:rFonts w:ascii="Times New Roman" w:eastAsiaTheme="minorEastAsia" w:hAnsi="Times New Roman"/>
          <w:b/>
          <w:bCs/>
        </w:rPr>
        <w:t>ENTSO-E:</w:t>
      </w:r>
      <w:r w:rsidRPr="008902F2">
        <w:rPr>
          <w:rFonts w:ascii="Times New Roman" w:eastAsiaTheme="minorEastAsia" w:hAnsi="Times New Roman"/>
        </w:rPr>
        <w:t xml:space="preserve"> European </w:t>
      </w:r>
      <w:r w:rsidR="6B0EF9AC" w:rsidRPr="008902F2">
        <w:rPr>
          <w:rFonts w:ascii="Times New Roman" w:eastAsiaTheme="minorEastAsia" w:hAnsi="Times New Roman"/>
        </w:rPr>
        <w:t xml:space="preserve">Network of </w:t>
      </w:r>
      <w:r w:rsidR="06B7B426" w:rsidRPr="008902F2">
        <w:rPr>
          <w:rFonts w:ascii="Times New Roman" w:eastAsiaTheme="minorEastAsia" w:hAnsi="Times New Roman"/>
        </w:rPr>
        <w:t xml:space="preserve">Transmission </w:t>
      </w:r>
      <w:r w:rsidRPr="008902F2">
        <w:rPr>
          <w:rFonts w:ascii="Times New Roman" w:eastAsiaTheme="minorEastAsia" w:hAnsi="Times New Roman"/>
        </w:rPr>
        <w:t>System Operators for Electricity</w:t>
      </w:r>
    </w:p>
    <w:p w14:paraId="5B9F2251" w14:textId="52A8BF8B" w:rsidR="003528E3" w:rsidRPr="008902F2" w:rsidRDefault="6465F613" w:rsidP="6F691FB8">
      <w:pPr>
        <w:spacing w:after="100"/>
        <w:rPr>
          <w:rFonts w:ascii="Times New Roman" w:eastAsiaTheme="minorEastAsia" w:hAnsi="Times New Roman"/>
        </w:rPr>
      </w:pPr>
      <w:r w:rsidRPr="008902F2">
        <w:rPr>
          <w:rFonts w:ascii="Times New Roman" w:eastAsiaTheme="minorEastAsia" w:hAnsi="Times New Roman"/>
          <w:b/>
          <w:bCs/>
        </w:rPr>
        <w:t>E</w:t>
      </w:r>
      <w:r w:rsidR="49FF3B94" w:rsidRPr="008902F2">
        <w:rPr>
          <w:rFonts w:ascii="Times New Roman" w:eastAsiaTheme="minorEastAsia" w:hAnsi="Times New Roman"/>
          <w:b/>
          <w:bCs/>
        </w:rPr>
        <w:t>M</w:t>
      </w:r>
      <w:r w:rsidRPr="008902F2">
        <w:rPr>
          <w:rFonts w:ascii="Times New Roman" w:eastAsiaTheme="minorEastAsia" w:hAnsi="Times New Roman"/>
          <w:b/>
          <w:bCs/>
        </w:rPr>
        <w:t>ARS:</w:t>
      </w:r>
      <w:r w:rsidRPr="008902F2">
        <w:rPr>
          <w:rFonts w:ascii="Times New Roman" w:eastAsiaTheme="minorEastAsia" w:hAnsi="Times New Roman"/>
        </w:rPr>
        <w:t xml:space="preserve"> Energy Market Analysis and Reporting System</w:t>
      </w:r>
    </w:p>
    <w:p w14:paraId="192BB41C" w14:textId="4B7E51ED" w:rsidR="003528E3" w:rsidRPr="008902F2" w:rsidRDefault="6465F613" w:rsidP="6F691FB8">
      <w:pPr>
        <w:spacing w:after="100"/>
        <w:rPr>
          <w:rFonts w:ascii="Times New Roman" w:eastAsiaTheme="minorEastAsia" w:hAnsi="Times New Roman"/>
          <w:color w:val="000000" w:themeColor="text1"/>
        </w:rPr>
      </w:pPr>
      <w:r w:rsidRPr="008902F2">
        <w:rPr>
          <w:rFonts w:ascii="Times New Roman" w:eastAsiaTheme="minorEastAsia" w:hAnsi="Times New Roman"/>
          <w:b/>
          <w:bCs/>
        </w:rPr>
        <w:t xml:space="preserve">EPİAŞ: </w:t>
      </w:r>
      <w:r w:rsidRPr="008902F2">
        <w:rPr>
          <w:rFonts w:ascii="Times New Roman" w:eastAsia="ヒラギノ明朝 Pro W3" w:hAnsi="Times New Roman"/>
        </w:rPr>
        <w:t xml:space="preserve">Energy Markets </w:t>
      </w:r>
      <w:r w:rsidR="2ECB6AB6" w:rsidRPr="008902F2">
        <w:rPr>
          <w:rFonts w:ascii="Times New Roman" w:eastAsia="ヒラギノ明朝 Pro W3" w:hAnsi="Times New Roman"/>
        </w:rPr>
        <w:t xml:space="preserve">Operation </w:t>
      </w:r>
      <w:r w:rsidRPr="008902F2">
        <w:rPr>
          <w:rFonts w:ascii="Times New Roman" w:eastAsia="ヒラギノ明朝 Pro W3" w:hAnsi="Times New Roman"/>
        </w:rPr>
        <w:t>Joint Stock Company</w:t>
      </w:r>
    </w:p>
    <w:p w14:paraId="2857BED3" w14:textId="7C737D9D" w:rsidR="003528E3" w:rsidRPr="008902F2" w:rsidRDefault="6465F613" w:rsidP="6F691FB8">
      <w:pPr>
        <w:spacing w:after="100"/>
        <w:rPr>
          <w:rFonts w:ascii="Times New Roman" w:eastAsiaTheme="minorEastAsia" w:hAnsi="Times New Roman"/>
        </w:rPr>
      </w:pPr>
      <w:r w:rsidRPr="008902F2">
        <w:rPr>
          <w:rFonts w:ascii="Times New Roman" w:eastAsiaTheme="minorEastAsia" w:hAnsi="Times New Roman"/>
          <w:b/>
          <w:bCs/>
        </w:rPr>
        <w:t>E</w:t>
      </w:r>
      <w:r w:rsidR="7C5AD008" w:rsidRPr="008902F2">
        <w:rPr>
          <w:rFonts w:ascii="Times New Roman" w:eastAsiaTheme="minorEastAsia" w:hAnsi="Times New Roman"/>
          <w:b/>
          <w:bCs/>
        </w:rPr>
        <w:t>MDBMS</w:t>
      </w:r>
      <w:r w:rsidRPr="008902F2">
        <w:rPr>
          <w:rFonts w:ascii="Times New Roman" w:eastAsiaTheme="minorEastAsia" w:hAnsi="Times New Roman"/>
          <w:b/>
          <w:bCs/>
        </w:rPr>
        <w:t xml:space="preserve">: </w:t>
      </w:r>
      <w:r w:rsidRPr="008902F2">
        <w:rPr>
          <w:rFonts w:ascii="Times New Roman" w:eastAsiaTheme="minorEastAsia" w:hAnsi="Times New Roman"/>
        </w:rPr>
        <w:t>Energy Market Database Management System</w:t>
      </w:r>
    </w:p>
    <w:p w14:paraId="0AA00D17" w14:textId="1AAA411B" w:rsidR="003528E3" w:rsidRPr="008902F2" w:rsidRDefault="55B574E7" w:rsidP="00A02EDE">
      <w:pPr>
        <w:spacing w:after="100"/>
        <w:rPr>
          <w:rFonts w:ascii="Times New Roman" w:eastAsia="Times New Roman" w:hAnsi="Times New Roman"/>
          <w:lang w:eastAsia="tr-TR"/>
        </w:rPr>
      </w:pPr>
      <w:r w:rsidRPr="008902F2">
        <w:rPr>
          <w:rFonts w:ascii="Times New Roman" w:eastAsiaTheme="minorEastAsia" w:hAnsi="Times New Roman"/>
          <w:b/>
          <w:bCs/>
        </w:rPr>
        <w:t>RAER</w:t>
      </w:r>
      <w:r w:rsidR="6465F613" w:rsidRPr="008902F2">
        <w:rPr>
          <w:rFonts w:ascii="Times New Roman" w:eastAsiaTheme="minorEastAsia" w:hAnsi="Times New Roman"/>
          <w:b/>
          <w:bCs/>
        </w:rPr>
        <w:t xml:space="preserve">: </w:t>
      </w:r>
      <w:r w:rsidR="6465F613" w:rsidRPr="008902F2">
        <w:rPr>
          <w:rFonts w:ascii="Times New Roman" w:eastAsia="Times New Roman" w:hAnsi="Times New Roman"/>
        </w:rPr>
        <w:t>Regional Association of Energy Regulators</w:t>
      </w:r>
    </w:p>
    <w:p w14:paraId="3F9EDE43" w14:textId="77777777" w:rsidR="009E6287" w:rsidRPr="008902F2" w:rsidRDefault="009E6287" w:rsidP="00A02EDE">
      <w:pPr>
        <w:spacing w:after="100"/>
        <w:rPr>
          <w:rFonts w:ascii="Times New Roman" w:eastAsiaTheme="minorHAnsi" w:hAnsi="Times New Roman"/>
          <w:b/>
        </w:rPr>
      </w:pPr>
      <w:r w:rsidRPr="008902F2">
        <w:rPr>
          <w:rFonts w:ascii="Times New Roman" w:eastAsiaTheme="minorHAnsi" w:hAnsi="Times New Roman"/>
          <w:b/>
        </w:rPr>
        <w:t xml:space="preserve">ICER: </w:t>
      </w:r>
      <w:r w:rsidR="00797745" w:rsidRPr="008902F2">
        <w:rPr>
          <w:rFonts w:ascii="Times New Roman" w:eastAsiaTheme="minorHAnsi" w:hAnsi="Times New Roman"/>
        </w:rPr>
        <w:t>International Confederation of Energy Regulators</w:t>
      </w:r>
    </w:p>
    <w:p w14:paraId="315F6B21" w14:textId="77777777" w:rsidR="00D42084" w:rsidRPr="008902F2" w:rsidRDefault="00D42084" w:rsidP="00A02EDE">
      <w:pPr>
        <w:spacing w:after="100"/>
        <w:rPr>
          <w:rFonts w:ascii="Times New Roman" w:eastAsiaTheme="minorHAnsi" w:hAnsi="Times New Roman"/>
        </w:rPr>
      </w:pPr>
      <w:r w:rsidRPr="008902F2">
        <w:rPr>
          <w:rFonts w:ascii="Times New Roman" w:eastAsiaTheme="minorHAnsi" w:hAnsi="Times New Roman"/>
          <w:b/>
        </w:rPr>
        <w:t>KBK:</w:t>
      </w:r>
      <w:r w:rsidRPr="008902F2">
        <w:rPr>
          <w:rFonts w:ascii="Times New Roman" w:eastAsiaTheme="minorHAnsi" w:hAnsi="Times New Roman"/>
        </w:rPr>
        <w:t xml:space="preserve"> Coefficient Determined by the Board</w:t>
      </w:r>
    </w:p>
    <w:p w14:paraId="3CD37487" w14:textId="3E8F783F" w:rsidR="009E6287" w:rsidRPr="008902F2" w:rsidRDefault="464A83A7" w:rsidP="00A02EDE">
      <w:pPr>
        <w:spacing w:after="100"/>
        <w:rPr>
          <w:rFonts w:ascii="Times New Roman" w:hAnsi="Times New Roman"/>
        </w:rPr>
      </w:pPr>
      <w:r w:rsidRPr="008902F2">
        <w:rPr>
          <w:rFonts w:ascii="Times New Roman" w:hAnsi="Times New Roman"/>
          <w:b/>
          <w:bCs/>
        </w:rPr>
        <w:t xml:space="preserve">BSEC: </w:t>
      </w:r>
      <w:r w:rsidRPr="008902F2">
        <w:rPr>
          <w:rFonts w:ascii="Times New Roman" w:hAnsi="Times New Roman"/>
        </w:rPr>
        <w:t>Black Sea Economic Cooperatio</w:t>
      </w:r>
      <w:r w:rsidR="4B8B0F69" w:rsidRPr="008902F2">
        <w:rPr>
          <w:rFonts w:ascii="Times New Roman" w:hAnsi="Times New Roman"/>
        </w:rPr>
        <w:t>n</w:t>
      </w:r>
    </w:p>
    <w:p w14:paraId="24AEB696" w14:textId="73A76CB5" w:rsidR="00FD2C95" w:rsidRPr="008902F2" w:rsidRDefault="0F501F90" w:rsidP="00A02EDE">
      <w:pPr>
        <w:spacing w:after="100"/>
        <w:rPr>
          <w:rFonts w:ascii="Times New Roman" w:hAnsi="Times New Roman"/>
        </w:rPr>
      </w:pPr>
      <w:r w:rsidRPr="008902F2">
        <w:rPr>
          <w:rFonts w:ascii="Times New Roman" w:hAnsi="Times New Roman"/>
          <w:b/>
          <w:bCs/>
        </w:rPr>
        <w:t>REM</w:t>
      </w:r>
      <w:r w:rsidR="62DEAC67" w:rsidRPr="008902F2">
        <w:rPr>
          <w:rFonts w:ascii="Times New Roman" w:hAnsi="Times New Roman"/>
          <w:b/>
          <w:bCs/>
        </w:rPr>
        <w:t xml:space="preserve">: </w:t>
      </w:r>
      <w:r w:rsidR="62DEAC67" w:rsidRPr="008902F2">
        <w:rPr>
          <w:rFonts w:ascii="Times New Roman" w:hAnsi="Times New Roman"/>
        </w:rPr>
        <w:t>Registered Electronic Mail</w:t>
      </w:r>
    </w:p>
    <w:p w14:paraId="6562FE19" w14:textId="71CD4F53" w:rsidR="00D045F0" w:rsidRPr="008902F2" w:rsidRDefault="2EA20A72" w:rsidP="6F691FB8">
      <w:pPr>
        <w:spacing w:after="100"/>
        <w:rPr>
          <w:rFonts w:ascii="Times New Roman" w:hAnsi="Times New Roman"/>
          <w:b/>
          <w:bCs/>
        </w:rPr>
      </w:pPr>
      <w:r w:rsidRPr="008902F2">
        <w:rPr>
          <w:rFonts w:ascii="Times New Roman" w:hAnsi="Times New Roman"/>
          <w:b/>
          <w:bCs/>
        </w:rPr>
        <w:t>ERP</w:t>
      </w:r>
      <w:r w:rsidR="51B96574" w:rsidRPr="008902F2">
        <w:rPr>
          <w:rFonts w:ascii="Times New Roman" w:hAnsi="Times New Roman"/>
          <w:b/>
          <w:bCs/>
        </w:rPr>
        <w:t>:</w:t>
      </w:r>
      <w:r w:rsidR="51B96574" w:rsidRPr="008902F2">
        <w:rPr>
          <w:rFonts w:ascii="Times New Roman" w:hAnsi="Times New Roman"/>
        </w:rPr>
        <w:t xml:space="preserve"> Enterprise Resource Planning</w:t>
      </w:r>
    </w:p>
    <w:p w14:paraId="1ED7C50C" w14:textId="77777777"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rPr>
        <w:t>Board:</w:t>
      </w:r>
      <w:r w:rsidRPr="008902F2">
        <w:rPr>
          <w:rFonts w:ascii="Times New Roman" w:eastAsiaTheme="minorHAnsi" w:hAnsi="Times New Roman"/>
        </w:rPr>
        <w:t xml:space="preserve"> Energy Market Regulatory Board</w:t>
      </w:r>
    </w:p>
    <w:p w14:paraId="62DF3C99" w14:textId="15B3253C" w:rsidR="003528E3" w:rsidRPr="008902F2" w:rsidRDefault="6465F613" w:rsidP="6F691FB8">
      <w:pPr>
        <w:spacing w:after="100"/>
        <w:rPr>
          <w:rFonts w:ascii="Times New Roman" w:eastAsiaTheme="minorEastAsia" w:hAnsi="Times New Roman"/>
        </w:rPr>
      </w:pPr>
      <w:r w:rsidRPr="008902F2">
        <w:rPr>
          <w:rFonts w:ascii="Times New Roman" w:eastAsiaTheme="minorEastAsia" w:hAnsi="Times New Roman"/>
          <w:b/>
          <w:bCs/>
        </w:rPr>
        <w:t>Authority/E</w:t>
      </w:r>
      <w:r w:rsidR="19B05996" w:rsidRPr="008902F2">
        <w:rPr>
          <w:rFonts w:ascii="Times New Roman" w:eastAsiaTheme="minorEastAsia" w:hAnsi="Times New Roman"/>
          <w:b/>
          <w:bCs/>
        </w:rPr>
        <w:t>PDK</w:t>
      </w:r>
      <w:r w:rsidRPr="008902F2">
        <w:rPr>
          <w:rFonts w:ascii="Times New Roman" w:eastAsiaTheme="minorEastAsia" w:hAnsi="Times New Roman"/>
          <w:b/>
          <w:bCs/>
        </w:rPr>
        <w:t>:</w:t>
      </w:r>
      <w:r w:rsidRPr="008902F2">
        <w:rPr>
          <w:rFonts w:ascii="Times New Roman" w:eastAsiaTheme="minorEastAsia" w:hAnsi="Times New Roman"/>
        </w:rPr>
        <w:t xml:space="preserve"> Energy Market Regulatory Authority</w:t>
      </w:r>
    </w:p>
    <w:p w14:paraId="3D04AA41" w14:textId="77777777" w:rsidR="003528E3" w:rsidRPr="008902F2" w:rsidRDefault="003528E3" w:rsidP="00A02EDE">
      <w:pPr>
        <w:spacing w:after="100"/>
        <w:rPr>
          <w:rFonts w:ascii="Times New Roman" w:eastAsiaTheme="minorHAnsi" w:hAnsi="Times New Roman"/>
          <w:bCs/>
          <w:color w:val="000000" w:themeColor="text1"/>
        </w:rPr>
      </w:pPr>
      <w:r w:rsidRPr="008902F2">
        <w:rPr>
          <w:rFonts w:ascii="Times New Roman" w:eastAsiaTheme="minorHAnsi" w:hAnsi="Times New Roman"/>
          <w:b/>
        </w:rPr>
        <w:t xml:space="preserve">LNG: </w:t>
      </w:r>
      <w:r w:rsidRPr="008902F2">
        <w:rPr>
          <w:rFonts w:ascii="Times New Roman" w:eastAsiaTheme="minorHAnsi" w:hAnsi="Times New Roman"/>
          <w:color w:val="000000" w:themeColor="text1"/>
        </w:rPr>
        <w:t>Liquefied Natural Gas</w:t>
      </w:r>
    </w:p>
    <w:p w14:paraId="4B7A4086" w14:textId="77777777"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color w:val="000000" w:themeColor="text1"/>
        </w:rPr>
        <w:t xml:space="preserve">LPG: </w:t>
      </w:r>
      <w:r w:rsidRPr="008902F2">
        <w:rPr>
          <w:rFonts w:ascii="Times New Roman" w:eastAsiaTheme="minorHAnsi" w:hAnsi="Times New Roman"/>
        </w:rPr>
        <w:t>Liquefied Petroleum Gases</w:t>
      </w:r>
    </w:p>
    <w:p w14:paraId="4E4551DF" w14:textId="11D8A25E" w:rsidR="00727E8D" w:rsidRPr="008902F2" w:rsidRDefault="79EA02D1" w:rsidP="6F691FB8">
      <w:pPr>
        <w:spacing w:after="100"/>
        <w:rPr>
          <w:rFonts w:ascii="Times New Roman" w:eastAsiaTheme="minorEastAsia" w:hAnsi="Times New Roman"/>
        </w:rPr>
      </w:pPr>
      <w:r w:rsidRPr="008902F2">
        <w:rPr>
          <w:rFonts w:ascii="Times New Roman" w:eastAsiaTheme="minorEastAsia" w:hAnsi="Times New Roman"/>
          <w:b/>
          <w:bCs/>
        </w:rPr>
        <w:t xml:space="preserve">LUY: </w:t>
      </w:r>
      <w:r w:rsidR="3A83E889" w:rsidRPr="008902F2">
        <w:rPr>
          <w:rFonts w:ascii="Times New Roman" w:eastAsiaTheme="minorEastAsia" w:hAnsi="Times New Roman"/>
        </w:rPr>
        <w:t>Regulation</w:t>
      </w:r>
      <w:r w:rsidRPr="008902F2">
        <w:rPr>
          <w:rFonts w:ascii="Times New Roman" w:eastAsiaTheme="minorEastAsia" w:hAnsi="Times New Roman"/>
          <w:b/>
          <w:bCs/>
        </w:rPr>
        <w:t xml:space="preserve"> </w:t>
      </w:r>
      <w:r w:rsidR="3C568E25" w:rsidRPr="008902F2">
        <w:rPr>
          <w:rFonts w:ascii="Times New Roman" w:eastAsiaTheme="minorEastAsia" w:hAnsi="Times New Roman"/>
        </w:rPr>
        <w:t>on Unlicensed Electricity Production in the Electricity Market</w:t>
      </w:r>
    </w:p>
    <w:p w14:paraId="34FA0821" w14:textId="479CCCB6" w:rsidR="009E6287" w:rsidRPr="008902F2" w:rsidRDefault="6465F613" w:rsidP="6F691FB8">
      <w:pPr>
        <w:spacing w:after="100"/>
        <w:rPr>
          <w:rFonts w:ascii="Times New Roman" w:eastAsia="Times New Roman" w:hAnsi="Times New Roman"/>
          <w:lang w:eastAsia="tr-TR"/>
        </w:rPr>
      </w:pPr>
      <w:r w:rsidRPr="008902F2">
        <w:rPr>
          <w:rFonts w:ascii="Times New Roman" w:eastAsia="Times New Roman" w:hAnsi="Times New Roman"/>
          <w:b/>
          <w:bCs/>
        </w:rPr>
        <w:t>MEDREG:</w:t>
      </w:r>
      <w:r w:rsidRPr="008902F2">
        <w:rPr>
          <w:rFonts w:ascii="Times New Roman" w:eastAsia="Times New Roman" w:hAnsi="Times New Roman"/>
        </w:rPr>
        <w:t xml:space="preserve"> </w:t>
      </w:r>
      <w:r w:rsidR="0C56C809" w:rsidRPr="008902F2">
        <w:rPr>
          <w:rFonts w:ascii="Times New Roman" w:eastAsia="Times New Roman" w:hAnsi="Times New Roman"/>
          <w:color w:val="000000" w:themeColor="text1"/>
          <w:lang w:val="en-US"/>
        </w:rPr>
        <w:t>Mediterranean Electricity and Gas Regulators Association</w:t>
      </w:r>
      <w:r w:rsidR="0C56C809" w:rsidRPr="008902F2">
        <w:rPr>
          <w:rFonts w:ascii="Times New Roman" w:hAnsi="Times New Roman"/>
        </w:rPr>
        <w:t xml:space="preserve"> </w:t>
      </w:r>
    </w:p>
    <w:p w14:paraId="0A2E537D" w14:textId="1FED0FFE" w:rsidR="009E6287" w:rsidRPr="008902F2" w:rsidRDefault="464A83A7" w:rsidP="00A02EDE">
      <w:pPr>
        <w:spacing w:after="100"/>
        <w:rPr>
          <w:rFonts w:ascii="Times New Roman" w:eastAsia="Times New Roman" w:hAnsi="Times New Roman"/>
          <w:lang w:eastAsia="tr-TR"/>
        </w:rPr>
      </w:pPr>
      <w:r w:rsidRPr="008902F2">
        <w:rPr>
          <w:rFonts w:ascii="Times New Roman" w:eastAsia="Times New Roman" w:hAnsi="Times New Roman"/>
          <w:b/>
          <w:bCs/>
        </w:rPr>
        <w:t xml:space="preserve">OECD: </w:t>
      </w:r>
      <w:r w:rsidRPr="008902F2">
        <w:rPr>
          <w:rFonts w:ascii="Times New Roman" w:eastAsia="Times New Roman" w:hAnsi="Times New Roman"/>
        </w:rPr>
        <w:t>Organisation for Economic Cooperation and Development</w:t>
      </w:r>
    </w:p>
    <w:p w14:paraId="34447203" w14:textId="77777777" w:rsidR="003528E3" w:rsidRPr="008902F2" w:rsidRDefault="003528E3" w:rsidP="00A02EDE">
      <w:pPr>
        <w:spacing w:after="100"/>
        <w:rPr>
          <w:rFonts w:ascii="Times New Roman" w:eastAsiaTheme="minorHAnsi" w:hAnsi="Times New Roman"/>
          <w:bCs/>
          <w:color w:val="000000" w:themeColor="text1"/>
        </w:rPr>
      </w:pPr>
      <w:r w:rsidRPr="008902F2">
        <w:rPr>
          <w:rFonts w:ascii="Times New Roman" w:eastAsiaTheme="minorHAnsi" w:hAnsi="Times New Roman"/>
          <w:b/>
          <w:bCs/>
          <w:color w:val="000000" w:themeColor="text1"/>
        </w:rPr>
        <w:t>MV:</w:t>
      </w:r>
      <w:r w:rsidRPr="008902F2">
        <w:rPr>
          <w:rFonts w:ascii="Times New Roman" w:eastAsiaTheme="minorHAnsi" w:hAnsi="Times New Roman"/>
          <w:bCs/>
          <w:color w:val="000000" w:themeColor="text1"/>
        </w:rPr>
        <w:t xml:space="preserve"> Medium Voltage</w:t>
      </w:r>
    </w:p>
    <w:p w14:paraId="4A99800D" w14:textId="77777777"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rPr>
        <w:t>OIZ:</w:t>
      </w:r>
      <w:r w:rsidRPr="008902F2">
        <w:rPr>
          <w:rFonts w:ascii="Times New Roman" w:eastAsiaTheme="minorHAnsi" w:hAnsi="Times New Roman"/>
        </w:rPr>
        <w:t xml:space="preserve"> Organized Industrial Zone</w:t>
      </w:r>
    </w:p>
    <w:p w14:paraId="2B0E3677" w14:textId="77777777" w:rsidR="006343EC" w:rsidRPr="008902F2" w:rsidRDefault="006343EC" w:rsidP="00A02EDE">
      <w:pPr>
        <w:spacing w:after="100"/>
        <w:rPr>
          <w:rFonts w:ascii="Times New Roman" w:hAnsi="Times New Roman"/>
          <w:color w:val="000000" w:themeColor="text1"/>
        </w:rPr>
      </w:pPr>
      <w:r w:rsidRPr="008902F2">
        <w:rPr>
          <w:rFonts w:ascii="Times New Roman" w:hAnsi="Times New Roman"/>
          <w:b/>
          <w:color w:val="000000" w:themeColor="text1"/>
        </w:rPr>
        <w:t xml:space="preserve">SOME: </w:t>
      </w:r>
      <w:r w:rsidRPr="008902F2">
        <w:rPr>
          <w:rFonts w:ascii="Times New Roman" w:hAnsi="Times New Roman"/>
          <w:color w:val="000000" w:themeColor="text1"/>
        </w:rPr>
        <w:t>Cyber Incident Response Team</w:t>
      </w:r>
    </w:p>
    <w:p w14:paraId="7E2A24C1" w14:textId="77777777" w:rsidR="006343EC" w:rsidRPr="008902F2" w:rsidRDefault="006343EC" w:rsidP="00A02EDE">
      <w:pPr>
        <w:spacing w:after="100"/>
        <w:rPr>
          <w:rFonts w:ascii="Times New Roman" w:eastAsiaTheme="minorHAnsi" w:hAnsi="Times New Roman"/>
        </w:rPr>
      </w:pPr>
      <w:r w:rsidRPr="008902F2">
        <w:rPr>
          <w:rFonts w:ascii="Times New Roman" w:hAnsi="Times New Roman"/>
          <w:b/>
          <w:color w:val="000000" w:themeColor="text1"/>
        </w:rPr>
        <w:t>TBMM:</w:t>
      </w:r>
      <w:r w:rsidRPr="008902F2">
        <w:rPr>
          <w:rFonts w:ascii="Times New Roman" w:hAnsi="Times New Roman"/>
          <w:color w:val="000000" w:themeColor="text1"/>
        </w:rPr>
        <w:t xml:space="preserve"> Turkish Grand National Assembly</w:t>
      </w:r>
    </w:p>
    <w:p w14:paraId="042CF4FD" w14:textId="77777777" w:rsidR="003528E3" w:rsidRPr="008902F2" w:rsidRDefault="003528E3" w:rsidP="00A02EDE">
      <w:pPr>
        <w:spacing w:after="100"/>
        <w:rPr>
          <w:rFonts w:ascii="Times New Roman" w:eastAsiaTheme="minorHAnsi" w:hAnsi="Times New Roman"/>
          <w:color w:val="000000" w:themeColor="text1"/>
        </w:rPr>
      </w:pPr>
      <w:r w:rsidRPr="008902F2">
        <w:rPr>
          <w:rFonts w:ascii="Times New Roman" w:eastAsiaTheme="minorHAnsi" w:hAnsi="Times New Roman"/>
          <w:b/>
          <w:bCs/>
          <w:color w:val="000000" w:themeColor="text1"/>
        </w:rPr>
        <w:lastRenderedPageBreak/>
        <w:t xml:space="preserve">TEİAŞ: </w:t>
      </w:r>
      <w:r w:rsidRPr="008902F2">
        <w:rPr>
          <w:rFonts w:ascii="Times New Roman" w:eastAsiaTheme="minorHAnsi" w:hAnsi="Times New Roman"/>
          <w:color w:val="000000" w:themeColor="text1"/>
        </w:rPr>
        <w:t>Turkish Electricity Transmission Joint Stock Company</w:t>
      </w:r>
    </w:p>
    <w:p w14:paraId="293C2AE9" w14:textId="14663CA5" w:rsidR="003528E3" w:rsidRPr="008902F2" w:rsidRDefault="003528E3" w:rsidP="00A02EDE">
      <w:pPr>
        <w:spacing w:after="100"/>
        <w:rPr>
          <w:rFonts w:ascii="Times New Roman" w:eastAsia="Times New Roman" w:hAnsi="Times New Roman"/>
          <w:color w:val="000000"/>
          <w:lang w:eastAsia="tr-TR"/>
        </w:rPr>
      </w:pPr>
      <w:r w:rsidRPr="008902F2">
        <w:rPr>
          <w:rFonts w:ascii="Times New Roman" w:eastAsia="Times New Roman" w:hAnsi="Times New Roman"/>
          <w:b/>
          <w:color w:val="000000"/>
        </w:rPr>
        <w:t>TÜBİTAK:</w:t>
      </w:r>
      <w:r w:rsidRPr="008902F2">
        <w:rPr>
          <w:rFonts w:ascii="Times New Roman" w:eastAsia="Times New Roman" w:hAnsi="Times New Roman"/>
          <w:color w:val="000000"/>
        </w:rPr>
        <w:t xml:space="preserve"> Scientific and Technological Research Council of T</w:t>
      </w:r>
      <w:r w:rsidR="00454819" w:rsidRPr="008902F2">
        <w:rPr>
          <w:rFonts w:ascii="Times New Roman" w:eastAsia="Times New Roman" w:hAnsi="Times New Roman"/>
          <w:color w:val="000000"/>
        </w:rPr>
        <w:t>ürkiye</w:t>
      </w:r>
    </w:p>
    <w:p w14:paraId="09CFBE1E" w14:textId="6D9329F9" w:rsidR="003528E3" w:rsidRPr="008902F2" w:rsidRDefault="6465F613" w:rsidP="6F691FB8">
      <w:pPr>
        <w:spacing w:after="100"/>
        <w:rPr>
          <w:rFonts w:ascii="Times New Roman" w:eastAsia="Times New Roman" w:hAnsi="Times New Roman"/>
          <w:color w:val="000000"/>
          <w:lang w:eastAsia="tr-TR"/>
        </w:rPr>
      </w:pPr>
      <w:r w:rsidRPr="008902F2">
        <w:rPr>
          <w:rFonts w:ascii="Times New Roman" w:eastAsiaTheme="minorEastAsia" w:hAnsi="Times New Roman"/>
          <w:b/>
          <w:bCs/>
          <w:color w:val="000000" w:themeColor="text1"/>
        </w:rPr>
        <w:t xml:space="preserve">TÜPRAŞ: </w:t>
      </w:r>
      <w:r w:rsidRPr="008902F2">
        <w:rPr>
          <w:rFonts w:ascii="Times New Roman" w:eastAsia="Times New Roman" w:hAnsi="Times New Roman"/>
          <w:color w:val="000000" w:themeColor="text1"/>
        </w:rPr>
        <w:t>T</w:t>
      </w:r>
      <w:r w:rsidR="7CE8CF1B" w:rsidRPr="008902F2">
        <w:rPr>
          <w:rFonts w:ascii="Times New Roman" w:eastAsia="Times New Roman" w:hAnsi="Times New Roman"/>
          <w:color w:val="000000" w:themeColor="text1"/>
        </w:rPr>
        <w:t>urkish Petroleum Refeneries Corporation</w:t>
      </w:r>
    </w:p>
    <w:p w14:paraId="22C07E52" w14:textId="77777777" w:rsidR="003528E3" w:rsidRPr="008902F2" w:rsidRDefault="003528E3" w:rsidP="00A02EDE">
      <w:pPr>
        <w:spacing w:after="100"/>
        <w:rPr>
          <w:rFonts w:ascii="Times New Roman" w:eastAsiaTheme="minorHAnsi" w:hAnsi="Times New Roman"/>
        </w:rPr>
      </w:pPr>
      <w:r w:rsidRPr="008902F2">
        <w:rPr>
          <w:rFonts w:ascii="Times New Roman" w:eastAsiaTheme="minorHAnsi" w:hAnsi="Times New Roman"/>
          <w:b/>
        </w:rPr>
        <w:t>IEA:</w:t>
      </w:r>
      <w:r w:rsidRPr="008902F2">
        <w:rPr>
          <w:rFonts w:ascii="Times New Roman" w:eastAsiaTheme="minorHAnsi" w:hAnsi="Times New Roman"/>
        </w:rPr>
        <w:t xml:space="preserve"> International Energy Agency</w:t>
      </w:r>
    </w:p>
    <w:p w14:paraId="0980B7CB" w14:textId="2A6F4351" w:rsidR="006343EC" w:rsidRPr="008902F2" w:rsidRDefault="2F609A27" w:rsidP="6F691FB8">
      <w:pPr>
        <w:spacing w:after="100"/>
        <w:rPr>
          <w:rFonts w:ascii="Times New Roman" w:eastAsiaTheme="minorEastAsia" w:hAnsi="Times New Roman"/>
        </w:rPr>
      </w:pPr>
      <w:r w:rsidRPr="008902F2">
        <w:rPr>
          <w:rFonts w:ascii="Times New Roman" w:eastAsiaTheme="minorEastAsia" w:hAnsi="Times New Roman"/>
          <w:b/>
          <w:bCs/>
        </w:rPr>
        <w:t xml:space="preserve">UGETAM: </w:t>
      </w:r>
      <w:r w:rsidR="562E82A9" w:rsidRPr="008902F2">
        <w:rPr>
          <w:rFonts w:ascii="Times New Roman" w:eastAsiaTheme="minorEastAsia" w:hAnsi="Times New Roman"/>
        </w:rPr>
        <w:t>Istanbul Applied Gas and Energy Technologies Research Engineering Industry Trade</w:t>
      </w:r>
      <w:r w:rsidR="1D396463" w:rsidRPr="008902F2">
        <w:rPr>
          <w:rFonts w:ascii="Times New Roman" w:eastAsiaTheme="minorEastAsia" w:hAnsi="Times New Roman"/>
        </w:rPr>
        <w:t xml:space="preserve"> </w:t>
      </w:r>
      <w:r w:rsidR="562E82A9" w:rsidRPr="008902F2">
        <w:rPr>
          <w:rFonts w:ascii="Times New Roman" w:eastAsiaTheme="minorEastAsia" w:hAnsi="Times New Roman"/>
        </w:rPr>
        <w:t>Inc.</w:t>
      </w:r>
    </w:p>
    <w:p w14:paraId="1D19EAAC" w14:textId="77777777" w:rsidR="007E4989" w:rsidRPr="008902F2" w:rsidRDefault="00BC6D92" w:rsidP="004E2C12">
      <w:pPr>
        <w:spacing w:after="100"/>
        <w:jc w:val="left"/>
        <w:rPr>
          <w:rFonts w:ascii="Times New Roman" w:eastAsiaTheme="minorHAnsi" w:hAnsi="Times New Roman"/>
        </w:rPr>
        <w:sectPr w:rsidR="007E4989" w:rsidRPr="008902F2" w:rsidSect="008D594C">
          <w:footerReference w:type="first" r:id="rId12"/>
          <w:pgSz w:w="11906" w:h="16838"/>
          <w:pgMar w:top="1418" w:right="1418" w:bottom="1418" w:left="1418" w:header="709" w:footer="709" w:gutter="0"/>
          <w:pgNumType w:fmt="lowerRoman" w:start="1"/>
          <w:cols w:space="708"/>
          <w:titlePg/>
          <w:docGrid w:linePitch="360"/>
        </w:sectPr>
      </w:pPr>
      <w:r w:rsidRPr="008902F2">
        <w:rPr>
          <w:rFonts w:ascii="Times New Roman" w:eastAsiaTheme="minorHAnsi" w:hAnsi="Times New Roman"/>
          <w:b/>
        </w:rPr>
        <w:t xml:space="preserve">UM: </w:t>
      </w:r>
      <w:r w:rsidRPr="008902F2">
        <w:rPr>
          <w:rFonts w:ascii="Times New Roman" w:eastAsiaTheme="minorHAnsi" w:hAnsi="Times New Roman"/>
        </w:rPr>
        <w:t>National Marker</w:t>
      </w:r>
    </w:p>
    <w:p w14:paraId="78D5E5BF" w14:textId="77777777" w:rsidR="004367E4" w:rsidRPr="008902F2" w:rsidRDefault="199D4BF9" w:rsidP="6F691FB8">
      <w:pPr>
        <w:pStyle w:val="KonuBal"/>
        <w:outlineLvl w:val="0"/>
        <w:rPr>
          <w:rStyle w:val="KitapBal"/>
          <w:rFonts w:ascii="Times New Roman" w:hAnsi="Times New Roman" w:cs="Times New Roman"/>
          <w:color w:val="auto"/>
          <w:sz w:val="22"/>
          <w:szCs w:val="22"/>
        </w:rPr>
      </w:pPr>
      <w:bookmarkStart w:id="1" w:name="_Toc143113390"/>
      <w:r w:rsidRPr="008902F2">
        <w:rPr>
          <w:rStyle w:val="KitapBal"/>
          <w:rFonts w:ascii="Times New Roman" w:hAnsi="Times New Roman" w:cs="Times New Roman"/>
          <w:color w:val="auto"/>
          <w:sz w:val="22"/>
          <w:szCs w:val="22"/>
        </w:rPr>
        <w:lastRenderedPageBreak/>
        <w:t>PART ONE</w:t>
      </w:r>
      <w:bookmarkEnd w:id="1"/>
    </w:p>
    <w:p w14:paraId="25948EA3" w14:textId="77777777" w:rsidR="004367E4" w:rsidRPr="008902F2" w:rsidRDefault="004367E4" w:rsidP="00A02EDE">
      <w:pPr>
        <w:pStyle w:val="KonuBal"/>
        <w:rPr>
          <w:rStyle w:val="KitapBal"/>
          <w:rFonts w:ascii="Times New Roman" w:hAnsi="Times New Roman" w:cs="Times New Roman"/>
          <w:color w:val="auto"/>
          <w:sz w:val="22"/>
          <w:szCs w:val="22"/>
        </w:rPr>
      </w:pPr>
      <w:r w:rsidRPr="008902F2">
        <w:rPr>
          <w:rStyle w:val="KitapBal"/>
          <w:rFonts w:ascii="Times New Roman" w:hAnsi="Times New Roman" w:cs="Times New Roman"/>
          <w:color w:val="auto"/>
          <w:sz w:val="22"/>
          <w:szCs w:val="22"/>
        </w:rPr>
        <w:t>GENERAL INFORMATION</w:t>
      </w:r>
    </w:p>
    <w:p w14:paraId="2C40220A" w14:textId="77777777" w:rsidR="00C553AB" w:rsidRPr="008902F2" w:rsidRDefault="5E79CBD5" w:rsidP="00A86526">
      <w:pPr>
        <w:pStyle w:val="Balk1"/>
        <w:numPr>
          <w:ilvl w:val="0"/>
          <w:numId w:val="24"/>
        </w:numPr>
        <w:rPr>
          <w:rFonts w:ascii="Times New Roman" w:hAnsi="Times New Roman" w:cs="Times New Roman"/>
          <w:szCs w:val="22"/>
          <w:lang w:val="en-US"/>
        </w:rPr>
      </w:pPr>
      <w:bookmarkStart w:id="2" w:name="_Toc442431223"/>
      <w:bookmarkStart w:id="3" w:name="_Toc143113391"/>
      <w:r w:rsidRPr="008902F2">
        <w:rPr>
          <w:rFonts w:ascii="Times New Roman" w:hAnsi="Times New Roman" w:cs="Times New Roman"/>
          <w:szCs w:val="22"/>
          <w:lang w:val="en-US"/>
        </w:rPr>
        <w:t>ENERGY MARKET REGULATORY AUTHORITY</w:t>
      </w:r>
      <w:bookmarkEnd w:id="2"/>
      <w:bookmarkEnd w:id="3"/>
    </w:p>
    <w:p w14:paraId="62EBF3C5" w14:textId="77777777" w:rsidR="009824D9" w:rsidRPr="008902F2" w:rsidRDefault="009824D9" w:rsidP="00A02EDE">
      <w:pPr>
        <w:spacing w:after="0"/>
        <w:rPr>
          <w:rFonts w:ascii="Times New Roman" w:hAnsi="Times New Roman"/>
          <w:lang w:val="en-US"/>
        </w:rPr>
      </w:pPr>
    </w:p>
    <w:p w14:paraId="5308D69F" w14:textId="77777777" w:rsidR="00C553AB" w:rsidRPr="008902F2" w:rsidRDefault="003950FF" w:rsidP="00A02EDE">
      <w:pPr>
        <w:spacing w:after="0"/>
        <w:rPr>
          <w:rFonts w:ascii="Times New Roman" w:hAnsi="Times New Roman"/>
          <w:lang w:val="en-US"/>
        </w:rPr>
      </w:pPr>
      <w:r w:rsidRPr="008902F2">
        <w:rPr>
          <w:rFonts w:ascii="Times New Roman" w:hAnsi="Times New Roman"/>
          <w:lang w:val="en-US"/>
        </w:rPr>
        <w:t xml:space="preserve">Information about the duties, powers and responsibilities of the Institution and the structure of the Institution is included. </w:t>
      </w:r>
    </w:p>
    <w:p w14:paraId="54CE6338" w14:textId="26EEE677" w:rsidR="00C553AB" w:rsidRPr="008902F2" w:rsidRDefault="457B110F" w:rsidP="00A86526">
      <w:pPr>
        <w:pStyle w:val="Balk2"/>
        <w:numPr>
          <w:ilvl w:val="1"/>
          <w:numId w:val="23"/>
        </w:numPr>
        <w:spacing w:after="240"/>
        <w:rPr>
          <w:rFonts w:ascii="Times New Roman" w:hAnsi="Times New Roman" w:cs="Times New Roman"/>
          <w:szCs w:val="22"/>
          <w:lang w:val="en-US"/>
        </w:rPr>
      </w:pPr>
      <w:bookmarkStart w:id="4" w:name="_Toc442431224"/>
      <w:bookmarkStart w:id="5" w:name="_Toc143113392"/>
      <w:r w:rsidRPr="008902F2">
        <w:rPr>
          <w:rFonts w:ascii="Times New Roman" w:hAnsi="Times New Roman" w:cs="Times New Roman"/>
          <w:szCs w:val="22"/>
          <w:lang w:val="en-US"/>
        </w:rPr>
        <w:t xml:space="preserve">Duties, </w:t>
      </w:r>
      <w:r w:rsidR="0A6A830B" w:rsidRPr="008902F2">
        <w:rPr>
          <w:rFonts w:ascii="Times New Roman" w:hAnsi="Times New Roman" w:cs="Times New Roman"/>
          <w:szCs w:val="22"/>
          <w:lang w:val="en-US"/>
        </w:rPr>
        <w:t xml:space="preserve">Authorities </w:t>
      </w:r>
      <w:r w:rsidRPr="008902F2">
        <w:rPr>
          <w:rFonts w:ascii="Times New Roman" w:hAnsi="Times New Roman" w:cs="Times New Roman"/>
          <w:szCs w:val="22"/>
          <w:lang w:val="en-US"/>
        </w:rPr>
        <w:t>and Responsibilities of the Institution</w:t>
      </w:r>
      <w:bookmarkEnd w:id="4"/>
      <w:bookmarkEnd w:id="5"/>
    </w:p>
    <w:p w14:paraId="49866ACB" w14:textId="59763507" w:rsidR="132B3F4C" w:rsidRPr="008902F2" w:rsidRDefault="132B3F4C" w:rsidP="6F691FB8">
      <w:pPr>
        <w:rPr>
          <w:rFonts w:ascii="Times New Roman" w:eastAsiaTheme="minorEastAsia" w:hAnsi="Times New Roman"/>
          <w:lang w:val="en-US"/>
        </w:rPr>
      </w:pPr>
      <w:r w:rsidRPr="008902F2">
        <w:rPr>
          <w:rFonts w:ascii="Times New Roman" w:eastAsiaTheme="minorEastAsia" w:hAnsi="Times New Roman"/>
          <w:lang w:val="en-US"/>
        </w:rPr>
        <w:t>The institution was established under the name "Electricity Market Regulatory Authority" with the former "Electricity Market Law" numbered 4628 published in the Official Gazette dated 03.03.2001 and numbered 24335 (Repeated). Later, with the "Natural Gas Market Law (Amendment to the Electricity Market Law and Law on Natural Gas Market)" numbered 4646 published in the Official Gazette dated 02.05.2001 and numbered 24390, it took the name "Energy Market Regulatory Authority".</w:t>
      </w:r>
    </w:p>
    <w:p w14:paraId="5EC1782F" w14:textId="58C2E12A" w:rsidR="00C553AB" w:rsidRPr="008902F2" w:rsidRDefault="00C553AB" w:rsidP="00A02EDE">
      <w:pPr>
        <w:rPr>
          <w:rFonts w:ascii="Times New Roman" w:hAnsi="Times New Roman"/>
          <w:lang w:val="en-US"/>
        </w:rPr>
      </w:pPr>
      <w:r w:rsidRPr="008902F2">
        <w:rPr>
          <w:rFonts w:ascii="Times New Roman" w:hAnsi="Times New Roman"/>
          <w:lang w:val="en-US"/>
        </w:rPr>
        <w:t xml:space="preserve">The name of the Law No. 4628 was changed as "Law </w:t>
      </w:r>
      <w:r w:rsidRPr="008902F2">
        <w:rPr>
          <w:rFonts w:ascii="Times New Roman" w:hAnsi="Times New Roman"/>
          <w:i/>
          <w:lang w:val="en-US"/>
        </w:rPr>
        <w:t>on the Organization and Duties of the Energy Market Regulatory Authority"</w:t>
      </w:r>
      <w:r w:rsidRPr="008902F2">
        <w:rPr>
          <w:rFonts w:ascii="Times New Roman" w:hAnsi="Times New Roman"/>
          <w:lang w:val="en-US"/>
        </w:rPr>
        <w:t xml:space="preserve"> with Article 30 of the Electricity Market Law No. 6446 published in the Official Gazette dated 30.03.2013 and numbered 28603. </w:t>
      </w:r>
    </w:p>
    <w:p w14:paraId="606A5BE4" w14:textId="1594406B" w:rsidR="00C553AB" w:rsidRPr="008902F2" w:rsidRDefault="00C553AB" w:rsidP="00495438">
      <w:pPr>
        <w:rPr>
          <w:rFonts w:ascii="Times New Roman" w:hAnsi="Times New Roman"/>
          <w:lang w:val="en-US"/>
        </w:rPr>
      </w:pPr>
      <w:r w:rsidRPr="008902F2">
        <w:rPr>
          <w:rFonts w:ascii="Times New Roman" w:hAnsi="Times New Roman"/>
          <w:lang w:val="en-US"/>
        </w:rPr>
        <w:t xml:space="preserve">The institution has a public legal personality and has administrative and financial autonomy. The Ministry it is associated with is </w:t>
      </w:r>
      <w:r w:rsidR="00A7085C" w:rsidRPr="008902F2">
        <w:rPr>
          <w:rFonts w:ascii="Times New Roman" w:eastAsiaTheme="minorHAnsi" w:hAnsi="Times New Roman"/>
        </w:rPr>
        <w:t>Ministry of Energy and Natural Resources</w:t>
      </w:r>
      <w:r w:rsidRPr="008902F2">
        <w:rPr>
          <w:rFonts w:ascii="Times New Roman" w:hAnsi="Times New Roman"/>
          <w:lang w:val="en-US"/>
        </w:rPr>
        <w:t xml:space="preserve">. </w:t>
      </w:r>
    </w:p>
    <w:p w14:paraId="12813B43" w14:textId="77777777" w:rsidR="00617F97" w:rsidRPr="008902F2" w:rsidRDefault="00C553AB" w:rsidP="00495438">
      <w:pPr>
        <w:rPr>
          <w:rFonts w:ascii="Times New Roman" w:hAnsi="Times New Roman"/>
          <w:lang w:val="en-US"/>
        </w:rPr>
      </w:pPr>
      <w:r w:rsidRPr="008902F2">
        <w:rPr>
          <w:rFonts w:ascii="Times New Roman" w:hAnsi="Times New Roman"/>
          <w:lang w:val="en-US"/>
        </w:rPr>
        <w:t xml:space="preserve">The headquarters of the institution is in Ankara; there is no provincial organization. The Authority may establish liaison offices in order to ensure customer relations in distribution areas. In this context, there is a liaison office in Istanbul. </w:t>
      </w:r>
    </w:p>
    <w:p w14:paraId="5F7C49CF" w14:textId="28D0B7C0" w:rsidR="00C553AB" w:rsidRPr="008902F2" w:rsidRDefault="510C7C71" w:rsidP="00495438">
      <w:pPr>
        <w:spacing w:after="0"/>
        <w:rPr>
          <w:rFonts w:ascii="Times New Roman" w:hAnsi="Times New Roman"/>
          <w:lang w:val="en-US"/>
        </w:rPr>
      </w:pPr>
      <w:r w:rsidRPr="008902F2">
        <w:rPr>
          <w:rFonts w:ascii="Times New Roman" w:hAnsi="Times New Roman"/>
          <w:lang w:val="en-US"/>
        </w:rPr>
        <w:t>Auth</w:t>
      </w:r>
      <w:r w:rsidR="1FA38CB2" w:rsidRPr="008902F2">
        <w:rPr>
          <w:rFonts w:ascii="Times New Roman" w:hAnsi="Times New Roman"/>
          <w:lang w:val="en-US"/>
        </w:rPr>
        <w:t>ority</w:t>
      </w:r>
      <w:r w:rsidR="5E79CBD5" w:rsidRPr="008902F2">
        <w:rPr>
          <w:rFonts w:ascii="Times New Roman" w:hAnsi="Times New Roman"/>
          <w:lang w:val="en-US"/>
        </w:rPr>
        <w:t xml:space="preserve">; </w:t>
      </w:r>
    </w:p>
    <w:p w14:paraId="4EC99BAB" w14:textId="77777777" w:rsidR="00C553AB" w:rsidRPr="008902F2" w:rsidRDefault="00C553AB" w:rsidP="00A86526">
      <w:pPr>
        <w:pStyle w:val="ListeParagraf"/>
        <w:numPr>
          <w:ilvl w:val="0"/>
          <w:numId w:val="21"/>
        </w:numPr>
        <w:tabs>
          <w:tab w:val="left" w:pos="284"/>
          <w:tab w:val="left" w:pos="709"/>
          <w:tab w:val="left" w:pos="851"/>
        </w:tabs>
        <w:spacing w:after="0"/>
        <w:rPr>
          <w:rFonts w:ascii="Times New Roman" w:hAnsi="Times New Roman"/>
          <w:lang w:val="en-US"/>
        </w:rPr>
      </w:pPr>
      <w:r w:rsidRPr="008902F2">
        <w:rPr>
          <w:rFonts w:ascii="Times New Roman" w:hAnsi="Times New Roman"/>
          <w:lang w:val="en-US"/>
        </w:rPr>
        <w:t>Law No. 4628 on the Organization and Duties of the Energy Market Regulatory Authority,</w:t>
      </w:r>
    </w:p>
    <w:p w14:paraId="07B298DF" w14:textId="77777777" w:rsidR="00C553AB" w:rsidRPr="008902F2" w:rsidRDefault="00C553AB" w:rsidP="00A86526">
      <w:pPr>
        <w:pStyle w:val="ListeParagraf"/>
        <w:numPr>
          <w:ilvl w:val="0"/>
          <w:numId w:val="21"/>
        </w:numPr>
        <w:tabs>
          <w:tab w:val="left" w:pos="284"/>
          <w:tab w:val="left" w:pos="709"/>
          <w:tab w:val="left" w:pos="851"/>
        </w:tabs>
        <w:spacing w:after="0"/>
        <w:rPr>
          <w:rFonts w:ascii="Times New Roman" w:hAnsi="Times New Roman"/>
          <w:lang w:val="en-US"/>
        </w:rPr>
      </w:pPr>
      <w:r w:rsidRPr="008902F2">
        <w:rPr>
          <w:rFonts w:ascii="Times New Roman" w:hAnsi="Times New Roman"/>
          <w:lang w:val="en-US"/>
        </w:rPr>
        <w:t>Natural Gas Market Law No. 4646,</w:t>
      </w:r>
    </w:p>
    <w:p w14:paraId="4B6A8F4B" w14:textId="77777777" w:rsidR="00C553AB" w:rsidRPr="008902F2" w:rsidRDefault="5E79CBD5" w:rsidP="00A86526">
      <w:pPr>
        <w:pStyle w:val="ListeParagraf"/>
        <w:numPr>
          <w:ilvl w:val="0"/>
          <w:numId w:val="21"/>
        </w:numPr>
        <w:tabs>
          <w:tab w:val="left" w:pos="284"/>
          <w:tab w:val="left" w:pos="709"/>
          <w:tab w:val="left" w:pos="851"/>
        </w:tabs>
        <w:spacing w:after="0"/>
        <w:rPr>
          <w:rFonts w:ascii="Times New Roman" w:hAnsi="Times New Roman"/>
          <w:lang w:val="en-US"/>
        </w:rPr>
      </w:pPr>
      <w:r w:rsidRPr="008902F2">
        <w:rPr>
          <w:rFonts w:ascii="Times New Roman" w:hAnsi="Times New Roman"/>
          <w:lang w:val="en-US"/>
        </w:rPr>
        <w:t>Petroleum Market Law No. 5015,</w:t>
      </w:r>
    </w:p>
    <w:p w14:paraId="0CF73180" w14:textId="39182965" w:rsidR="4737A4EB" w:rsidRPr="008902F2" w:rsidRDefault="4737A4EB" w:rsidP="00A86526">
      <w:pPr>
        <w:pStyle w:val="ListeParagraf"/>
        <w:numPr>
          <w:ilvl w:val="0"/>
          <w:numId w:val="21"/>
        </w:numPr>
        <w:tabs>
          <w:tab w:val="left" w:pos="284"/>
          <w:tab w:val="left" w:pos="709"/>
          <w:tab w:val="left" w:pos="851"/>
        </w:tabs>
        <w:spacing w:after="0"/>
        <w:rPr>
          <w:rFonts w:ascii="Times New Roman" w:hAnsi="Times New Roman"/>
          <w:lang w:val="en-US"/>
        </w:rPr>
      </w:pPr>
      <w:r w:rsidRPr="008902F2">
        <w:rPr>
          <w:rFonts w:ascii="Times New Roman" w:eastAsia="Times New Roman" w:hAnsi="Times New Roman"/>
          <w:color w:val="000000" w:themeColor="text1"/>
          <w:lang w:val="en-US"/>
        </w:rPr>
        <w:t xml:space="preserve">Law No. 5307 Amending the Liquefied Petroleum Gas (LPG) Market Law and Electricity Market </w:t>
      </w:r>
    </w:p>
    <w:p w14:paraId="13A492FE" w14:textId="77777777" w:rsidR="00C553AB" w:rsidRPr="008902F2" w:rsidRDefault="00C553AB" w:rsidP="00A86526">
      <w:pPr>
        <w:pStyle w:val="ListeParagraf"/>
        <w:numPr>
          <w:ilvl w:val="0"/>
          <w:numId w:val="21"/>
        </w:numPr>
        <w:tabs>
          <w:tab w:val="left" w:pos="284"/>
          <w:tab w:val="left" w:pos="709"/>
          <w:tab w:val="left" w:pos="851"/>
        </w:tabs>
        <w:spacing w:after="0"/>
        <w:rPr>
          <w:rFonts w:ascii="Times New Roman" w:hAnsi="Times New Roman"/>
          <w:lang w:val="en-US"/>
        </w:rPr>
      </w:pPr>
      <w:r w:rsidRPr="008902F2">
        <w:rPr>
          <w:rFonts w:ascii="Times New Roman" w:hAnsi="Times New Roman"/>
          <w:lang w:val="en-US"/>
        </w:rPr>
        <w:t>Electricity Market Law No. 6446</w:t>
      </w:r>
    </w:p>
    <w:p w14:paraId="621B2E63" w14:textId="77777777" w:rsidR="00C553AB" w:rsidRPr="008902F2" w:rsidRDefault="5E79CBD5" w:rsidP="00495438">
      <w:pPr>
        <w:spacing w:after="120"/>
        <w:rPr>
          <w:rFonts w:ascii="Times New Roman" w:hAnsi="Times New Roman"/>
          <w:lang w:val="en-US"/>
        </w:rPr>
      </w:pPr>
      <w:r w:rsidRPr="008902F2">
        <w:rPr>
          <w:rFonts w:ascii="Times New Roman" w:hAnsi="Times New Roman"/>
          <w:lang w:val="en-US"/>
        </w:rPr>
        <w:t>and to perform the duties assigned to it and to exercise the powers.</w:t>
      </w:r>
    </w:p>
    <w:p w14:paraId="592058FE" w14:textId="2B44C595" w:rsidR="6F691FB8" w:rsidRPr="008902F2" w:rsidRDefault="6F691FB8" w:rsidP="6F691FB8">
      <w:pPr>
        <w:spacing w:after="0"/>
        <w:rPr>
          <w:rFonts w:ascii="Times New Roman" w:eastAsiaTheme="minorEastAsia" w:hAnsi="Times New Roman"/>
          <w:color w:val="000000" w:themeColor="text1"/>
          <w:lang w:val="en-US"/>
        </w:rPr>
      </w:pPr>
    </w:p>
    <w:p w14:paraId="3580739A" w14:textId="5C1E84F0" w:rsidR="6BFFC7F8" w:rsidRPr="008902F2" w:rsidRDefault="009B6CBA" w:rsidP="009B6CBA">
      <w:pPr>
        <w:rPr>
          <w:rFonts w:ascii="Times New Roman" w:hAnsi="Times New Roman"/>
          <w:lang w:val="en-US"/>
        </w:rPr>
      </w:pPr>
      <w:r w:rsidRPr="008902F2">
        <w:rPr>
          <w:rFonts w:ascii="Times New Roman" w:hAnsi="Times New Roman"/>
          <w:lang w:val="en-US"/>
        </w:rPr>
        <w:t>The aforementioned</w:t>
      </w:r>
      <w:r w:rsidR="6BFFC7F8" w:rsidRPr="008902F2">
        <w:rPr>
          <w:rFonts w:ascii="Times New Roman" w:hAnsi="Times New Roman"/>
          <w:lang w:val="en-US"/>
        </w:rPr>
        <w:t xml:space="preserve"> Laws electricity, natural gas, petroleum, and LPG, aims to create a financially strong, stable and transparent energy market in which it can operate subject to private law provisions in a competitive environment, and to ensure an independent regulation and supervision in this market, in order to make it available to consumers in an adequate, high quality, continuous, low-cost, and environmentally compatible manner.</w:t>
      </w:r>
    </w:p>
    <w:p w14:paraId="7CC06C88" w14:textId="43D96C67" w:rsidR="6F9A6930" w:rsidRPr="008902F2" w:rsidRDefault="6F9A6930" w:rsidP="009B6CBA">
      <w:pPr>
        <w:rPr>
          <w:rFonts w:ascii="Times New Roman" w:hAnsi="Times New Roman"/>
          <w:lang w:val="en-US"/>
        </w:rPr>
      </w:pPr>
      <w:r w:rsidRPr="008902F2">
        <w:rPr>
          <w:rFonts w:ascii="Times New Roman" w:hAnsi="Times New Roman"/>
          <w:lang w:val="en-US"/>
        </w:rPr>
        <w:t>In the fulfillment of this purpose, the Authority;</w:t>
      </w:r>
    </w:p>
    <w:p w14:paraId="0B6C869F" w14:textId="13138A6D" w:rsidR="6F9A6930" w:rsidRPr="008902F2" w:rsidRDefault="6F9A6930" w:rsidP="00A86526">
      <w:pPr>
        <w:pStyle w:val="ListeParagraf"/>
        <w:numPr>
          <w:ilvl w:val="0"/>
          <w:numId w:val="19"/>
        </w:numPr>
        <w:tabs>
          <w:tab w:val="left" w:pos="284"/>
          <w:tab w:val="left" w:pos="567"/>
          <w:tab w:val="left" w:pos="709"/>
          <w:tab w:val="left" w:pos="851"/>
        </w:tabs>
        <w:spacing w:after="120"/>
        <w:ind w:left="284" w:firstLine="0"/>
        <w:rPr>
          <w:rFonts w:ascii="Times New Roman" w:eastAsia="Times New Roman" w:hAnsi="Times New Roman"/>
          <w:color w:val="000000" w:themeColor="text1"/>
          <w:lang w:val="en-US"/>
        </w:rPr>
      </w:pPr>
      <w:r w:rsidRPr="008902F2">
        <w:rPr>
          <w:rFonts w:ascii="Times New Roman" w:eastAsia="Times New Roman" w:hAnsi="Times New Roman"/>
          <w:color w:val="000000" w:themeColor="text1"/>
          <w:lang w:val="en-US"/>
        </w:rPr>
        <w:t>In the electricity market; granting licenses defining the rights and obligations of legal entities arising from the activities for which they are authorized, and performing other related transactions; monitoring market performances and establishing performance standards; establishing, developing and implementing secondary legislation; supervision of licensee legal entities; preparation, amendment and enforcement of regulated tariffs; ensuring that the market is treated in accordance with the Electricity Market Law,</w:t>
      </w:r>
    </w:p>
    <w:p w14:paraId="1CD095D4" w14:textId="013CC9F7" w:rsidR="6F9A6930" w:rsidRPr="008902F2" w:rsidRDefault="6F9A6930" w:rsidP="00A86526">
      <w:pPr>
        <w:pStyle w:val="ListeParagraf"/>
        <w:numPr>
          <w:ilvl w:val="0"/>
          <w:numId w:val="19"/>
        </w:numPr>
        <w:tabs>
          <w:tab w:val="left" w:pos="284"/>
          <w:tab w:val="left" w:pos="567"/>
          <w:tab w:val="left" w:pos="709"/>
          <w:tab w:val="left" w:pos="851"/>
        </w:tabs>
        <w:spacing w:after="120"/>
        <w:ind w:left="284" w:firstLine="0"/>
        <w:rPr>
          <w:rFonts w:ascii="Times New Roman" w:eastAsia="Times New Roman" w:hAnsi="Times New Roman"/>
          <w:color w:val="000000" w:themeColor="text1"/>
          <w:lang w:val="en-US"/>
        </w:rPr>
      </w:pPr>
      <w:r w:rsidRPr="008902F2">
        <w:rPr>
          <w:rFonts w:ascii="Times New Roman" w:eastAsia="Times New Roman" w:hAnsi="Times New Roman"/>
          <w:color w:val="000000" w:themeColor="text1"/>
          <w:lang w:val="en-US"/>
        </w:rPr>
        <w:lastRenderedPageBreak/>
        <w:t>In the natural gas market; issuing licenses and certificates defining the import, transmission, distribution, storage, trade and export of natural gas and the rights and obligations of all real and legal entities related to these activities, and performing other related transactions; examination of market and system functioning; creation, development and implementation of secondary legislation; supervision of license and certificate holders, preparation, amendment and implementation of regulated tariffs; ensuring that the market is treated in accordance with the Natural Gas Market Law,</w:t>
      </w:r>
    </w:p>
    <w:p w14:paraId="57142FC4" w14:textId="7A52C3A7" w:rsidR="6F9A6930" w:rsidRPr="008902F2" w:rsidRDefault="6F9A6930" w:rsidP="00A86526">
      <w:pPr>
        <w:pStyle w:val="ListeParagraf"/>
        <w:numPr>
          <w:ilvl w:val="0"/>
          <w:numId w:val="19"/>
        </w:numPr>
        <w:tabs>
          <w:tab w:val="left" w:pos="567"/>
          <w:tab w:val="left" w:pos="709"/>
          <w:tab w:val="left" w:pos="851"/>
        </w:tabs>
        <w:spacing w:after="120"/>
        <w:ind w:left="284" w:firstLine="0"/>
        <w:rPr>
          <w:rFonts w:ascii="Times New Roman" w:eastAsia="Times New Roman" w:hAnsi="Times New Roman"/>
          <w:color w:val="000000" w:themeColor="text1"/>
          <w:lang w:val="en-US"/>
        </w:rPr>
      </w:pPr>
      <w:r w:rsidRPr="008902F2">
        <w:rPr>
          <w:rFonts w:ascii="Times New Roman" w:eastAsia="Times New Roman" w:hAnsi="Times New Roman"/>
          <w:color w:val="000000" w:themeColor="text1"/>
          <w:lang w:val="en-US"/>
        </w:rPr>
        <w:t>In the oil market; licensing and other related transactions for the establishment, operation, distribution, transportation and dealership of facilities for petroleum refining, processing, mineral oil production, storage, transmission, free user and bunker activities; the scope of the activities and transactions requiring a license, the rights and obligations assumed with the license, the restriction of the activities under the license, the determination of the special conditions regarding the execution of the activity; establishing, developing and implementing secondary legislation; approval of tariffs; monitoring the prices and price lists in the market, ensuring that the market is acted in accordance with the Petroleum Market Law,</w:t>
      </w:r>
    </w:p>
    <w:p w14:paraId="65A7BE44" w14:textId="7FB7E5D2" w:rsidR="6F9A6930" w:rsidRPr="008902F2" w:rsidRDefault="6F9A6930" w:rsidP="00A86526">
      <w:pPr>
        <w:pStyle w:val="ListeParagraf"/>
        <w:numPr>
          <w:ilvl w:val="0"/>
          <w:numId w:val="19"/>
        </w:numPr>
        <w:tabs>
          <w:tab w:val="left" w:pos="567"/>
          <w:tab w:val="left" w:pos="709"/>
          <w:tab w:val="left" w:pos="851"/>
        </w:tabs>
        <w:spacing w:after="120"/>
        <w:ind w:left="284" w:firstLine="0"/>
        <w:rPr>
          <w:rFonts w:ascii="Times New Roman" w:eastAsia="Times New Roman" w:hAnsi="Times New Roman"/>
          <w:color w:val="000000" w:themeColor="text1"/>
          <w:lang w:val="en-US"/>
        </w:rPr>
      </w:pPr>
      <w:r w:rsidRPr="008902F2">
        <w:rPr>
          <w:rFonts w:ascii="Times New Roman" w:eastAsia="Times New Roman" w:hAnsi="Times New Roman"/>
          <w:color w:val="000000" w:themeColor="text1"/>
          <w:lang w:val="en-US"/>
        </w:rPr>
        <w:t>In the LPG market; Licensing for the establishment and operation of facilities for LPG distribution, transportation, autogas dealership activities, storage, LPG cylinder manufacturing, inspection, repair and maintenance, and performing other related transactions; scope of activities and/or transactions requiring license, rights and obligations acquired by license, determination of special conditions regarding the execution of the activity; establishing, developing and implementing secondary legislation; carrying out the necessary guidance, surveillance and inspection activities regarding market activities; following the prices in the market, ensuring that the market is acted in accordance with the Law No. 5307,</w:t>
      </w:r>
      <w:r w:rsidR="008902F2">
        <w:rPr>
          <w:rFonts w:ascii="Times New Roman" w:eastAsia="Times New Roman" w:hAnsi="Times New Roman"/>
          <w:color w:val="000000" w:themeColor="text1"/>
          <w:lang w:val="en-US"/>
        </w:rPr>
        <w:t xml:space="preserve"> </w:t>
      </w:r>
      <w:r w:rsidRPr="008902F2">
        <w:rPr>
          <w:rFonts w:ascii="Times New Roman" w:eastAsia="Times New Roman" w:hAnsi="Times New Roman"/>
          <w:color w:val="000000" w:themeColor="text1"/>
          <w:lang w:val="en-US"/>
        </w:rPr>
        <w:t>authorized and responsible.</w:t>
      </w:r>
    </w:p>
    <w:p w14:paraId="6D859E30" w14:textId="15CB7C42" w:rsidR="6F691FB8" w:rsidRPr="008902F2" w:rsidRDefault="6F691FB8" w:rsidP="6F691FB8">
      <w:pPr>
        <w:spacing w:after="0"/>
        <w:rPr>
          <w:rFonts w:ascii="Times New Roman" w:eastAsiaTheme="minorEastAsia" w:hAnsi="Times New Roman"/>
          <w:color w:val="000000" w:themeColor="text1"/>
          <w:lang w:val="en-US"/>
        </w:rPr>
      </w:pPr>
    </w:p>
    <w:p w14:paraId="59B0AF92" w14:textId="4CB45BFE" w:rsidR="00C553AB" w:rsidRPr="008902F2" w:rsidRDefault="5E79CBD5" w:rsidP="00A86526">
      <w:pPr>
        <w:pStyle w:val="Balk2"/>
        <w:numPr>
          <w:ilvl w:val="1"/>
          <w:numId w:val="23"/>
        </w:numPr>
        <w:spacing w:after="240"/>
        <w:rPr>
          <w:rFonts w:ascii="Times New Roman" w:hAnsi="Times New Roman" w:cs="Times New Roman"/>
          <w:szCs w:val="22"/>
          <w:lang w:val="en-US"/>
        </w:rPr>
      </w:pPr>
      <w:bookmarkStart w:id="6" w:name="_Toc442431225"/>
      <w:bookmarkStart w:id="7" w:name="_Toc143113393"/>
      <w:r w:rsidRPr="008902F2">
        <w:rPr>
          <w:rFonts w:ascii="Times New Roman" w:hAnsi="Times New Roman" w:cs="Times New Roman"/>
          <w:szCs w:val="22"/>
          <w:lang w:val="en-US"/>
        </w:rPr>
        <w:t>Structure of the</w:t>
      </w:r>
      <w:r w:rsidR="2C2A90EB" w:rsidRPr="008902F2">
        <w:rPr>
          <w:rFonts w:ascii="Times New Roman" w:hAnsi="Times New Roman" w:cs="Times New Roman"/>
          <w:szCs w:val="22"/>
          <w:lang w:val="en-US"/>
        </w:rPr>
        <w:t xml:space="preserve"> Authority</w:t>
      </w:r>
      <w:bookmarkEnd w:id="6"/>
      <w:bookmarkEnd w:id="7"/>
    </w:p>
    <w:p w14:paraId="1882B9A6" w14:textId="5F107F73" w:rsidR="2C2A90EB" w:rsidRPr="008902F2" w:rsidRDefault="2C2A90EB" w:rsidP="6F691FB8">
      <w:pPr>
        <w:rPr>
          <w:rFonts w:ascii="Times New Roman" w:hAnsi="Times New Roman"/>
          <w:lang w:val="en-US"/>
        </w:rPr>
      </w:pPr>
      <w:r w:rsidRPr="008902F2">
        <w:rPr>
          <w:rFonts w:ascii="Times New Roman" w:eastAsia="Times New Roman" w:hAnsi="Times New Roman"/>
          <w:color w:val="000000" w:themeColor="text1"/>
          <w:lang w:val="en-US"/>
        </w:rPr>
        <w:t>The Authority consists of the Board, Presidency, and the service units</w:t>
      </w:r>
      <w:r w:rsidRPr="008902F2">
        <w:rPr>
          <w:rFonts w:ascii="Times New Roman" w:eastAsia="Times New Roman" w:hAnsi="Times New Roman"/>
          <w:color w:val="000000" w:themeColor="text1"/>
          <w:sz w:val="24"/>
          <w:szCs w:val="24"/>
          <w:lang w:val="en-US"/>
        </w:rPr>
        <w:t xml:space="preserve">. </w:t>
      </w:r>
      <w:r w:rsidRPr="008902F2">
        <w:rPr>
          <w:rFonts w:ascii="Times New Roman" w:hAnsi="Times New Roman"/>
          <w:lang w:val="en-US"/>
        </w:rPr>
        <w:t xml:space="preserve"> </w:t>
      </w:r>
    </w:p>
    <w:p w14:paraId="0BFDBBFE" w14:textId="77777777" w:rsidR="00C553AB" w:rsidRPr="008902F2" w:rsidRDefault="5E79CBD5" w:rsidP="00A86526">
      <w:pPr>
        <w:pStyle w:val="Balk3"/>
        <w:numPr>
          <w:ilvl w:val="2"/>
          <w:numId w:val="23"/>
        </w:numPr>
        <w:rPr>
          <w:rFonts w:ascii="Times New Roman" w:hAnsi="Times New Roman" w:cs="Times New Roman"/>
          <w:lang w:val="en-US"/>
        </w:rPr>
      </w:pPr>
      <w:bookmarkStart w:id="8" w:name="_Toc442431226"/>
      <w:bookmarkStart w:id="9" w:name="_Toc143113394"/>
      <w:r w:rsidRPr="008902F2">
        <w:rPr>
          <w:rFonts w:ascii="Times New Roman" w:hAnsi="Times New Roman" w:cs="Times New Roman"/>
          <w:lang w:val="en-US"/>
        </w:rPr>
        <w:t>Energy Market Regulatory Authority</w:t>
      </w:r>
      <w:bookmarkEnd w:id="8"/>
      <w:bookmarkEnd w:id="9"/>
    </w:p>
    <w:p w14:paraId="6D98A12B" w14:textId="6CD7DABB" w:rsidR="009F6B4A" w:rsidRPr="008902F2" w:rsidRDefault="009F6B4A" w:rsidP="6F691FB8">
      <w:pPr>
        <w:spacing w:after="0"/>
        <w:rPr>
          <w:rFonts w:ascii="Times New Roman" w:hAnsi="Times New Roman"/>
          <w:lang w:val="en-US"/>
        </w:rPr>
      </w:pPr>
      <w:r w:rsidRPr="008902F2">
        <w:rPr>
          <w:rFonts w:ascii="Times New Roman" w:hAnsi="Times New Roman"/>
          <w:lang w:val="en-US"/>
        </w:rPr>
        <w:br/>
      </w:r>
      <w:r w:rsidR="366BBC2A" w:rsidRPr="008902F2">
        <w:rPr>
          <w:rFonts w:ascii="Times New Roman" w:eastAsiaTheme="minorEastAsia" w:hAnsi="Times New Roman"/>
          <w:lang w:val="en-US"/>
        </w:rPr>
        <w:t>The institution uses its authorities through the Board while fulfilling its duties. The Board is the representative and decision-making body of the institution. The initial members of the Board were appointed by the Council of Ministers Decision numbered 2001/3168, published in the Official Gazette dated 02.11.2001. The Board started its duties on 19.11.2001 after the appointed members took an oath before the Board of the First Presidency of the Court of Cassation. The Board consists of seven members, including a President and a Vice President, appointed by the President among those who have completed at least four years of higher education (according to Article 5 of Law No. 4628 and Articles 2, 3, and 7 of Presidential Decree No. 3).</w:t>
      </w:r>
    </w:p>
    <w:p w14:paraId="5822EB9C" w14:textId="19B65F37" w:rsidR="6F691FB8" w:rsidRPr="008902F2" w:rsidRDefault="6F691FB8" w:rsidP="6F691FB8">
      <w:pPr>
        <w:spacing w:after="0"/>
        <w:rPr>
          <w:rFonts w:ascii="Times New Roman" w:hAnsi="Times New Roman"/>
          <w:lang w:val="en-US"/>
        </w:rPr>
      </w:pPr>
    </w:p>
    <w:p w14:paraId="1970C1B3" w14:textId="0075F7F2" w:rsidR="06A86B21" w:rsidRPr="008902F2" w:rsidRDefault="06A86B21" w:rsidP="6F691FB8">
      <w:pPr>
        <w:spacing w:after="0"/>
        <w:rPr>
          <w:rFonts w:ascii="Times New Roman" w:hAnsi="Times New Roman"/>
          <w:lang w:val="en-US"/>
        </w:rPr>
      </w:pPr>
      <w:r w:rsidRPr="008902F2">
        <w:rPr>
          <w:rFonts w:ascii="Times New Roman" w:hAnsi="Times New Roman"/>
          <w:lang w:val="en-US"/>
        </w:rPr>
        <w:t>As of the date they complete their fourth year in office, the terms of the Board members automatically expire without the need for any other procedure. The Board members cannot be removed from their positions before the end of their terms. However, the President and members of the Board, who violate the prohibitions stated in Article 6 of Law No. 4628 or are convicted of crimes related to the duties assigned to them by Law No. 4628, or who are found to have lost the qualifications required to be a civil servant under the State Civil Servants Law No. 657, or who are unable to perform their duties for more than three months due to illness, accident, or any other reason, or who are proved by a medical report from a fully equipped hospital without waiting for a three-month period, are dismissed from their positions by the President before the end of their terms. In case of vacancy in the Presidency or membership for any reason before the end of the term, appointments are made within one month to fill the vacant positions. The members whose terms have expired can be reappointed.</w:t>
      </w:r>
    </w:p>
    <w:p w14:paraId="45FEC60E" w14:textId="6487454C" w:rsidR="6F691FB8" w:rsidRPr="008902F2" w:rsidRDefault="6F691FB8" w:rsidP="6F691FB8">
      <w:pPr>
        <w:spacing w:after="0"/>
        <w:rPr>
          <w:rFonts w:ascii="Times New Roman" w:hAnsi="Times New Roman"/>
          <w:lang w:val="en-US"/>
        </w:rPr>
      </w:pPr>
    </w:p>
    <w:p w14:paraId="2946DB82" w14:textId="07F4D7AA" w:rsidR="009F6B4A" w:rsidRPr="008902F2" w:rsidRDefault="59B1E313" w:rsidP="009F6B4A">
      <w:pPr>
        <w:spacing w:after="0"/>
        <w:rPr>
          <w:rFonts w:ascii="Times New Roman" w:hAnsi="Times New Roman"/>
          <w:lang w:val="en-US"/>
        </w:rPr>
      </w:pPr>
      <w:r w:rsidRPr="008902F2">
        <w:rPr>
          <w:rFonts w:ascii="Times New Roman" w:hAnsi="Times New Roman"/>
          <w:lang w:val="en-US"/>
        </w:rPr>
        <w:lastRenderedPageBreak/>
        <w:t>The Board convenes as frequently as deemed necessary, at least once a week. The meetings are presided over by the Board President or, in their absence, the Vice President. The agenda for each meeting is prepared by the President or, in their absence, the Vice President, and it is communicated to the Board members before the meeting.</w:t>
      </w:r>
    </w:p>
    <w:p w14:paraId="5997CC1D" w14:textId="4BC64E09" w:rsidR="009F6B4A" w:rsidRPr="008902F2" w:rsidRDefault="009F6B4A" w:rsidP="6F691FB8">
      <w:pPr>
        <w:spacing w:after="0"/>
        <w:rPr>
          <w:rFonts w:ascii="Times New Roman" w:hAnsi="Times New Roman"/>
          <w:lang w:val="en-US"/>
        </w:rPr>
      </w:pPr>
    </w:p>
    <w:p w14:paraId="6F1A2B35" w14:textId="5D7DF723" w:rsidR="59B1E313" w:rsidRPr="008902F2" w:rsidRDefault="59B1E313" w:rsidP="6F691FB8">
      <w:pPr>
        <w:spacing w:after="0"/>
        <w:rPr>
          <w:rFonts w:ascii="Times New Roman" w:hAnsi="Times New Roman"/>
          <w:color w:val="000000" w:themeColor="text1"/>
          <w:lang w:val="en-US"/>
        </w:rPr>
      </w:pPr>
      <w:r w:rsidRPr="008902F2">
        <w:rPr>
          <w:rFonts w:ascii="Times New Roman" w:hAnsi="Times New Roman"/>
          <w:color w:val="000000" w:themeColor="text1"/>
          <w:lang w:val="en-US"/>
        </w:rPr>
        <w:t>The Board meets with an absolute majority and makes decisions with the majority vote of the members present at the meeting. Table 1.1 shows the distribution of Board Decisions to the Institution's service units in 2022. Table 1.2 provides the distribution of Board Decisions by the Institution's service units for the years 2018-2022. As seen in Table 1.3, the Board made approximately an average of 89 decisions per week in 2022. The vast majority of these decisions are related to electricity market and regulatory activities. Additionally, 58 Board meetings were held in 2022. Therefore, on average, the Board made about 80 decisions per meeting in 2022.</w:t>
      </w:r>
    </w:p>
    <w:p w14:paraId="0FF5B41E" w14:textId="1B0583B1" w:rsidR="6F691FB8" w:rsidRPr="008902F2" w:rsidRDefault="6F691FB8" w:rsidP="6F691FB8">
      <w:pPr>
        <w:spacing w:after="0"/>
        <w:rPr>
          <w:rFonts w:ascii="Times New Roman" w:hAnsi="Times New Roman"/>
          <w:color w:val="000000" w:themeColor="text1"/>
          <w:lang w:val="en-US"/>
        </w:rPr>
      </w:pPr>
    </w:p>
    <w:p w14:paraId="1EF824C4" w14:textId="77777777" w:rsidR="009F6B4A" w:rsidRPr="008902F2" w:rsidRDefault="00C96A99" w:rsidP="00E411DD">
      <w:pPr>
        <w:pStyle w:val="Balk5"/>
        <w:jc w:val="center"/>
        <w:rPr>
          <w:rStyle w:val="Gl"/>
          <w:rFonts w:ascii="Times New Roman" w:hAnsi="Times New Roman" w:cs="Times New Roman"/>
          <w:color w:val="auto"/>
          <w:lang w:val="en-US"/>
        </w:rPr>
      </w:pPr>
      <w:bookmarkStart w:id="10" w:name="_Toc416447566"/>
      <w:bookmarkStart w:id="11" w:name="_Toc442441723"/>
      <w:bookmarkStart w:id="12" w:name="_Toc505346151"/>
      <w:bookmarkStart w:id="13" w:name="_Toc132713883"/>
      <w:r w:rsidRPr="008902F2">
        <w:rPr>
          <w:rStyle w:val="Gl"/>
          <w:rFonts w:ascii="Times New Roman" w:hAnsi="Times New Roman" w:cs="Times New Roman"/>
          <w:color w:val="auto"/>
          <w:lang w:val="en-US"/>
        </w:rPr>
        <w:t>Table 1.1: Distribution of Board Decisions Taken in 2022 by Institution Service Units</w:t>
      </w:r>
      <w:bookmarkEnd w:id="10"/>
      <w:bookmarkEnd w:id="11"/>
      <w:bookmarkEnd w:id="12"/>
      <w:bookmarkEnd w:id="13"/>
    </w:p>
    <w:tbl>
      <w:tblPr>
        <w:tblW w:w="4923" w:type="pct"/>
        <w:tblCellMar>
          <w:left w:w="70" w:type="dxa"/>
          <w:right w:w="70" w:type="dxa"/>
        </w:tblCellMar>
        <w:tblLook w:val="04A0" w:firstRow="1" w:lastRow="0" w:firstColumn="1" w:lastColumn="0" w:noHBand="0" w:noVBand="1"/>
      </w:tblPr>
      <w:tblGrid>
        <w:gridCol w:w="5715"/>
        <w:gridCol w:w="1954"/>
        <w:gridCol w:w="2081"/>
      </w:tblGrid>
      <w:tr w:rsidR="00C96A99" w:rsidRPr="008902F2" w14:paraId="67227501" w14:textId="77777777" w:rsidTr="00E15918">
        <w:trPr>
          <w:trHeight w:val="21"/>
        </w:trPr>
        <w:tc>
          <w:tcPr>
            <w:tcW w:w="2931"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hideMark/>
          </w:tcPr>
          <w:p w14:paraId="45D3C7D0" w14:textId="77777777" w:rsidR="00C96A99" w:rsidRPr="008902F2" w:rsidRDefault="00C96A99" w:rsidP="00C96A99">
            <w:pPr>
              <w:spacing w:after="0" w:line="240" w:lineRule="auto"/>
              <w:jc w:val="center"/>
              <w:rPr>
                <w:rFonts w:ascii="Times New Roman" w:eastAsia="Times New Roman" w:hAnsi="Times New Roman"/>
                <w:b/>
                <w:bCs/>
                <w:color w:val="FFFFFF"/>
                <w:lang w:val="en-US" w:eastAsia="tr-TR"/>
              </w:rPr>
            </w:pPr>
            <w:bookmarkStart w:id="14" w:name="_Toc416447567"/>
            <w:bookmarkStart w:id="15" w:name="_Toc442441724"/>
            <w:r w:rsidRPr="008902F2">
              <w:rPr>
                <w:rFonts w:ascii="Times New Roman" w:eastAsia="Times New Roman" w:hAnsi="Times New Roman"/>
                <w:b/>
                <w:color w:val="FFFFFF"/>
                <w:lang w:val="en-US"/>
              </w:rPr>
              <w:t>Name of Service Unit</w:t>
            </w:r>
          </w:p>
        </w:tc>
        <w:tc>
          <w:tcPr>
            <w:tcW w:w="1002"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76D14CBC" w14:textId="77777777" w:rsidR="00C96A99" w:rsidRPr="008902F2" w:rsidRDefault="00C96A99" w:rsidP="00C96A99">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Number of Decisions</w:t>
            </w:r>
          </w:p>
        </w:tc>
        <w:tc>
          <w:tcPr>
            <w:tcW w:w="1068"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34DBF341" w14:textId="77777777" w:rsidR="00C96A99" w:rsidRPr="008902F2" w:rsidRDefault="00C96A99" w:rsidP="00C96A99">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Rate (%)</w:t>
            </w:r>
          </w:p>
        </w:tc>
      </w:tr>
      <w:tr w:rsidR="0002480D" w:rsidRPr="008902F2" w14:paraId="6816BF26"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74119B" w14:textId="27808A66" w:rsidR="0002480D" w:rsidRPr="008902F2" w:rsidRDefault="78AC6B7E" w:rsidP="0002480D">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themeColor="text1"/>
                <w:lang w:val="en-US"/>
              </w:rPr>
              <w:t>Electricity Market Department Presinden</w:t>
            </w:r>
            <w:r w:rsidR="3F6CE8CB" w:rsidRPr="008902F2">
              <w:rPr>
                <w:rFonts w:ascii="Times New Roman" w:eastAsia="Times New Roman" w:hAnsi="Times New Roman"/>
                <w:color w:val="000000" w:themeColor="text1"/>
                <w:lang w:val="en-US"/>
              </w:rPr>
              <w:t xml:space="preserve">cy </w:t>
            </w:r>
            <w:r w:rsidR="487B7BB2" w:rsidRPr="008902F2">
              <w:rPr>
                <w:rFonts w:ascii="Times New Roman" w:eastAsia="Times New Roman" w:hAnsi="Times New Roman"/>
                <w:color w:val="000000" w:themeColor="text1"/>
                <w:lang w:val="en-US"/>
              </w:rPr>
              <w:t>(EPD)</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3BB44CCB" w14:textId="77777777" w:rsidR="0002480D" w:rsidRPr="008902F2" w:rsidRDefault="0002480D" w:rsidP="0002480D">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1.942</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783D86E5" w14:textId="77777777" w:rsidR="0002480D" w:rsidRPr="008902F2" w:rsidRDefault="0002480D" w:rsidP="0002480D">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42,20</w:t>
            </w:r>
          </w:p>
        </w:tc>
      </w:tr>
      <w:tr w:rsidR="0048340C" w:rsidRPr="008902F2" w14:paraId="5CD17C8C"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E684F21"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Audit Department (DDB)</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3729377F"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1.093</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1E8E74E3" w14:textId="77777777" w:rsidR="0048340C" w:rsidRPr="008902F2" w:rsidRDefault="0048340C" w:rsidP="0048340C">
            <w:pPr>
              <w:spacing w:after="0" w:line="240" w:lineRule="auto"/>
              <w:jc w:val="right"/>
              <w:rPr>
                <w:rFonts w:ascii="Times New Roman" w:hAnsi="Times New Roman"/>
                <w:sz w:val="20"/>
                <w:szCs w:val="20"/>
                <w:lang w:val="en-US"/>
              </w:rPr>
            </w:pPr>
            <w:r w:rsidRPr="008902F2">
              <w:rPr>
                <w:rFonts w:ascii="Times New Roman" w:hAnsi="Times New Roman"/>
                <w:sz w:val="20"/>
                <w:szCs w:val="20"/>
                <w:lang w:val="en-US"/>
              </w:rPr>
              <w:t>23,75</w:t>
            </w:r>
          </w:p>
        </w:tc>
      </w:tr>
      <w:tr w:rsidR="0048340C" w:rsidRPr="008902F2" w14:paraId="7DA922DA"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73DBFEF4"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Tariffs (TDB)</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787DB787"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614</w:t>
            </w:r>
          </w:p>
        </w:tc>
        <w:tc>
          <w:tcPr>
            <w:tcW w:w="1068" w:type="pct"/>
            <w:tcBorders>
              <w:top w:val="nil"/>
              <w:left w:val="nil"/>
              <w:bottom w:val="single" w:sz="8" w:space="0" w:color="D9D9D9" w:themeColor="background1" w:themeShade="D9"/>
              <w:right w:val="single" w:sz="8" w:space="0" w:color="D9D9D9" w:themeColor="background1" w:themeShade="D9"/>
            </w:tcBorders>
            <w:vAlign w:val="bottom"/>
            <w:hideMark/>
          </w:tcPr>
          <w:p w14:paraId="1C1DBDBF"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13,34</w:t>
            </w:r>
          </w:p>
        </w:tc>
      </w:tr>
      <w:tr w:rsidR="0048340C" w:rsidRPr="008902F2" w14:paraId="3AD0886E"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D40C094"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Expropriation (KDB)</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2E63F696"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442</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10C751D4"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9,60</w:t>
            </w:r>
          </w:p>
        </w:tc>
      </w:tr>
      <w:tr w:rsidR="0048340C" w:rsidRPr="008902F2" w14:paraId="5EDAD447"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E8CD05B"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Natural Gas Market (DPD)</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7BE8521C"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213</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7F8AEECF"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4,63</w:t>
            </w:r>
          </w:p>
        </w:tc>
      </w:tr>
      <w:tr w:rsidR="0048340C" w:rsidRPr="008902F2" w14:paraId="769674D9"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5EC0A304"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Petroleum Market (PPD)</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5E7BE1F9"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134</w:t>
            </w:r>
          </w:p>
        </w:tc>
        <w:tc>
          <w:tcPr>
            <w:tcW w:w="1068" w:type="pct"/>
            <w:tcBorders>
              <w:top w:val="nil"/>
              <w:left w:val="nil"/>
              <w:bottom w:val="single" w:sz="8" w:space="0" w:color="D9D9D9" w:themeColor="background1" w:themeShade="D9"/>
              <w:right w:val="single" w:sz="8" w:space="0" w:color="D9D9D9" w:themeColor="background1" w:themeShade="D9"/>
            </w:tcBorders>
            <w:vAlign w:val="bottom"/>
            <w:hideMark/>
          </w:tcPr>
          <w:p w14:paraId="43D0E3A8"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2,91</w:t>
            </w:r>
          </w:p>
        </w:tc>
      </w:tr>
      <w:tr w:rsidR="0048340C" w:rsidRPr="008902F2" w14:paraId="6D5F9BD7"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0EB2456"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Energy Transformation (EDD)</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31B2963F"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84</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289F737D"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1,83</w:t>
            </w:r>
          </w:p>
        </w:tc>
      </w:tr>
      <w:tr w:rsidR="0048340C" w:rsidRPr="008902F2" w14:paraId="23E808FB"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573285EF"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LPG Market Department (LPG)</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0CD124DB"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38</w:t>
            </w:r>
          </w:p>
        </w:tc>
        <w:tc>
          <w:tcPr>
            <w:tcW w:w="1068" w:type="pct"/>
            <w:tcBorders>
              <w:top w:val="nil"/>
              <w:left w:val="nil"/>
              <w:bottom w:val="single" w:sz="8" w:space="0" w:color="D9D9D9" w:themeColor="background1" w:themeShade="D9"/>
              <w:right w:val="single" w:sz="8" w:space="0" w:color="D9D9D9" w:themeColor="background1" w:themeShade="D9"/>
            </w:tcBorders>
            <w:vAlign w:val="bottom"/>
            <w:hideMark/>
          </w:tcPr>
          <w:p w14:paraId="0E51490C"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0,83</w:t>
            </w:r>
          </w:p>
        </w:tc>
      </w:tr>
      <w:tr w:rsidR="0048340C" w:rsidRPr="008902F2" w14:paraId="7BFCBE82"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2054CB27"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Human Resources and Support Services (HRD)</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72E4F76D"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23</w:t>
            </w:r>
          </w:p>
        </w:tc>
        <w:tc>
          <w:tcPr>
            <w:tcW w:w="1068" w:type="pct"/>
            <w:tcBorders>
              <w:top w:val="nil"/>
              <w:left w:val="nil"/>
              <w:bottom w:val="single" w:sz="8" w:space="0" w:color="D9D9D9" w:themeColor="background1" w:themeShade="D9"/>
              <w:right w:val="single" w:sz="8" w:space="0" w:color="D9D9D9" w:themeColor="background1" w:themeShade="D9"/>
            </w:tcBorders>
            <w:vAlign w:val="bottom"/>
            <w:hideMark/>
          </w:tcPr>
          <w:p w14:paraId="0A34F4C4"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0,50</w:t>
            </w:r>
          </w:p>
        </w:tc>
      </w:tr>
      <w:tr w:rsidR="0048340C" w:rsidRPr="008902F2" w14:paraId="2BCCA108"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1F0F02FE"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Strategy Development (SGD)</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111B77A1"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17</w:t>
            </w:r>
          </w:p>
        </w:tc>
        <w:tc>
          <w:tcPr>
            <w:tcW w:w="1068" w:type="pct"/>
            <w:tcBorders>
              <w:top w:val="nil"/>
              <w:left w:val="nil"/>
              <w:bottom w:val="single" w:sz="8" w:space="0" w:color="D9D9D9" w:themeColor="background1" w:themeShade="D9"/>
              <w:right w:val="single" w:sz="8" w:space="0" w:color="D9D9D9" w:themeColor="background1" w:themeShade="D9"/>
            </w:tcBorders>
            <w:vAlign w:val="bottom"/>
            <w:hideMark/>
          </w:tcPr>
          <w:p w14:paraId="48B912B6"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0,37</w:t>
            </w:r>
          </w:p>
        </w:tc>
      </w:tr>
      <w:tr w:rsidR="0048340C" w:rsidRPr="008902F2" w14:paraId="56FEBD32"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50F2874"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Legal Department (HDB)</w:t>
            </w:r>
          </w:p>
        </w:tc>
        <w:tc>
          <w:tcPr>
            <w:tcW w:w="1002" w:type="pct"/>
            <w:tcBorders>
              <w:top w:val="nil"/>
              <w:left w:val="nil"/>
              <w:bottom w:val="single" w:sz="8" w:space="0" w:color="D9D9D9" w:themeColor="background1" w:themeShade="D9"/>
              <w:right w:val="single" w:sz="8" w:space="0" w:color="D9D9D9" w:themeColor="background1" w:themeShade="D9"/>
            </w:tcBorders>
            <w:vAlign w:val="center"/>
          </w:tcPr>
          <w:p w14:paraId="18F999B5"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w:t>
            </w:r>
          </w:p>
        </w:tc>
        <w:tc>
          <w:tcPr>
            <w:tcW w:w="1068" w:type="pct"/>
            <w:tcBorders>
              <w:top w:val="nil"/>
              <w:left w:val="nil"/>
              <w:bottom w:val="single" w:sz="8" w:space="0" w:color="D9D9D9" w:themeColor="background1" w:themeShade="D9"/>
              <w:right w:val="single" w:sz="8" w:space="0" w:color="D9D9D9" w:themeColor="background1" w:themeShade="D9"/>
            </w:tcBorders>
            <w:vAlign w:val="bottom"/>
          </w:tcPr>
          <w:p w14:paraId="0677A7D9"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0,04</w:t>
            </w:r>
          </w:p>
        </w:tc>
      </w:tr>
      <w:tr w:rsidR="0048340C" w:rsidRPr="008902F2" w14:paraId="1EB4041F"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31EDABBF"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Department of Information Technologies (BID)</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4B584315"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0</w:t>
            </w:r>
          </w:p>
        </w:tc>
        <w:tc>
          <w:tcPr>
            <w:tcW w:w="1068" w:type="pct"/>
            <w:tcBorders>
              <w:top w:val="nil"/>
              <w:left w:val="nil"/>
              <w:bottom w:val="single" w:sz="8" w:space="0" w:color="D9D9D9" w:themeColor="background1" w:themeShade="D9"/>
              <w:right w:val="single" w:sz="8" w:space="0" w:color="D9D9D9" w:themeColor="background1" w:themeShade="D9"/>
            </w:tcBorders>
            <w:vAlign w:val="center"/>
            <w:hideMark/>
          </w:tcPr>
          <w:p w14:paraId="2322F001"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0</w:t>
            </w:r>
          </w:p>
        </w:tc>
      </w:tr>
      <w:tr w:rsidR="0048340C" w:rsidRPr="008902F2" w14:paraId="486E3A6F"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1310F487" w14:textId="77777777" w:rsidR="0048340C" w:rsidRPr="008902F2" w:rsidRDefault="0048340C" w:rsidP="0048340C">
            <w:pPr>
              <w:spacing w:after="0" w:line="240" w:lineRule="auto"/>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Board Services Directorate (KHM)</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7B7EFE02"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0</w:t>
            </w:r>
          </w:p>
        </w:tc>
        <w:tc>
          <w:tcPr>
            <w:tcW w:w="1068" w:type="pct"/>
            <w:tcBorders>
              <w:top w:val="nil"/>
              <w:left w:val="nil"/>
              <w:bottom w:val="single" w:sz="8" w:space="0" w:color="D9D9D9" w:themeColor="background1" w:themeShade="D9"/>
              <w:right w:val="single" w:sz="8" w:space="0" w:color="D9D9D9" w:themeColor="background1" w:themeShade="D9"/>
            </w:tcBorders>
            <w:vAlign w:val="center"/>
            <w:hideMark/>
          </w:tcPr>
          <w:p w14:paraId="33113584" w14:textId="77777777" w:rsidR="0048340C" w:rsidRPr="008902F2" w:rsidRDefault="0048340C" w:rsidP="0048340C">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0</w:t>
            </w:r>
          </w:p>
        </w:tc>
      </w:tr>
      <w:tr w:rsidR="0048340C" w:rsidRPr="008902F2" w14:paraId="0566E5A8" w14:textId="77777777" w:rsidTr="00E15918">
        <w:trPr>
          <w:trHeight w:val="21"/>
        </w:trPr>
        <w:tc>
          <w:tcPr>
            <w:tcW w:w="2931" w:type="pc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07FFAFE9" w14:textId="7313929A" w:rsidR="0048340C" w:rsidRPr="008902F2" w:rsidRDefault="771D9BC4" w:rsidP="0048340C">
            <w:pPr>
              <w:spacing w:after="0" w:line="240" w:lineRule="auto"/>
              <w:rPr>
                <w:rFonts w:ascii="Times New Roman" w:eastAsia="Times New Roman" w:hAnsi="Times New Roman"/>
                <w:b/>
                <w:bCs/>
                <w:color w:val="000000"/>
                <w:lang w:val="en-US" w:eastAsia="tr-TR"/>
              </w:rPr>
            </w:pPr>
            <w:r w:rsidRPr="008902F2">
              <w:rPr>
                <w:rFonts w:ascii="Times New Roman" w:eastAsia="Times New Roman" w:hAnsi="Times New Roman"/>
                <w:b/>
                <w:bCs/>
                <w:color w:val="000000" w:themeColor="text1"/>
                <w:lang w:val="en-US"/>
              </w:rPr>
              <w:t>Total</w:t>
            </w:r>
          </w:p>
        </w:tc>
        <w:tc>
          <w:tcPr>
            <w:tcW w:w="1002" w:type="pct"/>
            <w:tcBorders>
              <w:top w:val="nil"/>
              <w:left w:val="nil"/>
              <w:bottom w:val="single" w:sz="8" w:space="0" w:color="D9D9D9" w:themeColor="background1" w:themeShade="D9"/>
              <w:right w:val="single" w:sz="8" w:space="0" w:color="D9D9D9" w:themeColor="background1" w:themeShade="D9"/>
            </w:tcBorders>
            <w:vAlign w:val="center"/>
            <w:hideMark/>
          </w:tcPr>
          <w:p w14:paraId="3E2657BA" w14:textId="77777777" w:rsidR="0048340C" w:rsidRPr="008902F2" w:rsidRDefault="0048340C" w:rsidP="0048340C">
            <w:pPr>
              <w:spacing w:after="0" w:line="240" w:lineRule="auto"/>
              <w:jc w:val="right"/>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4.602</w:t>
            </w:r>
          </w:p>
        </w:tc>
        <w:tc>
          <w:tcPr>
            <w:tcW w:w="1068" w:type="pct"/>
            <w:tcBorders>
              <w:top w:val="nil"/>
              <w:left w:val="nil"/>
              <w:bottom w:val="single" w:sz="8" w:space="0" w:color="D9D9D9" w:themeColor="background1" w:themeShade="D9"/>
              <w:right w:val="single" w:sz="8" w:space="0" w:color="D9D9D9" w:themeColor="background1" w:themeShade="D9"/>
            </w:tcBorders>
            <w:vAlign w:val="center"/>
            <w:hideMark/>
          </w:tcPr>
          <w:p w14:paraId="0CCF700D" w14:textId="77777777" w:rsidR="0048340C" w:rsidRPr="008902F2" w:rsidRDefault="0048340C" w:rsidP="0048340C">
            <w:pPr>
              <w:spacing w:after="0" w:line="240" w:lineRule="auto"/>
              <w:jc w:val="right"/>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100</w:t>
            </w:r>
          </w:p>
        </w:tc>
      </w:tr>
    </w:tbl>
    <w:p w14:paraId="6CFF5024" w14:textId="77777777" w:rsidR="003C56A2" w:rsidRPr="008902F2" w:rsidRDefault="00C96A99" w:rsidP="00F91931">
      <w:pPr>
        <w:pStyle w:val="Balk5"/>
        <w:spacing w:before="120"/>
        <w:jc w:val="center"/>
        <w:rPr>
          <w:rStyle w:val="Gl"/>
          <w:rFonts w:ascii="Times New Roman" w:hAnsi="Times New Roman" w:cs="Times New Roman"/>
          <w:color w:val="auto"/>
          <w:lang w:val="en-US"/>
        </w:rPr>
      </w:pPr>
      <w:bookmarkStart w:id="16" w:name="_Toc132713884"/>
      <w:r w:rsidRPr="008902F2">
        <w:rPr>
          <w:rStyle w:val="Gl"/>
          <w:rFonts w:ascii="Times New Roman" w:hAnsi="Times New Roman" w:cs="Times New Roman"/>
          <w:color w:val="auto"/>
          <w:lang w:val="en-US"/>
        </w:rPr>
        <w:t>Figure 1.1: Board Decisions Taken by Service Units for 2022</w:t>
      </w:r>
      <w:bookmarkEnd w:id="16"/>
    </w:p>
    <w:p w14:paraId="110FFD37" w14:textId="77777777" w:rsidR="00751D17" w:rsidRPr="008902F2" w:rsidRDefault="002504D2">
      <w:pPr>
        <w:rPr>
          <w:rStyle w:val="Gl"/>
          <w:rFonts w:ascii="Times New Roman" w:hAnsi="Times New Roman"/>
          <w:b w:val="0"/>
          <w:bCs w:val="0"/>
          <w:lang w:val="en-US"/>
        </w:rPr>
      </w:pPr>
      <w:bookmarkStart w:id="17" w:name="_Toc505346152"/>
      <w:r w:rsidRPr="008902F2">
        <w:rPr>
          <w:rFonts w:ascii="Times New Roman" w:hAnsi="Times New Roman"/>
          <w:noProof/>
          <w:lang w:val="en-US"/>
        </w:rPr>
        <w:drawing>
          <wp:inline distT="0" distB="0" distL="0" distR="0" wp14:anchorId="28A6FE6A" wp14:editId="70B1C561">
            <wp:extent cx="6412613" cy="2708694"/>
            <wp:effectExtent l="0" t="0" r="7620" b="15875"/>
            <wp:docPr id="26" name="Grafik 2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6730B4" w14:textId="77777777" w:rsidR="00E15918" w:rsidRPr="008902F2" w:rsidRDefault="00E15918" w:rsidP="00E15918">
      <w:pPr>
        <w:pStyle w:val="Balk5"/>
        <w:spacing w:before="0"/>
        <w:jc w:val="center"/>
        <w:rPr>
          <w:rStyle w:val="Gl"/>
          <w:rFonts w:ascii="Times New Roman" w:hAnsi="Times New Roman" w:cs="Times New Roman"/>
          <w:color w:val="000000" w:themeColor="text1"/>
          <w:lang w:val="en-US"/>
        </w:rPr>
      </w:pPr>
      <w:bookmarkStart w:id="18" w:name="_Toc132713885"/>
    </w:p>
    <w:p w14:paraId="42085C42" w14:textId="074558AA" w:rsidR="009F6B4A" w:rsidRPr="008902F2" w:rsidRDefault="009F6B4A" w:rsidP="00E15918">
      <w:pPr>
        <w:pStyle w:val="Balk5"/>
        <w:spacing w:before="0"/>
        <w:jc w:val="center"/>
        <w:rPr>
          <w:rStyle w:val="Gl"/>
          <w:rFonts w:ascii="Times New Roman" w:hAnsi="Times New Roman" w:cs="Times New Roman"/>
          <w:color w:val="000000" w:themeColor="text1"/>
          <w:lang w:val="en-US"/>
        </w:rPr>
      </w:pPr>
      <w:r w:rsidRPr="008902F2">
        <w:rPr>
          <w:rStyle w:val="Gl"/>
          <w:rFonts w:ascii="Times New Roman" w:hAnsi="Times New Roman" w:cs="Times New Roman"/>
          <w:color w:val="000000" w:themeColor="text1"/>
          <w:lang w:val="en-US"/>
        </w:rPr>
        <w:t>Table 1.2: Distribution of Board Decisions Taken Between 2018-2022 by Institution Service Units</w:t>
      </w:r>
      <w:bookmarkEnd w:id="14"/>
      <w:bookmarkEnd w:id="15"/>
      <w:bookmarkEnd w:id="17"/>
      <w:bookmarkEnd w:id="18"/>
    </w:p>
    <w:tbl>
      <w:tblPr>
        <w:tblW w:w="5000" w:type="pct"/>
        <w:jc w:val="center"/>
        <w:tblCellMar>
          <w:left w:w="70" w:type="dxa"/>
          <w:right w:w="70" w:type="dxa"/>
        </w:tblCellMar>
        <w:tblLook w:val="04A0" w:firstRow="1" w:lastRow="0" w:firstColumn="1" w:lastColumn="0" w:noHBand="0" w:noVBand="1"/>
      </w:tblPr>
      <w:tblGrid>
        <w:gridCol w:w="971"/>
        <w:gridCol w:w="719"/>
        <w:gridCol w:w="719"/>
        <w:gridCol w:w="719"/>
        <w:gridCol w:w="719"/>
        <w:gridCol w:w="719"/>
        <w:gridCol w:w="719"/>
        <w:gridCol w:w="719"/>
        <w:gridCol w:w="719"/>
        <w:gridCol w:w="719"/>
        <w:gridCol w:w="721"/>
        <w:gridCol w:w="828"/>
        <w:gridCol w:w="911"/>
      </w:tblGrid>
      <w:tr w:rsidR="001C7885" w:rsidRPr="008902F2" w14:paraId="40887F1D" w14:textId="77777777" w:rsidTr="002A1509">
        <w:trPr>
          <w:trHeight w:val="737"/>
          <w:jc w:val="center"/>
        </w:trPr>
        <w:tc>
          <w:tcPr>
            <w:tcW w:w="491"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DF5EA61"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bookmarkStart w:id="19" w:name="_Toc416447568"/>
            <w:bookmarkStart w:id="20" w:name="_Toc442441725"/>
            <w:bookmarkStart w:id="21" w:name="_Toc505346153"/>
            <w:r w:rsidRPr="008902F2">
              <w:rPr>
                <w:rFonts w:ascii="Times New Roman" w:eastAsia="Times New Roman" w:hAnsi="Times New Roman"/>
                <w:b/>
                <w:color w:val="FFFFFF"/>
                <w:lang w:val="en-US"/>
              </w:rPr>
              <w:t>Name of Service Unit</w:t>
            </w:r>
          </w:p>
        </w:tc>
        <w:tc>
          <w:tcPr>
            <w:tcW w:w="363" w:type="pct"/>
            <w:tcBorders>
              <w:top w:val="single" w:sz="8" w:space="0" w:color="D9D9D9"/>
              <w:left w:val="nil"/>
              <w:right w:val="single" w:sz="8" w:space="0" w:color="D9D9D9"/>
            </w:tcBorders>
            <w:shd w:val="clear" w:color="000000" w:fill="6E9ECA"/>
            <w:vAlign w:val="center"/>
            <w:hideMark/>
          </w:tcPr>
          <w:p w14:paraId="6B699379"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p>
          <w:p w14:paraId="5C61D62B"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2018</w:t>
            </w:r>
          </w:p>
          <w:p w14:paraId="6E7BEAA2"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 </w:t>
            </w:r>
          </w:p>
        </w:tc>
        <w:tc>
          <w:tcPr>
            <w:tcW w:w="363" w:type="pct"/>
            <w:tcBorders>
              <w:top w:val="single" w:sz="8" w:space="0" w:color="D9D9D9"/>
              <w:left w:val="nil"/>
              <w:right w:val="single" w:sz="8" w:space="0" w:color="D9D9D9"/>
            </w:tcBorders>
            <w:shd w:val="clear" w:color="000000" w:fill="6E9ECA"/>
            <w:vAlign w:val="center"/>
            <w:hideMark/>
          </w:tcPr>
          <w:p w14:paraId="3FE9F23F"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p>
          <w:p w14:paraId="586E2C48"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 (%)</w:t>
            </w:r>
          </w:p>
          <w:p w14:paraId="63E4A9CD"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 </w:t>
            </w:r>
          </w:p>
        </w:tc>
        <w:tc>
          <w:tcPr>
            <w:tcW w:w="363" w:type="pct"/>
            <w:tcBorders>
              <w:top w:val="single" w:sz="8" w:space="0" w:color="D9D9D9"/>
              <w:left w:val="nil"/>
              <w:right w:val="single" w:sz="8" w:space="0" w:color="D9D9D9"/>
            </w:tcBorders>
            <w:shd w:val="clear" w:color="000000" w:fill="6E9ECA"/>
            <w:vAlign w:val="center"/>
            <w:hideMark/>
          </w:tcPr>
          <w:p w14:paraId="1F72F646"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p>
          <w:p w14:paraId="650B5A13"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2019</w:t>
            </w:r>
          </w:p>
          <w:p w14:paraId="4F6584BE"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 </w:t>
            </w:r>
          </w:p>
        </w:tc>
        <w:tc>
          <w:tcPr>
            <w:tcW w:w="363" w:type="pct"/>
            <w:tcBorders>
              <w:top w:val="single" w:sz="8" w:space="0" w:color="D9D9D9"/>
              <w:left w:val="nil"/>
              <w:right w:val="single" w:sz="8" w:space="0" w:color="D9D9D9"/>
            </w:tcBorders>
            <w:shd w:val="clear" w:color="000000" w:fill="6E9ECA"/>
            <w:vAlign w:val="center"/>
            <w:hideMark/>
          </w:tcPr>
          <w:p w14:paraId="08CE6F91"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p>
          <w:p w14:paraId="1B947E8C"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 (%)</w:t>
            </w:r>
          </w:p>
          <w:p w14:paraId="09AF38FC"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 </w:t>
            </w:r>
          </w:p>
        </w:tc>
        <w:tc>
          <w:tcPr>
            <w:tcW w:w="363" w:type="pct"/>
            <w:tcBorders>
              <w:top w:val="single" w:sz="8" w:space="0" w:color="D9D9D9"/>
              <w:left w:val="nil"/>
              <w:right w:val="single" w:sz="8" w:space="0" w:color="D9D9D9"/>
            </w:tcBorders>
            <w:shd w:val="clear" w:color="000000" w:fill="6E9ECA"/>
            <w:noWrap/>
            <w:vAlign w:val="center"/>
            <w:hideMark/>
          </w:tcPr>
          <w:p w14:paraId="42B71CCD"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2020</w:t>
            </w:r>
          </w:p>
        </w:tc>
        <w:tc>
          <w:tcPr>
            <w:tcW w:w="363" w:type="pct"/>
            <w:tcBorders>
              <w:top w:val="single" w:sz="8" w:space="0" w:color="D9D9D9"/>
              <w:left w:val="nil"/>
              <w:right w:val="single" w:sz="8" w:space="0" w:color="D9D9D9"/>
            </w:tcBorders>
            <w:shd w:val="clear" w:color="000000" w:fill="6E9ECA"/>
            <w:vAlign w:val="center"/>
            <w:hideMark/>
          </w:tcPr>
          <w:p w14:paraId="123B8D16"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w:t>
            </w:r>
          </w:p>
          <w:p w14:paraId="28D51379"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65B281B9"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2021</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64925683"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1FBE425F"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2022</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0743F874"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479E985" w14:textId="77283651" w:rsidR="001C7885" w:rsidRPr="008902F2" w:rsidRDefault="00252D3C"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Total</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1C65BC9"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Pay</w:t>
            </w:r>
          </w:p>
          <w:p w14:paraId="1CA3E42C" w14:textId="77777777" w:rsidR="001C7885" w:rsidRPr="008902F2" w:rsidRDefault="001C7885" w:rsidP="001C7885">
            <w:pPr>
              <w:spacing w:after="0" w:line="240" w:lineRule="auto"/>
              <w:jc w:val="center"/>
              <w:rPr>
                <w:rFonts w:ascii="Times New Roman" w:eastAsia="Times New Roman" w:hAnsi="Times New Roman"/>
                <w:b/>
                <w:bCs/>
                <w:color w:val="FFFFFF"/>
                <w:lang w:val="en-US" w:eastAsia="tr-TR"/>
              </w:rPr>
            </w:pPr>
            <w:r w:rsidRPr="008902F2">
              <w:rPr>
                <w:rFonts w:ascii="Times New Roman" w:eastAsia="Times New Roman" w:hAnsi="Times New Roman"/>
                <w:b/>
                <w:color w:val="FFFFFF"/>
                <w:lang w:val="en-US"/>
              </w:rPr>
              <w:t>(%)</w:t>
            </w:r>
          </w:p>
        </w:tc>
      </w:tr>
      <w:tr w:rsidR="001F39FB" w:rsidRPr="008902F2" w14:paraId="4A0F255B"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521CECCF"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KDB</w:t>
            </w:r>
          </w:p>
        </w:tc>
        <w:tc>
          <w:tcPr>
            <w:tcW w:w="363" w:type="pct"/>
            <w:tcBorders>
              <w:top w:val="nil"/>
              <w:left w:val="nil"/>
              <w:bottom w:val="single" w:sz="8" w:space="0" w:color="D9D9D9"/>
              <w:right w:val="single" w:sz="8" w:space="0" w:color="D9D9D9"/>
            </w:tcBorders>
            <w:shd w:val="clear" w:color="auto" w:fill="auto"/>
            <w:vAlign w:val="center"/>
          </w:tcPr>
          <w:p w14:paraId="3F78E35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2.100</w:t>
            </w:r>
          </w:p>
        </w:tc>
        <w:tc>
          <w:tcPr>
            <w:tcW w:w="363" w:type="pct"/>
            <w:tcBorders>
              <w:top w:val="nil"/>
              <w:left w:val="nil"/>
              <w:bottom w:val="single" w:sz="8" w:space="0" w:color="D9D9D9"/>
              <w:right w:val="single" w:sz="8" w:space="0" w:color="D9D9D9"/>
            </w:tcBorders>
            <w:shd w:val="clear" w:color="auto" w:fill="auto"/>
            <w:noWrap/>
            <w:vAlign w:val="center"/>
          </w:tcPr>
          <w:p w14:paraId="0ABEF3C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25,10</w:t>
            </w:r>
          </w:p>
        </w:tc>
        <w:tc>
          <w:tcPr>
            <w:tcW w:w="363" w:type="pct"/>
            <w:tcBorders>
              <w:top w:val="nil"/>
              <w:left w:val="nil"/>
              <w:bottom w:val="single" w:sz="8" w:space="0" w:color="D9D9D9"/>
              <w:right w:val="single" w:sz="8" w:space="0" w:color="D9D9D9"/>
            </w:tcBorders>
            <w:shd w:val="clear" w:color="auto" w:fill="auto"/>
            <w:vAlign w:val="center"/>
          </w:tcPr>
          <w:p w14:paraId="050E93F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3.996</w:t>
            </w:r>
          </w:p>
        </w:tc>
        <w:tc>
          <w:tcPr>
            <w:tcW w:w="363" w:type="pct"/>
            <w:tcBorders>
              <w:top w:val="nil"/>
              <w:left w:val="nil"/>
              <w:bottom w:val="single" w:sz="8" w:space="0" w:color="D9D9D9"/>
              <w:right w:val="single" w:sz="8" w:space="0" w:color="D9D9D9"/>
            </w:tcBorders>
            <w:shd w:val="clear" w:color="auto" w:fill="auto"/>
            <w:noWrap/>
            <w:vAlign w:val="center"/>
          </w:tcPr>
          <w:p w14:paraId="7BEA758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42,52</w:t>
            </w:r>
          </w:p>
        </w:tc>
        <w:tc>
          <w:tcPr>
            <w:tcW w:w="363" w:type="pct"/>
            <w:tcBorders>
              <w:top w:val="nil"/>
              <w:left w:val="nil"/>
              <w:bottom w:val="single" w:sz="8" w:space="0" w:color="D9D9D9"/>
              <w:right w:val="single" w:sz="8" w:space="0" w:color="D9D9D9"/>
            </w:tcBorders>
            <w:shd w:val="clear" w:color="auto" w:fill="auto"/>
            <w:noWrap/>
            <w:vAlign w:val="center"/>
          </w:tcPr>
          <w:p w14:paraId="336ABB4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4.986</w:t>
            </w:r>
          </w:p>
        </w:tc>
        <w:tc>
          <w:tcPr>
            <w:tcW w:w="363" w:type="pct"/>
            <w:tcBorders>
              <w:top w:val="nil"/>
              <w:left w:val="nil"/>
              <w:bottom w:val="single" w:sz="8" w:space="0" w:color="D9D9D9"/>
              <w:right w:val="single" w:sz="8" w:space="0" w:color="D9D9D9"/>
            </w:tcBorders>
            <w:shd w:val="clear" w:color="auto" w:fill="auto"/>
            <w:noWrap/>
            <w:vAlign w:val="center"/>
          </w:tcPr>
          <w:p w14:paraId="3E5D68E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51,85</w:t>
            </w:r>
          </w:p>
        </w:tc>
        <w:tc>
          <w:tcPr>
            <w:tcW w:w="363" w:type="pct"/>
            <w:tcBorders>
              <w:top w:val="nil"/>
              <w:left w:val="nil"/>
              <w:bottom w:val="single" w:sz="8" w:space="0" w:color="D9D9D9"/>
              <w:right w:val="single" w:sz="8" w:space="0" w:color="D9D9D9"/>
            </w:tcBorders>
            <w:shd w:val="clear" w:color="auto" w:fill="auto"/>
            <w:noWrap/>
            <w:vAlign w:val="center"/>
          </w:tcPr>
          <w:p w14:paraId="1665ABB0"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284</w:t>
            </w:r>
          </w:p>
        </w:tc>
        <w:tc>
          <w:tcPr>
            <w:tcW w:w="363" w:type="pct"/>
            <w:tcBorders>
              <w:top w:val="nil"/>
              <w:left w:val="nil"/>
              <w:bottom w:val="single" w:sz="8" w:space="0" w:color="D9D9D9"/>
              <w:right w:val="single" w:sz="8" w:space="0" w:color="D9D9D9"/>
            </w:tcBorders>
            <w:shd w:val="clear" w:color="auto" w:fill="auto"/>
            <w:noWrap/>
            <w:vAlign w:val="center"/>
          </w:tcPr>
          <w:p w14:paraId="607A369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5,45</w:t>
            </w:r>
          </w:p>
        </w:tc>
        <w:tc>
          <w:tcPr>
            <w:tcW w:w="363" w:type="pct"/>
            <w:tcBorders>
              <w:top w:val="nil"/>
              <w:left w:val="nil"/>
              <w:bottom w:val="single" w:sz="8" w:space="0" w:color="D9D9D9"/>
              <w:right w:val="single" w:sz="8" w:space="0" w:color="D9D9D9"/>
            </w:tcBorders>
            <w:shd w:val="clear" w:color="auto" w:fill="auto"/>
            <w:noWrap/>
            <w:vAlign w:val="center"/>
          </w:tcPr>
          <w:p w14:paraId="7097612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442</w:t>
            </w:r>
          </w:p>
        </w:tc>
        <w:tc>
          <w:tcPr>
            <w:tcW w:w="364" w:type="pct"/>
            <w:tcBorders>
              <w:top w:val="nil"/>
              <w:left w:val="nil"/>
              <w:bottom w:val="single" w:sz="8" w:space="0" w:color="D9D9D9"/>
              <w:right w:val="single" w:sz="8" w:space="0" w:color="D9D9D9"/>
            </w:tcBorders>
            <w:shd w:val="clear" w:color="auto" w:fill="auto"/>
            <w:noWrap/>
            <w:vAlign w:val="bottom"/>
          </w:tcPr>
          <w:p w14:paraId="50F3DC2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9,60</w:t>
            </w:r>
          </w:p>
        </w:tc>
        <w:tc>
          <w:tcPr>
            <w:tcW w:w="418" w:type="pct"/>
            <w:tcBorders>
              <w:top w:val="nil"/>
              <w:left w:val="nil"/>
              <w:bottom w:val="single" w:sz="8" w:space="0" w:color="D9D9D9"/>
              <w:right w:val="single" w:sz="8" w:space="0" w:color="D9D9D9"/>
            </w:tcBorders>
            <w:shd w:val="clear" w:color="auto" w:fill="auto"/>
            <w:vAlign w:val="center"/>
          </w:tcPr>
          <w:p w14:paraId="2D6C9104"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11.808</w:t>
            </w:r>
          </w:p>
        </w:tc>
        <w:tc>
          <w:tcPr>
            <w:tcW w:w="460" w:type="pct"/>
            <w:tcBorders>
              <w:top w:val="nil"/>
              <w:left w:val="nil"/>
              <w:bottom w:val="single" w:sz="8" w:space="0" w:color="D9D9D9"/>
              <w:right w:val="single" w:sz="8" w:space="0" w:color="D9D9D9"/>
            </w:tcBorders>
            <w:shd w:val="clear" w:color="auto" w:fill="auto"/>
          </w:tcPr>
          <w:p w14:paraId="66FFA374"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31,75</w:t>
            </w:r>
          </w:p>
        </w:tc>
      </w:tr>
      <w:tr w:rsidR="001F39FB" w:rsidRPr="008902F2" w14:paraId="5D1E53F5"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2342B28C"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DDB</w:t>
            </w:r>
          </w:p>
        </w:tc>
        <w:tc>
          <w:tcPr>
            <w:tcW w:w="363" w:type="pct"/>
            <w:tcBorders>
              <w:top w:val="nil"/>
              <w:left w:val="nil"/>
              <w:bottom w:val="single" w:sz="8" w:space="0" w:color="D9D9D9"/>
              <w:right w:val="single" w:sz="8" w:space="0" w:color="D9D9D9"/>
            </w:tcBorders>
            <w:shd w:val="clear" w:color="auto" w:fill="auto"/>
            <w:vAlign w:val="center"/>
          </w:tcPr>
          <w:p w14:paraId="66223A5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3.044</w:t>
            </w:r>
          </w:p>
        </w:tc>
        <w:tc>
          <w:tcPr>
            <w:tcW w:w="363" w:type="pct"/>
            <w:tcBorders>
              <w:top w:val="nil"/>
              <w:left w:val="nil"/>
              <w:bottom w:val="single" w:sz="8" w:space="0" w:color="D9D9D9"/>
              <w:right w:val="single" w:sz="8" w:space="0" w:color="D9D9D9"/>
            </w:tcBorders>
            <w:shd w:val="clear" w:color="auto" w:fill="auto"/>
            <w:noWrap/>
            <w:vAlign w:val="center"/>
          </w:tcPr>
          <w:p w14:paraId="37EAAD9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36,39</w:t>
            </w:r>
          </w:p>
        </w:tc>
        <w:tc>
          <w:tcPr>
            <w:tcW w:w="363" w:type="pct"/>
            <w:tcBorders>
              <w:top w:val="nil"/>
              <w:left w:val="nil"/>
              <w:bottom w:val="single" w:sz="8" w:space="0" w:color="D9D9D9"/>
              <w:right w:val="single" w:sz="8" w:space="0" w:color="D9D9D9"/>
            </w:tcBorders>
            <w:shd w:val="clear" w:color="auto" w:fill="auto"/>
            <w:vAlign w:val="center"/>
          </w:tcPr>
          <w:p w14:paraId="26CE484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2.125</w:t>
            </w:r>
          </w:p>
        </w:tc>
        <w:tc>
          <w:tcPr>
            <w:tcW w:w="363" w:type="pct"/>
            <w:tcBorders>
              <w:top w:val="nil"/>
              <w:left w:val="nil"/>
              <w:bottom w:val="single" w:sz="8" w:space="0" w:color="D9D9D9"/>
              <w:right w:val="single" w:sz="8" w:space="0" w:color="D9D9D9"/>
            </w:tcBorders>
            <w:shd w:val="clear" w:color="auto" w:fill="auto"/>
            <w:noWrap/>
            <w:vAlign w:val="center"/>
          </w:tcPr>
          <w:p w14:paraId="4A2E2D4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22,61</w:t>
            </w:r>
          </w:p>
        </w:tc>
        <w:tc>
          <w:tcPr>
            <w:tcW w:w="363" w:type="pct"/>
            <w:tcBorders>
              <w:top w:val="nil"/>
              <w:left w:val="nil"/>
              <w:bottom w:val="single" w:sz="8" w:space="0" w:color="D9D9D9"/>
              <w:right w:val="single" w:sz="8" w:space="0" w:color="D9D9D9"/>
            </w:tcBorders>
            <w:shd w:val="clear" w:color="auto" w:fill="auto"/>
            <w:noWrap/>
            <w:vAlign w:val="center"/>
          </w:tcPr>
          <w:p w14:paraId="7F3A929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1.748</w:t>
            </w:r>
          </w:p>
        </w:tc>
        <w:tc>
          <w:tcPr>
            <w:tcW w:w="363" w:type="pct"/>
            <w:tcBorders>
              <w:top w:val="nil"/>
              <w:left w:val="nil"/>
              <w:bottom w:val="single" w:sz="8" w:space="0" w:color="D9D9D9"/>
              <w:right w:val="single" w:sz="8" w:space="0" w:color="D9D9D9"/>
            </w:tcBorders>
            <w:shd w:val="clear" w:color="auto" w:fill="auto"/>
            <w:noWrap/>
            <w:vAlign w:val="center"/>
          </w:tcPr>
          <w:p w14:paraId="1F7A8DB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18,18</w:t>
            </w:r>
          </w:p>
        </w:tc>
        <w:tc>
          <w:tcPr>
            <w:tcW w:w="363" w:type="pct"/>
            <w:tcBorders>
              <w:top w:val="nil"/>
              <w:left w:val="nil"/>
              <w:bottom w:val="single" w:sz="8" w:space="0" w:color="D9D9D9"/>
              <w:right w:val="single" w:sz="8" w:space="0" w:color="D9D9D9"/>
            </w:tcBorders>
            <w:shd w:val="clear" w:color="auto" w:fill="auto"/>
            <w:noWrap/>
            <w:vAlign w:val="center"/>
          </w:tcPr>
          <w:p w14:paraId="0EBB104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1.967</w:t>
            </w:r>
          </w:p>
        </w:tc>
        <w:tc>
          <w:tcPr>
            <w:tcW w:w="363" w:type="pct"/>
            <w:tcBorders>
              <w:top w:val="nil"/>
              <w:left w:val="nil"/>
              <w:bottom w:val="single" w:sz="8" w:space="0" w:color="D9D9D9"/>
              <w:right w:val="single" w:sz="8" w:space="0" w:color="D9D9D9"/>
            </w:tcBorders>
            <w:shd w:val="clear" w:color="auto" w:fill="auto"/>
            <w:noWrap/>
            <w:vAlign w:val="center"/>
          </w:tcPr>
          <w:p w14:paraId="58B252E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37,74</w:t>
            </w:r>
          </w:p>
        </w:tc>
        <w:tc>
          <w:tcPr>
            <w:tcW w:w="363" w:type="pct"/>
            <w:tcBorders>
              <w:top w:val="nil"/>
              <w:left w:val="nil"/>
              <w:bottom w:val="single" w:sz="8" w:space="0" w:color="D9D9D9"/>
              <w:right w:val="single" w:sz="8" w:space="0" w:color="D9D9D9"/>
            </w:tcBorders>
            <w:shd w:val="clear" w:color="auto" w:fill="auto"/>
            <w:noWrap/>
            <w:vAlign w:val="center"/>
          </w:tcPr>
          <w:p w14:paraId="6EDE4C80"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1.093</w:t>
            </w:r>
          </w:p>
        </w:tc>
        <w:tc>
          <w:tcPr>
            <w:tcW w:w="364" w:type="pct"/>
            <w:tcBorders>
              <w:top w:val="nil"/>
              <w:left w:val="nil"/>
              <w:bottom w:val="single" w:sz="8" w:space="0" w:color="D9D9D9"/>
              <w:right w:val="single" w:sz="8" w:space="0" w:color="D9D9D9"/>
            </w:tcBorders>
            <w:shd w:val="clear" w:color="auto" w:fill="auto"/>
            <w:noWrap/>
            <w:vAlign w:val="bottom"/>
          </w:tcPr>
          <w:p w14:paraId="5054173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23,75</w:t>
            </w:r>
          </w:p>
        </w:tc>
        <w:tc>
          <w:tcPr>
            <w:tcW w:w="418" w:type="pct"/>
            <w:tcBorders>
              <w:top w:val="nil"/>
              <w:left w:val="nil"/>
              <w:bottom w:val="single" w:sz="8" w:space="0" w:color="D9D9D9"/>
              <w:right w:val="single" w:sz="8" w:space="0" w:color="D9D9D9"/>
            </w:tcBorders>
            <w:shd w:val="clear" w:color="auto" w:fill="auto"/>
            <w:vAlign w:val="center"/>
          </w:tcPr>
          <w:p w14:paraId="72C71D5A"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9.977</w:t>
            </w:r>
          </w:p>
        </w:tc>
        <w:tc>
          <w:tcPr>
            <w:tcW w:w="460" w:type="pct"/>
            <w:tcBorders>
              <w:top w:val="nil"/>
              <w:left w:val="nil"/>
              <w:bottom w:val="single" w:sz="8" w:space="0" w:color="D9D9D9"/>
              <w:right w:val="single" w:sz="8" w:space="0" w:color="D9D9D9"/>
            </w:tcBorders>
            <w:shd w:val="clear" w:color="auto" w:fill="auto"/>
          </w:tcPr>
          <w:p w14:paraId="74DE35AF"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26,82</w:t>
            </w:r>
          </w:p>
        </w:tc>
      </w:tr>
      <w:tr w:rsidR="001F39FB" w:rsidRPr="008902F2" w14:paraId="57D63450"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6CFA050B"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EPD</w:t>
            </w:r>
          </w:p>
        </w:tc>
        <w:tc>
          <w:tcPr>
            <w:tcW w:w="363" w:type="pct"/>
            <w:tcBorders>
              <w:top w:val="nil"/>
              <w:left w:val="nil"/>
              <w:bottom w:val="single" w:sz="8" w:space="0" w:color="D9D9D9"/>
              <w:right w:val="single" w:sz="8" w:space="0" w:color="D9D9D9"/>
            </w:tcBorders>
            <w:shd w:val="clear" w:color="auto" w:fill="auto"/>
            <w:vAlign w:val="center"/>
          </w:tcPr>
          <w:p w14:paraId="76BF7A8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2.049</w:t>
            </w:r>
          </w:p>
        </w:tc>
        <w:tc>
          <w:tcPr>
            <w:tcW w:w="363" w:type="pct"/>
            <w:tcBorders>
              <w:top w:val="nil"/>
              <w:left w:val="nil"/>
              <w:bottom w:val="single" w:sz="8" w:space="0" w:color="D9D9D9"/>
              <w:right w:val="single" w:sz="8" w:space="0" w:color="D9D9D9"/>
            </w:tcBorders>
            <w:shd w:val="clear" w:color="auto" w:fill="auto"/>
            <w:noWrap/>
            <w:vAlign w:val="center"/>
          </w:tcPr>
          <w:p w14:paraId="770A6C1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24,49</w:t>
            </w:r>
          </w:p>
        </w:tc>
        <w:tc>
          <w:tcPr>
            <w:tcW w:w="363" w:type="pct"/>
            <w:tcBorders>
              <w:top w:val="nil"/>
              <w:left w:val="nil"/>
              <w:bottom w:val="single" w:sz="8" w:space="0" w:color="D9D9D9"/>
              <w:right w:val="single" w:sz="8" w:space="0" w:color="D9D9D9"/>
            </w:tcBorders>
            <w:shd w:val="clear" w:color="auto" w:fill="auto"/>
            <w:vAlign w:val="center"/>
          </w:tcPr>
          <w:p w14:paraId="5945B90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2.211</w:t>
            </w:r>
          </w:p>
        </w:tc>
        <w:tc>
          <w:tcPr>
            <w:tcW w:w="363" w:type="pct"/>
            <w:tcBorders>
              <w:top w:val="nil"/>
              <w:left w:val="nil"/>
              <w:bottom w:val="single" w:sz="8" w:space="0" w:color="D9D9D9"/>
              <w:right w:val="single" w:sz="8" w:space="0" w:color="D9D9D9"/>
            </w:tcBorders>
            <w:shd w:val="clear" w:color="auto" w:fill="auto"/>
            <w:noWrap/>
            <w:vAlign w:val="center"/>
          </w:tcPr>
          <w:p w14:paraId="24EF416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23,53</w:t>
            </w:r>
          </w:p>
        </w:tc>
        <w:tc>
          <w:tcPr>
            <w:tcW w:w="363" w:type="pct"/>
            <w:tcBorders>
              <w:top w:val="nil"/>
              <w:left w:val="nil"/>
              <w:bottom w:val="single" w:sz="8" w:space="0" w:color="D9D9D9"/>
              <w:right w:val="single" w:sz="8" w:space="0" w:color="D9D9D9"/>
            </w:tcBorders>
            <w:shd w:val="clear" w:color="auto" w:fill="auto"/>
            <w:noWrap/>
            <w:vAlign w:val="center"/>
          </w:tcPr>
          <w:p w14:paraId="6BB2D9B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1.723</w:t>
            </w:r>
          </w:p>
        </w:tc>
        <w:tc>
          <w:tcPr>
            <w:tcW w:w="363" w:type="pct"/>
            <w:tcBorders>
              <w:top w:val="nil"/>
              <w:left w:val="nil"/>
              <w:bottom w:val="single" w:sz="8" w:space="0" w:color="D9D9D9"/>
              <w:right w:val="single" w:sz="8" w:space="0" w:color="D9D9D9"/>
            </w:tcBorders>
            <w:shd w:val="clear" w:color="auto" w:fill="auto"/>
            <w:noWrap/>
            <w:vAlign w:val="center"/>
          </w:tcPr>
          <w:p w14:paraId="103206A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17,91</w:t>
            </w:r>
          </w:p>
        </w:tc>
        <w:tc>
          <w:tcPr>
            <w:tcW w:w="363" w:type="pct"/>
            <w:tcBorders>
              <w:top w:val="nil"/>
              <w:left w:val="nil"/>
              <w:bottom w:val="single" w:sz="8" w:space="0" w:color="D9D9D9"/>
              <w:right w:val="single" w:sz="8" w:space="0" w:color="D9D9D9"/>
            </w:tcBorders>
            <w:shd w:val="clear" w:color="auto" w:fill="auto"/>
            <w:noWrap/>
            <w:vAlign w:val="center"/>
          </w:tcPr>
          <w:p w14:paraId="29B3DB2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1.959</w:t>
            </w:r>
          </w:p>
        </w:tc>
        <w:tc>
          <w:tcPr>
            <w:tcW w:w="363" w:type="pct"/>
            <w:tcBorders>
              <w:top w:val="nil"/>
              <w:left w:val="nil"/>
              <w:bottom w:val="single" w:sz="8" w:space="0" w:color="D9D9D9"/>
              <w:right w:val="single" w:sz="8" w:space="0" w:color="D9D9D9"/>
            </w:tcBorders>
            <w:shd w:val="clear" w:color="auto" w:fill="auto"/>
            <w:noWrap/>
            <w:vAlign w:val="center"/>
          </w:tcPr>
          <w:p w14:paraId="490ED5A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37,59</w:t>
            </w:r>
          </w:p>
        </w:tc>
        <w:tc>
          <w:tcPr>
            <w:tcW w:w="363" w:type="pct"/>
            <w:tcBorders>
              <w:top w:val="nil"/>
              <w:left w:val="nil"/>
              <w:bottom w:val="single" w:sz="8" w:space="0" w:color="D9D9D9"/>
              <w:right w:val="single" w:sz="8" w:space="0" w:color="D9D9D9"/>
            </w:tcBorders>
            <w:shd w:val="clear" w:color="auto" w:fill="auto"/>
            <w:noWrap/>
            <w:vAlign w:val="center"/>
          </w:tcPr>
          <w:p w14:paraId="054116E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1.942</w:t>
            </w:r>
          </w:p>
        </w:tc>
        <w:tc>
          <w:tcPr>
            <w:tcW w:w="364" w:type="pct"/>
            <w:tcBorders>
              <w:top w:val="nil"/>
              <w:left w:val="nil"/>
              <w:bottom w:val="single" w:sz="8" w:space="0" w:color="D9D9D9"/>
              <w:right w:val="single" w:sz="8" w:space="0" w:color="D9D9D9"/>
            </w:tcBorders>
            <w:shd w:val="clear" w:color="auto" w:fill="auto"/>
            <w:noWrap/>
            <w:vAlign w:val="bottom"/>
          </w:tcPr>
          <w:p w14:paraId="49C727D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42,20</w:t>
            </w:r>
          </w:p>
        </w:tc>
        <w:tc>
          <w:tcPr>
            <w:tcW w:w="418" w:type="pct"/>
            <w:tcBorders>
              <w:top w:val="nil"/>
              <w:left w:val="nil"/>
              <w:bottom w:val="single" w:sz="8" w:space="0" w:color="D9D9D9"/>
              <w:right w:val="single" w:sz="8" w:space="0" w:color="D9D9D9"/>
            </w:tcBorders>
            <w:shd w:val="clear" w:color="auto" w:fill="auto"/>
            <w:vAlign w:val="center"/>
          </w:tcPr>
          <w:p w14:paraId="2D6A1AFB"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9.884</w:t>
            </w:r>
          </w:p>
        </w:tc>
        <w:tc>
          <w:tcPr>
            <w:tcW w:w="460" w:type="pct"/>
            <w:tcBorders>
              <w:top w:val="nil"/>
              <w:left w:val="nil"/>
              <w:bottom w:val="single" w:sz="8" w:space="0" w:color="D9D9D9"/>
              <w:right w:val="single" w:sz="8" w:space="0" w:color="D9D9D9"/>
            </w:tcBorders>
            <w:shd w:val="clear" w:color="auto" w:fill="auto"/>
          </w:tcPr>
          <w:p w14:paraId="00365A11"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26,57</w:t>
            </w:r>
          </w:p>
        </w:tc>
      </w:tr>
      <w:tr w:rsidR="001F39FB" w:rsidRPr="008902F2" w14:paraId="3AAC2330"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60EE27D7"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TDB</w:t>
            </w:r>
          </w:p>
        </w:tc>
        <w:tc>
          <w:tcPr>
            <w:tcW w:w="363" w:type="pct"/>
            <w:tcBorders>
              <w:top w:val="nil"/>
              <w:left w:val="nil"/>
              <w:bottom w:val="single" w:sz="8" w:space="0" w:color="D9D9D9"/>
              <w:right w:val="single" w:sz="8" w:space="0" w:color="D9D9D9"/>
            </w:tcBorders>
            <w:shd w:val="clear" w:color="auto" w:fill="auto"/>
            <w:vAlign w:val="center"/>
          </w:tcPr>
          <w:p w14:paraId="0AFF7F1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546</w:t>
            </w:r>
          </w:p>
        </w:tc>
        <w:tc>
          <w:tcPr>
            <w:tcW w:w="363" w:type="pct"/>
            <w:tcBorders>
              <w:top w:val="nil"/>
              <w:left w:val="nil"/>
              <w:bottom w:val="single" w:sz="8" w:space="0" w:color="D9D9D9"/>
              <w:right w:val="single" w:sz="8" w:space="0" w:color="D9D9D9"/>
            </w:tcBorders>
            <w:shd w:val="clear" w:color="auto" w:fill="auto"/>
            <w:noWrap/>
            <w:vAlign w:val="center"/>
          </w:tcPr>
          <w:p w14:paraId="045B32C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6,52</w:t>
            </w:r>
          </w:p>
        </w:tc>
        <w:tc>
          <w:tcPr>
            <w:tcW w:w="363" w:type="pct"/>
            <w:tcBorders>
              <w:top w:val="nil"/>
              <w:left w:val="nil"/>
              <w:bottom w:val="single" w:sz="8" w:space="0" w:color="D9D9D9"/>
              <w:right w:val="single" w:sz="8" w:space="0" w:color="D9D9D9"/>
            </w:tcBorders>
            <w:shd w:val="clear" w:color="auto" w:fill="auto"/>
            <w:vAlign w:val="center"/>
          </w:tcPr>
          <w:p w14:paraId="2C51393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524</w:t>
            </w:r>
          </w:p>
        </w:tc>
        <w:tc>
          <w:tcPr>
            <w:tcW w:w="363" w:type="pct"/>
            <w:tcBorders>
              <w:top w:val="nil"/>
              <w:left w:val="nil"/>
              <w:bottom w:val="single" w:sz="8" w:space="0" w:color="D9D9D9"/>
              <w:right w:val="single" w:sz="8" w:space="0" w:color="D9D9D9"/>
            </w:tcBorders>
            <w:shd w:val="clear" w:color="auto" w:fill="auto"/>
            <w:noWrap/>
            <w:vAlign w:val="center"/>
          </w:tcPr>
          <w:p w14:paraId="1682F820"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5,58</w:t>
            </w:r>
          </w:p>
        </w:tc>
        <w:tc>
          <w:tcPr>
            <w:tcW w:w="363" w:type="pct"/>
            <w:tcBorders>
              <w:top w:val="nil"/>
              <w:left w:val="nil"/>
              <w:bottom w:val="single" w:sz="8" w:space="0" w:color="D9D9D9"/>
              <w:right w:val="single" w:sz="8" w:space="0" w:color="D9D9D9"/>
            </w:tcBorders>
            <w:shd w:val="clear" w:color="auto" w:fill="auto"/>
            <w:noWrap/>
            <w:vAlign w:val="center"/>
          </w:tcPr>
          <w:p w14:paraId="6FCAB2C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669</w:t>
            </w:r>
          </w:p>
        </w:tc>
        <w:tc>
          <w:tcPr>
            <w:tcW w:w="363" w:type="pct"/>
            <w:tcBorders>
              <w:top w:val="nil"/>
              <w:left w:val="nil"/>
              <w:bottom w:val="single" w:sz="8" w:space="0" w:color="D9D9D9"/>
              <w:right w:val="single" w:sz="8" w:space="0" w:color="D9D9D9"/>
            </w:tcBorders>
            <w:shd w:val="clear" w:color="auto" w:fill="auto"/>
            <w:noWrap/>
            <w:vAlign w:val="center"/>
          </w:tcPr>
          <w:p w14:paraId="0B32E7B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6,96</w:t>
            </w:r>
          </w:p>
        </w:tc>
        <w:tc>
          <w:tcPr>
            <w:tcW w:w="363" w:type="pct"/>
            <w:tcBorders>
              <w:top w:val="nil"/>
              <w:left w:val="nil"/>
              <w:bottom w:val="single" w:sz="8" w:space="0" w:color="D9D9D9"/>
              <w:right w:val="single" w:sz="8" w:space="0" w:color="D9D9D9"/>
            </w:tcBorders>
            <w:shd w:val="clear" w:color="auto" w:fill="auto"/>
            <w:noWrap/>
            <w:vAlign w:val="center"/>
          </w:tcPr>
          <w:p w14:paraId="36A111F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475</w:t>
            </w:r>
          </w:p>
        </w:tc>
        <w:tc>
          <w:tcPr>
            <w:tcW w:w="363" w:type="pct"/>
            <w:tcBorders>
              <w:top w:val="nil"/>
              <w:left w:val="nil"/>
              <w:bottom w:val="single" w:sz="8" w:space="0" w:color="D9D9D9"/>
              <w:right w:val="single" w:sz="8" w:space="0" w:color="D9D9D9"/>
            </w:tcBorders>
            <w:shd w:val="clear" w:color="auto" w:fill="auto"/>
            <w:noWrap/>
            <w:vAlign w:val="center"/>
          </w:tcPr>
          <w:p w14:paraId="70D3943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9,11</w:t>
            </w:r>
          </w:p>
        </w:tc>
        <w:tc>
          <w:tcPr>
            <w:tcW w:w="363" w:type="pct"/>
            <w:tcBorders>
              <w:top w:val="nil"/>
              <w:left w:val="nil"/>
              <w:bottom w:val="single" w:sz="8" w:space="0" w:color="D9D9D9"/>
              <w:right w:val="single" w:sz="8" w:space="0" w:color="D9D9D9"/>
            </w:tcBorders>
            <w:shd w:val="clear" w:color="auto" w:fill="auto"/>
            <w:noWrap/>
            <w:vAlign w:val="center"/>
          </w:tcPr>
          <w:p w14:paraId="09A5039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614</w:t>
            </w:r>
          </w:p>
        </w:tc>
        <w:tc>
          <w:tcPr>
            <w:tcW w:w="364" w:type="pct"/>
            <w:tcBorders>
              <w:top w:val="nil"/>
              <w:left w:val="nil"/>
              <w:bottom w:val="single" w:sz="8" w:space="0" w:color="D9D9D9"/>
              <w:right w:val="single" w:sz="8" w:space="0" w:color="D9D9D9"/>
            </w:tcBorders>
            <w:shd w:val="clear" w:color="auto" w:fill="auto"/>
            <w:noWrap/>
            <w:vAlign w:val="bottom"/>
          </w:tcPr>
          <w:p w14:paraId="464F73D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13,34</w:t>
            </w:r>
          </w:p>
        </w:tc>
        <w:tc>
          <w:tcPr>
            <w:tcW w:w="418" w:type="pct"/>
            <w:tcBorders>
              <w:top w:val="nil"/>
              <w:left w:val="nil"/>
              <w:bottom w:val="single" w:sz="8" w:space="0" w:color="D9D9D9"/>
              <w:right w:val="single" w:sz="8" w:space="0" w:color="D9D9D9"/>
            </w:tcBorders>
            <w:shd w:val="clear" w:color="auto" w:fill="auto"/>
            <w:vAlign w:val="center"/>
          </w:tcPr>
          <w:p w14:paraId="29438F57"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2.828</w:t>
            </w:r>
          </w:p>
        </w:tc>
        <w:tc>
          <w:tcPr>
            <w:tcW w:w="460" w:type="pct"/>
            <w:tcBorders>
              <w:top w:val="nil"/>
              <w:left w:val="nil"/>
              <w:bottom w:val="single" w:sz="8" w:space="0" w:color="D9D9D9"/>
              <w:right w:val="single" w:sz="8" w:space="0" w:color="D9D9D9"/>
            </w:tcBorders>
            <w:shd w:val="clear" w:color="auto" w:fill="auto"/>
          </w:tcPr>
          <w:p w14:paraId="5DD6020A"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7,60</w:t>
            </w:r>
          </w:p>
        </w:tc>
      </w:tr>
      <w:tr w:rsidR="001F39FB" w:rsidRPr="008902F2" w14:paraId="121381EA"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713256D7"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PPD</w:t>
            </w:r>
          </w:p>
        </w:tc>
        <w:tc>
          <w:tcPr>
            <w:tcW w:w="363" w:type="pct"/>
            <w:tcBorders>
              <w:top w:val="nil"/>
              <w:left w:val="nil"/>
              <w:bottom w:val="single" w:sz="8" w:space="0" w:color="D9D9D9"/>
              <w:right w:val="single" w:sz="8" w:space="0" w:color="D9D9D9"/>
            </w:tcBorders>
            <w:shd w:val="clear" w:color="auto" w:fill="auto"/>
            <w:vAlign w:val="center"/>
          </w:tcPr>
          <w:p w14:paraId="401909B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295</w:t>
            </w:r>
          </w:p>
        </w:tc>
        <w:tc>
          <w:tcPr>
            <w:tcW w:w="363" w:type="pct"/>
            <w:tcBorders>
              <w:top w:val="nil"/>
              <w:left w:val="nil"/>
              <w:bottom w:val="single" w:sz="8" w:space="0" w:color="D9D9D9"/>
              <w:right w:val="single" w:sz="8" w:space="0" w:color="D9D9D9"/>
            </w:tcBorders>
            <w:shd w:val="clear" w:color="auto" w:fill="auto"/>
            <w:noWrap/>
            <w:vAlign w:val="center"/>
          </w:tcPr>
          <w:p w14:paraId="4F9B963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3,53</w:t>
            </w:r>
          </w:p>
        </w:tc>
        <w:tc>
          <w:tcPr>
            <w:tcW w:w="363" w:type="pct"/>
            <w:tcBorders>
              <w:top w:val="nil"/>
              <w:left w:val="nil"/>
              <w:bottom w:val="single" w:sz="8" w:space="0" w:color="D9D9D9"/>
              <w:right w:val="single" w:sz="8" w:space="0" w:color="D9D9D9"/>
            </w:tcBorders>
            <w:shd w:val="clear" w:color="auto" w:fill="auto"/>
            <w:vAlign w:val="center"/>
          </w:tcPr>
          <w:p w14:paraId="1237A52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269</w:t>
            </w:r>
          </w:p>
        </w:tc>
        <w:tc>
          <w:tcPr>
            <w:tcW w:w="363" w:type="pct"/>
            <w:tcBorders>
              <w:top w:val="nil"/>
              <w:left w:val="nil"/>
              <w:bottom w:val="single" w:sz="8" w:space="0" w:color="D9D9D9"/>
              <w:right w:val="single" w:sz="8" w:space="0" w:color="D9D9D9"/>
            </w:tcBorders>
            <w:shd w:val="clear" w:color="auto" w:fill="auto"/>
            <w:noWrap/>
            <w:vAlign w:val="center"/>
          </w:tcPr>
          <w:p w14:paraId="071BD76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2,86</w:t>
            </w:r>
          </w:p>
        </w:tc>
        <w:tc>
          <w:tcPr>
            <w:tcW w:w="363" w:type="pct"/>
            <w:tcBorders>
              <w:top w:val="nil"/>
              <w:left w:val="nil"/>
              <w:bottom w:val="single" w:sz="8" w:space="0" w:color="D9D9D9"/>
              <w:right w:val="single" w:sz="8" w:space="0" w:color="D9D9D9"/>
            </w:tcBorders>
            <w:shd w:val="clear" w:color="auto" w:fill="auto"/>
            <w:noWrap/>
            <w:vAlign w:val="center"/>
          </w:tcPr>
          <w:p w14:paraId="550336A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225</w:t>
            </w:r>
          </w:p>
        </w:tc>
        <w:tc>
          <w:tcPr>
            <w:tcW w:w="363" w:type="pct"/>
            <w:tcBorders>
              <w:top w:val="nil"/>
              <w:left w:val="nil"/>
              <w:bottom w:val="single" w:sz="8" w:space="0" w:color="D9D9D9"/>
              <w:right w:val="single" w:sz="8" w:space="0" w:color="D9D9D9"/>
            </w:tcBorders>
            <w:shd w:val="clear" w:color="auto" w:fill="auto"/>
            <w:noWrap/>
            <w:vAlign w:val="center"/>
          </w:tcPr>
          <w:p w14:paraId="0C7D1EE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2,34</w:t>
            </w:r>
          </w:p>
        </w:tc>
        <w:tc>
          <w:tcPr>
            <w:tcW w:w="363" w:type="pct"/>
            <w:tcBorders>
              <w:top w:val="nil"/>
              <w:left w:val="nil"/>
              <w:bottom w:val="single" w:sz="8" w:space="0" w:color="D9D9D9"/>
              <w:right w:val="single" w:sz="8" w:space="0" w:color="D9D9D9"/>
            </w:tcBorders>
            <w:shd w:val="clear" w:color="auto" w:fill="auto"/>
            <w:noWrap/>
            <w:vAlign w:val="center"/>
          </w:tcPr>
          <w:p w14:paraId="27F4766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187</w:t>
            </w:r>
          </w:p>
        </w:tc>
        <w:tc>
          <w:tcPr>
            <w:tcW w:w="363" w:type="pct"/>
            <w:tcBorders>
              <w:top w:val="nil"/>
              <w:left w:val="nil"/>
              <w:bottom w:val="single" w:sz="8" w:space="0" w:color="D9D9D9"/>
              <w:right w:val="single" w:sz="8" w:space="0" w:color="D9D9D9"/>
            </w:tcBorders>
            <w:shd w:val="clear" w:color="auto" w:fill="auto"/>
            <w:noWrap/>
            <w:vAlign w:val="center"/>
          </w:tcPr>
          <w:p w14:paraId="732B75A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3,59</w:t>
            </w:r>
          </w:p>
        </w:tc>
        <w:tc>
          <w:tcPr>
            <w:tcW w:w="363" w:type="pct"/>
            <w:tcBorders>
              <w:top w:val="nil"/>
              <w:left w:val="nil"/>
              <w:bottom w:val="single" w:sz="8" w:space="0" w:color="D9D9D9"/>
              <w:right w:val="single" w:sz="8" w:space="0" w:color="D9D9D9"/>
            </w:tcBorders>
            <w:shd w:val="clear" w:color="auto" w:fill="auto"/>
            <w:noWrap/>
            <w:vAlign w:val="center"/>
          </w:tcPr>
          <w:p w14:paraId="4A6B8E2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134</w:t>
            </w:r>
          </w:p>
        </w:tc>
        <w:tc>
          <w:tcPr>
            <w:tcW w:w="364" w:type="pct"/>
            <w:tcBorders>
              <w:top w:val="nil"/>
              <w:left w:val="nil"/>
              <w:bottom w:val="single" w:sz="8" w:space="0" w:color="D9D9D9"/>
              <w:right w:val="single" w:sz="8" w:space="0" w:color="D9D9D9"/>
            </w:tcBorders>
            <w:shd w:val="clear" w:color="auto" w:fill="auto"/>
            <w:noWrap/>
            <w:vAlign w:val="bottom"/>
          </w:tcPr>
          <w:p w14:paraId="1C65E9E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2,91</w:t>
            </w:r>
          </w:p>
        </w:tc>
        <w:tc>
          <w:tcPr>
            <w:tcW w:w="418" w:type="pct"/>
            <w:tcBorders>
              <w:top w:val="nil"/>
              <w:left w:val="nil"/>
              <w:bottom w:val="single" w:sz="8" w:space="0" w:color="D9D9D9"/>
              <w:right w:val="single" w:sz="8" w:space="0" w:color="D9D9D9"/>
            </w:tcBorders>
            <w:shd w:val="clear" w:color="auto" w:fill="auto"/>
            <w:vAlign w:val="center"/>
          </w:tcPr>
          <w:p w14:paraId="45C2E1DF"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1.110</w:t>
            </w:r>
          </w:p>
        </w:tc>
        <w:tc>
          <w:tcPr>
            <w:tcW w:w="460" w:type="pct"/>
            <w:tcBorders>
              <w:top w:val="nil"/>
              <w:left w:val="nil"/>
              <w:bottom w:val="single" w:sz="8" w:space="0" w:color="D9D9D9"/>
              <w:right w:val="single" w:sz="8" w:space="0" w:color="D9D9D9"/>
            </w:tcBorders>
            <w:shd w:val="clear" w:color="auto" w:fill="auto"/>
          </w:tcPr>
          <w:p w14:paraId="42DF86FC"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2,98</w:t>
            </w:r>
          </w:p>
        </w:tc>
      </w:tr>
      <w:tr w:rsidR="001F39FB" w:rsidRPr="008902F2" w14:paraId="0134D5E6"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4979AE94"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DPD</w:t>
            </w:r>
          </w:p>
        </w:tc>
        <w:tc>
          <w:tcPr>
            <w:tcW w:w="363" w:type="pct"/>
            <w:tcBorders>
              <w:top w:val="nil"/>
              <w:left w:val="nil"/>
              <w:bottom w:val="single" w:sz="8" w:space="0" w:color="D9D9D9"/>
              <w:right w:val="single" w:sz="8" w:space="0" w:color="D9D9D9"/>
            </w:tcBorders>
            <w:shd w:val="clear" w:color="auto" w:fill="auto"/>
            <w:vAlign w:val="center"/>
          </w:tcPr>
          <w:p w14:paraId="2633499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183</w:t>
            </w:r>
          </w:p>
        </w:tc>
        <w:tc>
          <w:tcPr>
            <w:tcW w:w="363" w:type="pct"/>
            <w:tcBorders>
              <w:top w:val="nil"/>
              <w:left w:val="nil"/>
              <w:bottom w:val="single" w:sz="8" w:space="0" w:color="D9D9D9"/>
              <w:right w:val="single" w:sz="8" w:space="0" w:color="D9D9D9"/>
            </w:tcBorders>
            <w:shd w:val="clear" w:color="auto" w:fill="auto"/>
            <w:noWrap/>
            <w:vAlign w:val="center"/>
          </w:tcPr>
          <w:p w14:paraId="3673CC9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2,19</w:t>
            </w:r>
          </w:p>
        </w:tc>
        <w:tc>
          <w:tcPr>
            <w:tcW w:w="363" w:type="pct"/>
            <w:tcBorders>
              <w:top w:val="nil"/>
              <w:left w:val="nil"/>
              <w:bottom w:val="single" w:sz="8" w:space="0" w:color="D9D9D9"/>
              <w:right w:val="single" w:sz="8" w:space="0" w:color="D9D9D9"/>
            </w:tcBorders>
            <w:shd w:val="clear" w:color="auto" w:fill="auto"/>
            <w:vAlign w:val="center"/>
          </w:tcPr>
          <w:p w14:paraId="2706D5E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160</w:t>
            </w:r>
          </w:p>
        </w:tc>
        <w:tc>
          <w:tcPr>
            <w:tcW w:w="363" w:type="pct"/>
            <w:tcBorders>
              <w:top w:val="nil"/>
              <w:left w:val="nil"/>
              <w:bottom w:val="single" w:sz="8" w:space="0" w:color="D9D9D9"/>
              <w:right w:val="single" w:sz="8" w:space="0" w:color="D9D9D9"/>
            </w:tcBorders>
            <w:shd w:val="clear" w:color="auto" w:fill="auto"/>
            <w:noWrap/>
            <w:vAlign w:val="center"/>
          </w:tcPr>
          <w:p w14:paraId="13A6CCB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1,70</w:t>
            </w:r>
          </w:p>
        </w:tc>
        <w:tc>
          <w:tcPr>
            <w:tcW w:w="363" w:type="pct"/>
            <w:tcBorders>
              <w:top w:val="nil"/>
              <w:left w:val="nil"/>
              <w:bottom w:val="single" w:sz="8" w:space="0" w:color="D9D9D9"/>
              <w:right w:val="single" w:sz="8" w:space="0" w:color="D9D9D9"/>
            </w:tcBorders>
            <w:shd w:val="clear" w:color="auto" w:fill="auto"/>
            <w:noWrap/>
            <w:vAlign w:val="center"/>
          </w:tcPr>
          <w:p w14:paraId="1B5ACE8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148</w:t>
            </w:r>
          </w:p>
        </w:tc>
        <w:tc>
          <w:tcPr>
            <w:tcW w:w="363" w:type="pct"/>
            <w:tcBorders>
              <w:top w:val="nil"/>
              <w:left w:val="nil"/>
              <w:bottom w:val="single" w:sz="8" w:space="0" w:color="D9D9D9"/>
              <w:right w:val="single" w:sz="8" w:space="0" w:color="D9D9D9"/>
            </w:tcBorders>
            <w:shd w:val="clear" w:color="auto" w:fill="auto"/>
            <w:noWrap/>
            <w:vAlign w:val="center"/>
          </w:tcPr>
          <w:p w14:paraId="600DBD0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1,54</w:t>
            </w:r>
          </w:p>
        </w:tc>
        <w:tc>
          <w:tcPr>
            <w:tcW w:w="363" w:type="pct"/>
            <w:tcBorders>
              <w:top w:val="nil"/>
              <w:left w:val="nil"/>
              <w:bottom w:val="single" w:sz="8" w:space="0" w:color="D9D9D9"/>
              <w:right w:val="single" w:sz="8" w:space="0" w:color="D9D9D9"/>
            </w:tcBorders>
            <w:shd w:val="clear" w:color="auto" w:fill="auto"/>
            <w:noWrap/>
            <w:vAlign w:val="center"/>
          </w:tcPr>
          <w:p w14:paraId="3A96B3F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200</w:t>
            </w:r>
          </w:p>
        </w:tc>
        <w:tc>
          <w:tcPr>
            <w:tcW w:w="363" w:type="pct"/>
            <w:tcBorders>
              <w:top w:val="nil"/>
              <w:left w:val="nil"/>
              <w:bottom w:val="single" w:sz="8" w:space="0" w:color="D9D9D9"/>
              <w:right w:val="single" w:sz="8" w:space="0" w:color="D9D9D9"/>
            </w:tcBorders>
            <w:shd w:val="clear" w:color="auto" w:fill="auto"/>
            <w:noWrap/>
            <w:vAlign w:val="center"/>
          </w:tcPr>
          <w:p w14:paraId="3535D0E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3,84</w:t>
            </w:r>
          </w:p>
        </w:tc>
        <w:tc>
          <w:tcPr>
            <w:tcW w:w="363" w:type="pct"/>
            <w:tcBorders>
              <w:top w:val="nil"/>
              <w:left w:val="nil"/>
              <w:bottom w:val="single" w:sz="8" w:space="0" w:color="D9D9D9"/>
              <w:right w:val="single" w:sz="8" w:space="0" w:color="D9D9D9"/>
            </w:tcBorders>
            <w:shd w:val="clear" w:color="auto" w:fill="auto"/>
            <w:noWrap/>
            <w:vAlign w:val="center"/>
          </w:tcPr>
          <w:p w14:paraId="2C450A7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213</w:t>
            </w:r>
          </w:p>
        </w:tc>
        <w:tc>
          <w:tcPr>
            <w:tcW w:w="364" w:type="pct"/>
            <w:tcBorders>
              <w:top w:val="nil"/>
              <w:left w:val="nil"/>
              <w:bottom w:val="single" w:sz="8" w:space="0" w:color="D9D9D9"/>
              <w:right w:val="single" w:sz="8" w:space="0" w:color="D9D9D9"/>
            </w:tcBorders>
            <w:shd w:val="clear" w:color="auto" w:fill="auto"/>
            <w:noWrap/>
            <w:vAlign w:val="bottom"/>
          </w:tcPr>
          <w:p w14:paraId="2DD1FA7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4,63</w:t>
            </w:r>
          </w:p>
        </w:tc>
        <w:tc>
          <w:tcPr>
            <w:tcW w:w="418" w:type="pct"/>
            <w:tcBorders>
              <w:top w:val="nil"/>
              <w:left w:val="nil"/>
              <w:bottom w:val="single" w:sz="8" w:space="0" w:color="D9D9D9"/>
              <w:right w:val="single" w:sz="8" w:space="0" w:color="D9D9D9"/>
            </w:tcBorders>
            <w:shd w:val="clear" w:color="auto" w:fill="auto"/>
            <w:vAlign w:val="center"/>
          </w:tcPr>
          <w:p w14:paraId="47BE1703"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904</w:t>
            </w:r>
          </w:p>
        </w:tc>
        <w:tc>
          <w:tcPr>
            <w:tcW w:w="460" w:type="pct"/>
            <w:tcBorders>
              <w:top w:val="nil"/>
              <w:left w:val="nil"/>
              <w:bottom w:val="single" w:sz="8" w:space="0" w:color="D9D9D9"/>
              <w:right w:val="single" w:sz="8" w:space="0" w:color="D9D9D9"/>
            </w:tcBorders>
            <w:shd w:val="clear" w:color="auto" w:fill="auto"/>
          </w:tcPr>
          <w:p w14:paraId="28623CBD"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2,44</w:t>
            </w:r>
          </w:p>
        </w:tc>
      </w:tr>
      <w:tr w:rsidR="001F39FB" w:rsidRPr="008902F2" w14:paraId="1EE68085"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5B5DC0E2"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LPG</w:t>
            </w:r>
          </w:p>
        </w:tc>
        <w:tc>
          <w:tcPr>
            <w:tcW w:w="363" w:type="pct"/>
            <w:tcBorders>
              <w:top w:val="nil"/>
              <w:left w:val="nil"/>
              <w:bottom w:val="single" w:sz="8" w:space="0" w:color="D9D9D9"/>
              <w:right w:val="single" w:sz="8" w:space="0" w:color="D9D9D9"/>
            </w:tcBorders>
            <w:shd w:val="clear" w:color="auto" w:fill="auto"/>
            <w:vAlign w:val="center"/>
          </w:tcPr>
          <w:p w14:paraId="4894D1EF"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86</w:t>
            </w:r>
          </w:p>
        </w:tc>
        <w:tc>
          <w:tcPr>
            <w:tcW w:w="363" w:type="pct"/>
            <w:tcBorders>
              <w:top w:val="nil"/>
              <w:left w:val="nil"/>
              <w:bottom w:val="single" w:sz="8" w:space="0" w:color="D9D9D9"/>
              <w:right w:val="single" w:sz="8" w:space="0" w:color="D9D9D9"/>
            </w:tcBorders>
            <w:shd w:val="clear" w:color="auto" w:fill="auto"/>
            <w:noWrap/>
            <w:vAlign w:val="center"/>
          </w:tcPr>
          <w:p w14:paraId="5401A16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1,03</w:t>
            </w:r>
          </w:p>
        </w:tc>
        <w:tc>
          <w:tcPr>
            <w:tcW w:w="363" w:type="pct"/>
            <w:tcBorders>
              <w:top w:val="nil"/>
              <w:left w:val="nil"/>
              <w:bottom w:val="single" w:sz="8" w:space="0" w:color="D9D9D9"/>
              <w:right w:val="single" w:sz="8" w:space="0" w:color="D9D9D9"/>
            </w:tcBorders>
            <w:shd w:val="clear" w:color="auto" w:fill="auto"/>
            <w:vAlign w:val="center"/>
          </w:tcPr>
          <w:p w14:paraId="6886189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50</w:t>
            </w:r>
          </w:p>
        </w:tc>
        <w:tc>
          <w:tcPr>
            <w:tcW w:w="363" w:type="pct"/>
            <w:tcBorders>
              <w:top w:val="nil"/>
              <w:left w:val="nil"/>
              <w:bottom w:val="single" w:sz="8" w:space="0" w:color="D9D9D9"/>
              <w:right w:val="single" w:sz="8" w:space="0" w:color="D9D9D9"/>
            </w:tcBorders>
            <w:shd w:val="clear" w:color="auto" w:fill="auto"/>
            <w:noWrap/>
            <w:vAlign w:val="center"/>
          </w:tcPr>
          <w:p w14:paraId="51C535C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0,53</w:t>
            </w:r>
          </w:p>
        </w:tc>
        <w:tc>
          <w:tcPr>
            <w:tcW w:w="363" w:type="pct"/>
            <w:tcBorders>
              <w:top w:val="nil"/>
              <w:left w:val="nil"/>
              <w:bottom w:val="single" w:sz="8" w:space="0" w:color="D9D9D9"/>
              <w:right w:val="single" w:sz="8" w:space="0" w:color="D9D9D9"/>
            </w:tcBorders>
            <w:shd w:val="clear" w:color="auto" w:fill="auto"/>
            <w:noWrap/>
            <w:vAlign w:val="center"/>
          </w:tcPr>
          <w:p w14:paraId="43F0280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79</w:t>
            </w:r>
          </w:p>
        </w:tc>
        <w:tc>
          <w:tcPr>
            <w:tcW w:w="363" w:type="pct"/>
            <w:tcBorders>
              <w:top w:val="nil"/>
              <w:left w:val="nil"/>
              <w:bottom w:val="single" w:sz="8" w:space="0" w:color="D9D9D9"/>
              <w:right w:val="single" w:sz="8" w:space="0" w:color="D9D9D9"/>
            </w:tcBorders>
            <w:shd w:val="clear" w:color="auto" w:fill="auto"/>
            <w:noWrap/>
            <w:vAlign w:val="center"/>
          </w:tcPr>
          <w:p w14:paraId="284D44F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0,82</w:t>
            </w:r>
          </w:p>
        </w:tc>
        <w:tc>
          <w:tcPr>
            <w:tcW w:w="363" w:type="pct"/>
            <w:tcBorders>
              <w:top w:val="nil"/>
              <w:left w:val="nil"/>
              <w:bottom w:val="single" w:sz="8" w:space="0" w:color="D9D9D9"/>
              <w:right w:val="single" w:sz="8" w:space="0" w:color="D9D9D9"/>
            </w:tcBorders>
            <w:shd w:val="clear" w:color="auto" w:fill="auto"/>
            <w:noWrap/>
            <w:vAlign w:val="center"/>
          </w:tcPr>
          <w:p w14:paraId="23DB497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77</w:t>
            </w:r>
          </w:p>
        </w:tc>
        <w:tc>
          <w:tcPr>
            <w:tcW w:w="363" w:type="pct"/>
            <w:tcBorders>
              <w:top w:val="nil"/>
              <w:left w:val="nil"/>
              <w:bottom w:val="single" w:sz="8" w:space="0" w:color="D9D9D9"/>
              <w:right w:val="single" w:sz="8" w:space="0" w:color="D9D9D9"/>
            </w:tcBorders>
            <w:shd w:val="clear" w:color="auto" w:fill="auto"/>
            <w:noWrap/>
            <w:vAlign w:val="center"/>
          </w:tcPr>
          <w:p w14:paraId="0DFA1FB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1,48</w:t>
            </w:r>
          </w:p>
        </w:tc>
        <w:tc>
          <w:tcPr>
            <w:tcW w:w="363" w:type="pct"/>
            <w:tcBorders>
              <w:top w:val="nil"/>
              <w:left w:val="nil"/>
              <w:bottom w:val="single" w:sz="8" w:space="0" w:color="D9D9D9"/>
              <w:right w:val="single" w:sz="8" w:space="0" w:color="D9D9D9"/>
            </w:tcBorders>
            <w:shd w:val="clear" w:color="auto" w:fill="auto"/>
            <w:noWrap/>
            <w:vAlign w:val="center"/>
          </w:tcPr>
          <w:p w14:paraId="33A369E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38</w:t>
            </w:r>
          </w:p>
        </w:tc>
        <w:tc>
          <w:tcPr>
            <w:tcW w:w="364" w:type="pct"/>
            <w:tcBorders>
              <w:top w:val="nil"/>
              <w:left w:val="nil"/>
              <w:bottom w:val="single" w:sz="8" w:space="0" w:color="D9D9D9"/>
              <w:right w:val="single" w:sz="8" w:space="0" w:color="D9D9D9"/>
            </w:tcBorders>
            <w:shd w:val="clear" w:color="auto" w:fill="auto"/>
            <w:noWrap/>
            <w:vAlign w:val="bottom"/>
          </w:tcPr>
          <w:p w14:paraId="6A33392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0,83</w:t>
            </w:r>
          </w:p>
        </w:tc>
        <w:tc>
          <w:tcPr>
            <w:tcW w:w="418" w:type="pct"/>
            <w:tcBorders>
              <w:top w:val="nil"/>
              <w:left w:val="nil"/>
              <w:bottom w:val="single" w:sz="8" w:space="0" w:color="D9D9D9"/>
              <w:right w:val="single" w:sz="8" w:space="0" w:color="D9D9D9"/>
            </w:tcBorders>
            <w:shd w:val="clear" w:color="auto" w:fill="auto"/>
            <w:vAlign w:val="center"/>
          </w:tcPr>
          <w:p w14:paraId="58573FDA"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330</w:t>
            </w:r>
          </w:p>
        </w:tc>
        <w:tc>
          <w:tcPr>
            <w:tcW w:w="460" w:type="pct"/>
            <w:tcBorders>
              <w:top w:val="nil"/>
              <w:left w:val="nil"/>
              <w:bottom w:val="single" w:sz="8" w:space="0" w:color="D9D9D9"/>
              <w:right w:val="single" w:sz="8" w:space="0" w:color="D9D9D9"/>
            </w:tcBorders>
            <w:shd w:val="clear" w:color="auto" w:fill="auto"/>
          </w:tcPr>
          <w:p w14:paraId="68A65F8A"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0,89</w:t>
            </w:r>
          </w:p>
        </w:tc>
      </w:tr>
      <w:tr w:rsidR="001F39FB" w:rsidRPr="008902F2" w14:paraId="3D1014F0"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0A0248AE"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İKD</w:t>
            </w:r>
          </w:p>
        </w:tc>
        <w:tc>
          <w:tcPr>
            <w:tcW w:w="363" w:type="pct"/>
            <w:tcBorders>
              <w:top w:val="nil"/>
              <w:left w:val="nil"/>
              <w:bottom w:val="single" w:sz="8" w:space="0" w:color="D9D9D9"/>
              <w:right w:val="single" w:sz="8" w:space="0" w:color="D9D9D9"/>
            </w:tcBorders>
            <w:shd w:val="clear" w:color="auto" w:fill="auto"/>
            <w:vAlign w:val="center"/>
          </w:tcPr>
          <w:p w14:paraId="0AFA8DA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38</w:t>
            </w:r>
          </w:p>
        </w:tc>
        <w:tc>
          <w:tcPr>
            <w:tcW w:w="363" w:type="pct"/>
            <w:tcBorders>
              <w:top w:val="nil"/>
              <w:left w:val="nil"/>
              <w:bottom w:val="single" w:sz="8" w:space="0" w:color="D9D9D9"/>
              <w:right w:val="single" w:sz="8" w:space="0" w:color="D9D9D9"/>
            </w:tcBorders>
            <w:shd w:val="clear" w:color="auto" w:fill="auto"/>
            <w:noWrap/>
            <w:vAlign w:val="center"/>
          </w:tcPr>
          <w:p w14:paraId="2B76BF9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0,45</w:t>
            </w:r>
          </w:p>
        </w:tc>
        <w:tc>
          <w:tcPr>
            <w:tcW w:w="363" w:type="pct"/>
            <w:tcBorders>
              <w:top w:val="nil"/>
              <w:left w:val="nil"/>
              <w:bottom w:val="single" w:sz="8" w:space="0" w:color="D9D9D9"/>
              <w:right w:val="single" w:sz="8" w:space="0" w:color="D9D9D9"/>
            </w:tcBorders>
            <w:shd w:val="clear" w:color="auto" w:fill="auto"/>
            <w:vAlign w:val="center"/>
          </w:tcPr>
          <w:p w14:paraId="7CE58F4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33</w:t>
            </w:r>
          </w:p>
        </w:tc>
        <w:tc>
          <w:tcPr>
            <w:tcW w:w="363" w:type="pct"/>
            <w:tcBorders>
              <w:top w:val="nil"/>
              <w:left w:val="nil"/>
              <w:bottom w:val="single" w:sz="8" w:space="0" w:color="D9D9D9"/>
              <w:right w:val="single" w:sz="8" w:space="0" w:color="D9D9D9"/>
            </w:tcBorders>
            <w:shd w:val="clear" w:color="auto" w:fill="auto"/>
            <w:noWrap/>
            <w:vAlign w:val="center"/>
          </w:tcPr>
          <w:p w14:paraId="4B5FE01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0,35</w:t>
            </w:r>
          </w:p>
        </w:tc>
        <w:tc>
          <w:tcPr>
            <w:tcW w:w="363" w:type="pct"/>
            <w:tcBorders>
              <w:top w:val="nil"/>
              <w:left w:val="nil"/>
              <w:bottom w:val="single" w:sz="8" w:space="0" w:color="D9D9D9"/>
              <w:right w:val="single" w:sz="8" w:space="0" w:color="D9D9D9"/>
            </w:tcBorders>
            <w:shd w:val="clear" w:color="auto" w:fill="auto"/>
            <w:noWrap/>
            <w:vAlign w:val="center"/>
          </w:tcPr>
          <w:p w14:paraId="33CFEC6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15</w:t>
            </w:r>
          </w:p>
        </w:tc>
        <w:tc>
          <w:tcPr>
            <w:tcW w:w="363" w:type="pct"/>
            <w:tcBorders>
              <w:top w:val="nil"/>
              <w:left w:val="nil"/>
              <w:bottom w:val="single" w:sz="8" w:space="0" w:color="D9D9D9"/>
              <w:right w:val="single" w:sz="8" w:space="0" w:color="D9D9D9"/>
            </w:tcBorders>
            <w:shd w:val="clear" w:color="auto" w:fill="auto"/>
            <w:noWrap/>
            <w:vAlign w:val="center"/>
          </w:tcPr>
          <w:p w14:paraId="7CFA913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0,15</w:t>
            </w:r>
          </w:p>
        </w:tc>
        <w:tc>
          <w:tcPr>
            <w:tcW w:w="363" w:type="pct"/>
            <w:tcBorders>
              <w:top w:val="nil"/>
              <w:left w:val="nil"/>
              <w:bottom w:val="single" w:sz="8" w:space="0" w:color="D9D9D9"/>
              <w:right w:val="single" w:sz="8" w:space="0" w:color="D9D9D9"/>
            </w:tcBorders>
            <w:shd w:val="clear" w:color="auto" w:fill="auto"/>
            <w:noWrap/>
            <w:vAlign w:val="center"/>
          </w:tcPr>
          <w:p w14:paraId="64397A9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44</w:t>
            </w:r>
          </w:p>
        </w:tc>
        <w:tc>
          <w:tcPr>
            <w:tcW w:w="363" w:type="pct"/>
            <w:tcBorders>
              <w:top w:val="nil"/>
              <w:left w:val="nil"/>
              <w:bottom w:val="single" w:sz="8" w:space="0" w:color="D9D9D9"/>
              <w:right w:val="single" w:sz="8" w:space="0" w:color="D9D9D9"/>
            </w:tcBorders>
            <w:shd w:val="clear" w:color="auto" w:fill="auto"/>
            <w:noWrap/>
            <w:vAlign w:val="center"/>
          </w:tcPr>
          <w:p w14:paraId="76FFA00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0,84</w:t>
            </w:r>
          </w:p>
        </w:tc>
        <w:tc>
          <w:tcPr>
            <w:tcW w:w="363" w:type="pct"/>
            <w:tcBorders>
              <w:top w:val="nil"/>
              <w:left w:val="nil"/>
              <w:bottom w:val="single" w:sz="8" w:space="0" w:color="D9D9D9"/>
              <w:right w:val="single" w:sz="8" w:space="0" w:color="D9D9D9"/>
            </w:tcBorders>
            <w:shd w:val="clear" w:color="auto" w:fill="auto"/>
            <w:noWrap/>
            <w:vAlign w:val="center"/>
          </w:tcPr>
          <w:p w14:paraId="346E867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23</w:t>
            </w:r>
          </w:p>
        </w:tc>
        <w:tc>
          <w:tcPr>
            <w:tcW w:w="364" w:type="pct"/>
            <w:tcBorders>
              <w:top w:val="nil"/>
              <w:left w:val="nil"/>
              <w:bottom w:val="single" w:sz="8" w:space="0" w:color="D9D9D9"/>
              <w:right w:val="single" w:sz="8" w:space="0" w:color="D9D9D9"/>
            </w:tcBorders>
            <w:shd w:val="clear" w:color="auto" w:fill="auto"/>
            <w:noWrap/>
            <w:vAlign w:val="bottom"/>
          </w:tcPr>
          <w:p w14:paraId="39D0650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0,50</w:t>
            </w:r>
          </w:p>
        </w:tc>
        <w:tc>
          <w:tcPr>
            <w:tcW w:w="418" w:type="pct"/>
            <w:tcBorders>
              <w:top w:val="nil"/>
              <w:left w:val="nil"/>
              <w:bottom w:val="single" w:sz="8" w:space="0" w:color="D9D9D9"/>
              <w:right w:val="single" w:sz="8" w:space="0" w:color="D9D9D9"/>
            </w:tcBorders>
            <w:shd w:val="clear" w:color="auto" w:fill="auto"/>
            <w:vAlign w:val="center"/>
          </w:tcPr>
          <w:p w14:paraId="484EB49F"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153</w:t>
            </w:r>
          </w:p>
        </w:tc>
        <w:tc>
          <w:tcPr>
            <w:tcW w:w="460" w:type="pct"/>
            <w:tcBorders>
              <w:top w:val="nil"/>
              <w:left w:val="nil"/>
              <w:bottom w:val="single" w:sz="8" w:space="0" w:color="D9D9D9"/>
              <w:right w:val="single" w:sz="8" w:space="0" w:color="D9D9D9"/>
            </w:tcBorders>
            <w:shd w:val="clear" w:color="auto" w:fill="auto"/>
          </w:tcPr>
          <w:p w14:paraId="3DBE9D84"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0,41</w:t>
            </w:r>
          </w:p>
        </w:tc>
      </w:tr>
      <w:tr w:rsidR="001F39FB" w:rsidRPr="008902F2" w14:paraId="7AB6726C"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6E5B4EED"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SGD</w:t>
            </w:r>
          </w:p>
        </w:tc>
        <w:tc>
          <w:tcPr>
            <w:tcW w:w="363" w:type="pct"/>
            <w:tcBorders>
              <w:top w:val="nil"/>
              <w:left w:val="nil"/>
              <w:bottom w:val="single" w:sz="8" w:space="0" w:color="D9D9D9"/>
              <w:right w:val="single" w:sz="8" w:space="0" w:color="D9D9D9"/>
            </w:tcBorders>
            <w:shd w:val="clear" w:color="auto" w:fill="auto"/>
            <w:vAlign w:val="center"/>
          </w:tcPr>
          <w:p w14:paraId="1D8EB8E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24</w:t>
            </w:r>
          </w:p>
        </w:tc>
        <w:tc>
          <w:tcPr>
            <w:tcW w:w="363" w:type="pct"/>
            <w:tcBorders>
              <w:top w:val="nil"/>
              <w:left w:val="nil"/>
              <w:bottom w:val="single" w:sz="8" w:space="0" w:color="D9D9D9"/>
              <w:right w:val="single" w:sz="8" w:space="0" w:color="D9D9D9"/>
            </w:tcBorders>
            <w:shd w:val="clear" w:color="auto" w:fill="auto"/>
            <w:noWrap/>
            <w:vAlign w:val="center"/>
          </w:tcPr>
          <w:p w14:paraId="667C8CD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0,29</w:t>
            </w:r>
          </w:p>
        </w:tc>
        <w:tc>
          <w:tcPr>
            <w:tcW w:w="363" w:type="pct"/>
            <w:tcBorders>
              <w:top w:val="nil"/>
              <w:left w:val="nil"/>
              <w:bottom w:val="single" w:sz="8" w:space="0" w:color="D9D9D9"/>
              <w:right w:val="single" w:sz="8" w:space="0" w:color="D9D9D9"/>
            </w:tcBorders>
            <w:shd w:val="clear" w:color="auto" w:fill="auto"/>
            <w:vAlign w:val="center"/>
          </w:tcPr>
          <w:p w14:paraId="3633465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26</w:t>
            </w:r>
          </w:p>
        </w:tc>
        <w:tc>
          <w:tcPr>
            <w:tcW w:w="363" w:type="pct"/>
            <w:tcBorders>
              <w:top w:val="nil"/>
              <w:left w:val="nil"/>
              <w:bottom w:val="single" w:sz="8" w:space="0" w:color="D9D9D9"/>
              <w:right w:val="single" w:sz="8" w:space="0" w:color="D9D9D9"/>
            </w:tcBorders>
            <w:shd w:val="clear" w:color="auto" w:fill="auto"/>
            <w:noWrap/>
            <w:vAlign w:val="center"/>
          </w:tcPr>
          <w:p w14:paraId="377CA99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0,28</w:t>
            </w:r>
          </w:p>
        </w:tc>
        <w:tc>
          <w:tcPr>
            <w:tcW w:w="363" w:type="pct"/>
            <w:tcBorders>
              <w:top w:val="nil"/>
              <w:left w:val="nil"/>
              <w:bottom w:val="single" w:sz="8" w:space="0" w:color="D9D9D9"/>
              <w:right w:val="single" w:sz="8" w:space="0" w:color="D9D9D9"/>
            </w:tcBorders>
            <w:shd w:val="clear" w:color="auto" w:fill="auto"/>
            <w:noWrap/>
            <w:vAlign w:val="center"/>
          </w:tcPr>
          <w:p w14:paraId="0AA4FC6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24</w:t>
            </w:r>
          </w:p>
        </w:tc>
        <w:tc>
          <w:tcPr>
            <w:tcW w:w="363" w:type="pct"/>
            <w:tcBorders>
              <w:top w:val="nil"/>
              <w:left w:val="nil"/>
              <w:bottom w:val="single" w:sz="8" w:space="0" w:color="D9D9D9"/>
              <w:right w:val="single" w:sz="8" w:space="0" w:color="D9D9D9"/>
            </w:tcBorders>
            <w:shd w:val="clear" w:color="auto" w:fill="auto"/>
            <w:noWrap/>
            <w:vAlign w:val="center"/>
          </w:tcPr>
          <w:p w14:paraId="68933D5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0,25</w:t>
            </w:r>
          </w:p>
        </w:tc>
        <w:tc>
          <w:tcPr>
            <w:tcW w:w="363" w:type="pct"/>
            <w:tcBorders>
              <w:top w:val="nil"/>
              <w:left w:val="nil"/>
              <w:bottom w:val="single" w:sz="8" w:space="0" w:color="D9D9D9"/>
              <w:right w:val="single" w:sz="8" w:space="0" w:color="D9D9D9"/>
            </w:tcBorders>
            <w:shd w:val="clear" w:color="auto" w:fill="auto"/>
            <w:noWrap/>
            <w:vAlign w:val="center"/>
          </w:tcPr>
          <w:p w14:paraId="526D80A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18</w:t>
            </w:r>
          </w:p>
        </w:tc>
        <w:tc>
          <w:tcPr>
            <w:tcW w:w="363" w:type="pct"/>
            <w:tcBorders>
              <w:top w:val="nil"/>
              <w:left w:val="nil"/>
              <w:bottom w:val="single" w:sz="8" w:space="0" w:color="D9D9D9"/>
              <w:right w:val="single" w:sz="8" w:space="0" w:color="D9D9D9"/>
            </w:tcBorders>
            <w:shd w:val="clear" w:color="auto" w:fill="auto"/>
            <w:noWrap/>
            <w:vAlign w:val="center"/>
          </w:tcPr>
          <w:p w14:paraId="6441252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0,34</w:t>
            </w:r>
          </w:p>
        </w:tc>
        <w:tc>
          <w:tcPr>
            <w:tcW w:w="363" w:type="pct"/>
            <w:tcBorders>
              <w:top w:val="nil"/>
              <w:left w:val="nil"/>
              <w:bottom w:val="single" w:sz="8" w:space="0" w:color="D9D9D9"/>
              <w:right w:val="single" w:sz="8" w:space="0" w:color="D9D9D9"/>
            </w:tcBorders>
            <w:shd w:val="clear" w:color="auto" w:fill="auto"/>
            <w:noWrap/>
            <w:vAlign w:val="center"/>
          </w:tcPr>
          <w:p w14:paraId="5DA9612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17</w:t>
            </w:r>
          </w:p>
        </w:tc>
        <w:tc>
          <w:tcPr>
            <w:tcW w:w="364" w:type="pct"/>
            <w:tcBorders>
              <w:top w:val="nil"/>
              <w:left w:val="nil"/>
              <w:bottom w:val="single" w:sz="8" w:space="0" w:color="D9D9D9"/>
              <w:right w:val="single" w:sz="8" w:space="0" w:color="D9D9D9"/>
            </w:tcBorders>
            <w:shd w:val="clear" w:color="auto" w:fill="auto"/>
            <w:noWrap/>
            <w:vAlign w:val="bottom"/>
          </w:tcPr>
          <w:p w14:paraId="479E0E7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0,37</w:t>
            </w:r>
          </w:p>
        </w:tc>
        <w:tc>
          <w:tcPr>
            <w:tcW w:w="418" w:type="pct"/>
            <w:tcBorders>
              <w:top w:val="nil"/>
              <w:left w:val="nil"/>
              <w:bottom w:val="single" w:sz="8" w:space="0" w:color="D9D9D9"/>
              <w:right w:val="single" w:sz="8" w:space="0" w:color="D9D9D9"/>
            </w:tcBorders>
            <w:shd w:val="clear" w:color="auto" w:fill="auto"/>
            <w:vAlign w:val="center"/>
          </w:tcPr>
          <w:p w14:paraId="15A025E3"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109</w:t>
            </w:r>
          </w:p>
        </w:tc>
        <w:tc>
          <w:tcPr>
            <w:tcW w:w="460" w:type="pct"/>
            <w:tcBorders>
              <w:top w:val="nil"/>
              <w:left w:val="nil"/>
              <w:bottom w:val="single" w:sz="8" w:space="0" w:color="D9D9D9"/>
              <w:right w:val="single" w:sz="8" w:space="0" w:color="D9D9D9"/>
            </w:tcBorders>
            <w:shd w:val="clear" w:color="auto" w:fill="auto"/>
          </w:tcPr>
          <w:p w14:paraId="583B151A"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0,29</w:t>
            </w:r>
          </w:p>
        </w:tc>
      </w:tr>
      <w:tr w:rsidR="001F39FB" w:rsidRPr="008902F2" w14:paraId="2D118FF2"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3D1A5AF0" w14:textId="77777777" w:rsidR="001F39FB" w:rsidRPr="008902F2" w:rsidRDefault="001F39FB" w:rsidP="001F39FB">
            <w:pPr>
              <w:spacing w:after="0" w:line="240" w:lineRule="auto"/>
              <w:rPr>
                <w:rFonts w:ascii="Times New Roman" w:hAnsi="Times New Roman"/>
                <w:color w:val="000000"/>
                <w:lang w:val="en-US"/>
              </w:rPr>
            </w:pPr>
            <w:r w:rsidRPr="008902F2">
              <w:rPr>
                <w:rFonts w:ascii="Times New Roman" w:hAnsi="Times New Roman"/>
                <w:color w:val="000000"/>
                <w:lang w:val="en-US"/>
              </w:rPr>
              <w:t>TH</w:t>
            </w:r>
          </w:p>
        </w:tc>
        <w:tc>
          <w:tcPr>
            <w:tcW w:w="363" w:type="pct"/>
            <w:tcBorders>
              <w:top w:val="nil"/>
              <w:left w:val="nil"/>
              <w:bottom w:val="single" w:sz="8" w:space="0" w:color="D9D9D9"/>
              <w:right w:val="single" w:sz="8" w:space="0" w:color="D9D9D9"/>
            </w:tcBorders>
            <w:shd w:val="clear" w:color="auto" w:fill="auto"/>
            <w:vAlign w:val="center"/>
          </w:tcPr>
          <w:p w14:paraId="6A09E912"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33E67AC6"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vAlign w:val="center"/>
          </w:tcPr>
          <w:p w14:paraId="1BBD13F9"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0BE14808"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09FA2A7E"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237AFA41"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3AD8BB85"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3AC2E41B" w14:textId="77777777" w:rsidR="001F39FB" w:rsidRPr="008902F2" w:rsidRDefault="001F39FB" w:rsidP="001F39FB">
            <w:pPr>
              <w:spacing w:after="0" w:line="240" w:lineRule="auto"/>
              <w:jc w:val="right"/>
              <w:rPr>
                <w:rFonts w:ascii="Times New Roman" w:hAnsi="Times New Roman"/>
                <w:color w:val="000000"/>
                <w:lang w:val="en-US"/>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2F5DF96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84</w:t>
            </w:r>
          </w:p>
        </w:tc>
        <w:tc>
          <w:tcPr>
            <w:tcW w:w="364" w:type="pct"/>
            <w:tcBorders>
              <w:top w:val="nil"/>
              <w:left w:val="nil"/>
              <w:bottom w:val="single" w:sz="8" w:space="0" w:color="D9D9D9"/>
              <w:right w:val="single" w:sz="8" w:space="0" w:color="D9D9D9"/>
            </w:tcBorders>
            <w:shd w:val="clear" w:color="auto" w:fill="auto"/>
            <w:noWrap/>
            <w:vAlign w:val="bottom"/>
          </w:tcPr>
          <w:p w14:paraId="175B7707" w14:textId="77777777" w:rsidR="001F39FB" w:rsidRPr="008902F2" w:rsidRDefault="001F39FB" w:rsidP="001F39FB">
            <w:pPr>
              <w:spacing w:after="0" w:line="240" w:lineRule="auto"/>
              <w:jc w:val="right"/>
              <w:rPr>
                <w:rFonts w:ascii="Times New Roman" w:hAnsi="Times New Roman"/>
                <w:sz w:val="20"/>
                <w:szCs w:val="20"/>
                <w:lang w:val="en-US"/>
              </w:rPr>
            </w:pPr>
            <w:r w:rsidRPr="008902F2">
              <w:rPr>
                <w:rFonts w:ascii="Times New Roman" w:hAnsi="Times New Roman"/>
                <w:sz w:val="20"/>
                <w:szCs w:val="20"/>
                <w:lang w:val="en-US"/>
              </w:rPr>
              <w:t>1,83</w:t>
            </w:r>
          </w:p>
        </w:tc>
        <w:tc>
          <w:tcPr>
            <w:tcW w:w="418" w:type="pct"/>
            <w:tcBorders>
              <w:top w:val="nil"/>
              <w:left w:val="nil"/>
              <w:bottom w:val="single" w:sz="8" w:space="0" w:color="D9D9D9"/>
              <w:right w:val="single" w:sz="8" w:space="0" w:color="D9D9D9"/>
            </w:tcBorders>
            <w:shd w:val="clear" w:color="auto" w:fill="auto"/>
            <w:vAlign w:val="center"/>
          </w:tcPr>
          <w:p w14:paraId="145F2F2F" w14:textId="77777777" w:rsidR="001F39FB" w:rsidRPr="008902F2" w:rsidRDefault="001F39FB" w:rsidP="001F39FB">
            <w:pPr>
              <w:spacing w:after="0" w:line="240" w:lineRule="auto"/>
              <w:jc w:val="right"/>
              <w:rPr>
                <w:rFonts w:ascii="Times New Roman" w:hAnsi="Times New Roman"/>
                <w:b/>
                <w:bCs/>
                <w:color w:val="000000"/>
                <w:lang w:val="en-US"/>
              </w:rPr>
            </w:pPr>
            <w:r w:rsidRPr="008902F2">
              <w:rPr>
                <w:rFonts w:ascii="Times New Roman" w:hAnsi="Times New Roman"/>
                <w:b/>
                <w:bCs/>
                <w:color w:val="000000"/>
                <w:lang w:val="en-US"/>
              </w:rPr>
              <w:t>84</w:t>
            </w:r>
          </w:p>
        </w:tc>
        <w:tc>
          <w:tcPr>
            <w:tcW w:w="460" w:type="pct"/>
            <w:tcBorders>
              <w:top w:val="nil"/>
              <w:left w:val="nil"/>
              <w:bottom w:val="single" w:sz="8" w:space="0" w:color="D9D9D9"/>
              <w:right w:val="single" w:sz="8" w:space="0" w:color="D9D9D9"/>
            </w:tcBorders>
            <w:shd w:val="clear" w:color="auto" w:fill="auto"/>
          </w:tcPr>
          <w:p w14:paraId="1FAE4606" w14:textId="77777777" w:rsidR="001F39FB" w:rsidRPr="008902F2" w:rsidRDefault="001F39FB" w:rsidP="001F39FB">
            <w:pPr>
              <w:spacing w:after="0" w:line="240" w:lineRule="auto"/>
              <w:jc w:val="right"/>
              <w:rPr>
                <w:rFonts w:ascii="Times New Roman" w:hAnsi="Times New Roman"/>
                <w:b/>
                <w:bCs/>
                <w:color w:val="000000"/>
                <w:lang w:val="en-US"/>
              </w:rPr>
            </w:pPr>
            <w:r w:rsidRPr="008902F2">
              <w:rPr>
                <w:rFonts w:ascii="Times New Roman" w:hAnsi="Times New Roman"/>
                <w:b/>
                <w:lang w:val="en-US"/>
              </w:rPr>
              <w:t>0,23</w:t>
            </w:r>
          </w:p>
        </w:tc>
      </w:tr>
      <w:tr w:rsidR="001F39FB" w:rsidRPr="008902F2" w14:paraId="1EF5014E"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0CA64D62"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HDB</w:t>
            </w:r>
          </w:p>
        </w:tc>
        <w:tc>
          <w:tcPr>
            <w:tcW w:w="363" w:type="pct"/>
            <w:tcBorders>
              <w:top w:val="nil"/>
              <w:left w:val="nil"/>
              <w:bottom w:val="single" w:sz="8" w:space="0" w:color="D9D9D9"/>
              <w:right w:val="single" w:sz="8" w:space="0" w:color="D9D9D9"/>
            </w:tcBorders>
            <w:shd w:val="clear" w:color="auto" w:fill="auto"/>
            <w:vAlign w:val="center"/>
          </w:tcPr>
          <w:p w14:paraId="649841B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w:t>
            </w:r>
          </w:p>
        </w:tc>
        <w:tc>
          <w:tcPr>
            <w:tcW w:w="363" w:type="pct"/>
            <w:tcBorders>
              <w:top w:val="nil"/>
              <w:left w:val="nil"/>
              <w:bottom w:val="single" w:sz="8" w:space="0" w:color="D9D9D9"/>
              <w:right w:val="single" w:sz="8" w:space="0" w:color="D9D9D9"/>
            </w:tcBorders>
            <w:shd w:val="clear" w:color="auto" w:fill="auto"/>
            <w:noWrap/>
            <w:vAlign w:val="center"/>
          </w:tcPr>
          <w:p w14:paraId="4BF016C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0,01</w:t>
            </w:r>
          </w:p>
        </w:tc>
        <w:tc>
          <w:tcPr>
            <w:tcW w:w="363" w:type="pct"/>
            <w:tcBorders>
              <w:top w:val="nil"/>
              <w:left w:val="nil"/>
              <w:bottom w:val="single" w:sz="8" w:space="0" w:color="D9D9D9"/>
              <w:right w:val="single" w:sz="8" w:space="0" w:color="D9D9D9"/>
            </w:tcBorders>
            <w:shd w:val="clear" w:color="auto" w:fill="auto"/>
            <w:vAlign w:val="center"/>
          </w:tcPr>
          <w:p w14:paraId="7144751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2</w:t>
            </w:r>
          </w:p>
        </w:tc>
        <w:tc>
          <w:tcPr>
            <w:tcW w:w="363" w:type="pct"/>
            <w:tcBorders>
              <w:top w:val="nil"/>
              <w:left w:val="nil"/>
              <w:bottom w:val="single" w:sz="8" w:space="0" w:color="D9D9D9"/>
              <w:right w:val="single" w:sz="8" w:space="0" w:color="D9D9D9"/>
            </w:tcBorders>
            <w:shd w:val="clear" w:color="auto" w:fill="auto"/>
            <w:noWrap/>
            <w:vAlign w:val="center"/>
          </w:tcPr>
          <w:p w14:paraId="7A22DD1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0,02</w:t>
            </w:r>
          </w:p>
        </w:tc>
        <w:tc>
          <w:tcPr>
            <w:tcW w:w="363" w:type="pct"/>
            <w:tcBorders>
              <w:top w:val="nil"/>
              <w:left w:val="nil"/>
              <w:bottom w:val="single" w:sz="8" w:space="0" w:color="D9D9D9"/>
              <w:right w:val="single" w:sz="8" w:space="0" w:color="D9D9D9"/>
            </w:tcBorders>
            <w:shd w:val="clear" w:color="auto" w:fill="auto"/>
            <w:noWrap/>
            <w:vAlign w:val="center"/>
          </w:tcPr>
          <w:p w14:paraId="5531F93F"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5A01511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0213FF8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00CB5D4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78E884C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2</w:t>
            </w:r>
          </w:p>
        </w:tc>
        <w:tc>
          <w:tcPr>
            <w:tcW w:w="364" w:type="pct"/>
            <w:tcBorders>
              <w:top w:val="nil"/>
              <w:left w:val="nil"/>
              <w:bottom w:val="single" w:sz="8" w:space="0" w:color="D9D9D9"/>
              <w:right w:val="single" w:sz="8" w:space="0" w:color="D9D9D9"/>
            </w:tcBorders>
            <w:shd w:val="clear" w:color="auto" w:fill="auto"/>
            <w:noWrap/>
            <w:vAlign w:val="bottom"/>
          </w:tcPr>
          <w:p w14:paraId="3379637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sz w:val="20"/>
                <w:szCs w:val="20"/>
                <w:lang w:val="en-US"/>
              </w:rPr>
              <w:t>0,04</w:t>
            </w:r>
          </w:p>
        </w:tc>
        <w:tc>
          <w:tcPr>
            <w:tcW w:w="418" w:type="pct"/>
            <w:tcBorders>
              <w:top w:val="nil"/>
              <w:left w:val="nil"/>
              <w:bottom w:val="single" w:sz="8" w:space="0" w:color="D9D9D9"/>
              <w:right w:val="single" w:sz="8" w:space="0" w:color="D9D9D9"/>
            </w:tcBorders>
            <w:shd w:val="clear" w:color="auto" w:fill="auto"/>
            <w:vAlign w:val="center"/>
          </w:tcPr>
          <w:p w14:paraId="78941E47"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5</w:t>
            </w:r>
          </w:p>
        </w:tc>
        <w:tc>
          <w:tcPr>
            <w:tcW w:w="460" w:type="pct"/>
            <w:tcBorders>
              <w:top w:val="nil"/>
              <w:left w:val="nil"/>
              <w:bottom w:val="single" w:sz="8" w:space="0" w:color="D9D9D9"/>
              <w:right w:val="single" w:sz="8" w:space="0" w:color="D9D9D9"/>
            </w:tcBorders>
            <w:shd w:val="clear" w:color="auto" w:fill="auto"/>
          </w:tcPr>
          <w:p w14:paraId="443B36C8"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0,01</w:t>
            </w:r>
          </w:p>
        </w:tc>
      </w:tr>
      <w:tr w:rsidR="001F39FB" w:rsidRPr="008902F2" w14:paraId="51AEC336"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7627C891"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BİD</w:t>
            </w:r>
          </w:p>
        </w:tc>
        <w:tc>
          <w:tcPr>
            <w:tcW w:w="363" w:type="pct"/>
            <w:tcBorders>
              <w:top w:val="nil"/>
              <w:left w:val="nil"/>
              <w:bottom w:val="single" w:sz="8" w:space="0" w:color="D9D9D9"/>
              <w:right w:val="single" w:sz="8" w:space="0" w:color="D9D9D9"/>
            </w:tcBorders>
            <w:shd w:val="clear" w:color="auto" w:fill="auto"/>
            <w:vAlign w:val="center"/>
          </w:tcPr>
          <w:p w14:paraId="09D9AC6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noWrap/>
            <w:vAlign w:val="center"/>
          </w:tcPr>
          <w:p w14:paraId="2A9CB6E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w:t>
            </w:r>
          </w:p>
        </w:tc>
        <w:tc>
          <w:tcPr>
            <w:tcW w:w="363" w:type="pct"/>
            <w:tcBorders>
              <w:top w:val="nil"/>
              <w:left w:val="nil"/>
              <w:bottom w:val="single" w:sz="8" w:space="0" w:color="D9D9D9"/>
              <w:right w:val="single" w:sz="8" w:space="0" w:color="D9D9D9"/>
            </w:tcBorders>
            <w:shd w:val="clear" w:color="auto" w:fill="auto"/>
            <w:vAlign w:val="center"/>
          </w:tcPr>
          <w:p w14:paraId="56B20A0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w:t>
            </w:r>
          </w:p>
        </w:tc>
        <w:tc>
          <w:tcPr>
            <w:tcW w:w="363" w:type="pct"/>
            <w:tcBorders>
              <w:top w:val="nil"/>
              <w:left w:val="nil"/>
              <w:bottom w:val="single" w:sz="8" w:space="0" w:color="D9D9D9"/>
              <w:right w:val="single" w:sz="8" w:space="0" w:color="D9D9D9"/>
            </w:tcBorders>
            <w:shd w:val="clear" w:color="auto" w:fill="auto"/>
            <w:noWrap/>
            <w:vAlign w:val="center"/>
          </w:tcPr>
          <w:p w14:paraId="75E5843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0,01</w:t>
            </w:r>
          </w:p>
        </w:tc>
        <w:tc>
          <w:tcPr>
            <w:tcW w:w="363" w:type="pct"/>
            <w:tcBorders>
              <w:top w:val="nil"/>
              <w:left w:val="nil"/>
              <w:bottom w:val="single" w:sz="8" w:space="0" w:color="D9D9D9"/>
              <w:right w:val="single" w:sz="8" w:space="0" w:color="D9D9D9"/>
            </w:tcBorders>
            <w:shd w:val="clear" w:color="auto" w:fill="auto"/>
            <w:noWrap/>
            <w:vAlign w:val="center"/>
          </w:tcPr>
          <w:p w14:paraId="370D6AA5"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1B2282B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249FAAB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w:t>
            </w:r>
          </w:p>
        </w:tc>
        <w:tc>
          <w:tcPr>
            <w:tcW w:w="363" w:type="pct"/>
            <w:tcBorders>
              <w:top w:val="nil"/>
              <w:left w:val="nil"/>
              <w:bottom w:val="single" w:sz="8" w:space="0" w:color="D9D9D9"/>
              <w:right w:val="single" w:sz="8" w:space="0" w:color="D9D9D9"/>
            </w:tcBorders>
            <w:shd w:val="clear" w:color="auto" w:fill="auto"/>
            <w:noWrap/>
            <w:vAlign w:val="center"/>
          </w:tcPr>
          <w:p w14:paraId="4EFF43A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0,02</w:t>
            </w:r>
          </w:p>
        </w:tc>
        <w:tc>
          <w:tcPr>
            <w:tcW w:w="363" w:type="pct"/>
            <w:tcBorders>
              <w:top w:val="nil"/>
              <w:left w:val="nil"/>
              <w:bottom w:val="single" w:sz="8" w:space="0" w:color="D9D9D9"/>
              <w:right w:val="single" w:sz="8" w:space="0" w:color="D9D9D9"/>
            </w:tcBorders>
            <w:shd w:val="clear" w:color="auto" w:fill="auto"/>
            <w:noWrap/>
            <w:vAlign w:val="center"/>
          </w:tcPr>
          <w:p w14:paraId="05F7728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4" w:type="pct"/>
            <w:tcBorders>
              <w:top w:val="nil"/>
              <w:left w:val="nil"/>
              <w:bottom w:val="single" w:sz="8" w:space="0" w:color="D9D9D9"/>
              <w:right w:val="single" w:sz="8" w:space="0" w:color="D9D9D9"/>
            </w:tcBorders>
            <w:shd w:val="clear" w:color="auto" w:fill="auto"/>
            <w:noWrap/>
            <w:vAlign w:val="center"/>
          </w:tcPr>
          <w:p w14:paraId="203A982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418" w:type="pct"/>
            <w:tcBorders>
              <w:top w:val="nil"/>
              <w:left w:val="nil"/>
              <w:bottom w:val="single" w:sz="8" w:space="0" w:color="D9D9D9"/>
              <w:right w:val="single" w:sz="8" w:space="0" w:color="D9D9D9"/>
            </w:tcBorders>
            <w:shd w:val="clear" w:color="auto" w:fill="auto"/>
            <w:vAlign w:val="center"/>
          </w:tcPr>
          <w:p w14:paraId="7842F596"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2</w:t>
            </w:r>
          </w:p>
        </w:tc>
        <w:tc>
          <w:tcPr>
            <w:tcW w:w="460" w:type="pct"/>
            <w:tcBorders>
              <w:top w:val="nil"/>
              <w:left w:val="nil"/>
              <w:bottom w:val="single" w:sz="8" w:space="0" w:color="D9D9D9"/>
              <w:right w:val="single" w:sz="8" w:space="0" w:color="D9D9D9"/>
            </w:tcBorders>
            <w:shd w:val="clear" w:color="auto" w:fill="auto"/>
          </w:tcPr>
          <w:p w14:paraId="2C752F74"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0,01</w:t>
            </w:r>
          </w:p>
        </w:tc>
      </w:tr>
      <w:tr w:rsidR="001F39FB" w:rsidRPr="008902F2" w14:paraId="04AD00B6"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30D9B882" w14:textId="77777777" w:rsidR="001F39FB" w:rsidRPr="008902F2" w:rsidRDefault="001F39FB" w:rsidP="001F39FB">
            <w:pPr>
              <w:spacing w:after="0" w:line="240" w:lineRule="auto"/>
              <w:rPr>
                <w:rFonts w:ascii="Times New Roman" w:eastAsia="Times New Roman" w:hAnsi="Times New Roman"/>
                <w:color w:val="000000"/>
                <w:lang w:val="en-US" w:eastAsia="tr-TR"/>
              </w:rPr>
            </w:pPr>
            <w:r w:rsidRPr="008902F2">
              <w:rPr>
                <w:rFonts w:ascii="Times New Roman" w:hAnsi="Times New Roman"/>
                <w:color w:val="000000"/>
                <w:lang w:val="en-US"/>
              </w:rPr>
              <w:t>KHM</w:t>
            </w:r>
          </w:p>
        </w:tc>
        <w:tc>
          <w:tcPr>
            <w:tcW w:w="363" w:type="pct"/>
            <w:tcBorders>
              <w:top w:val="nil"/>
              <w:left w:val="nil"/>
              <w:bottom w:val="single" w:sz="8" w:space="0" w:color="D9D9D9"/>
              <w:right w:val="single" w:sz="8" w:space="0" w:color="D9D9D9"/>
            </w:tcBorders>
            <w:shd w:val="clear" w:color="auto" w:fill="auto"/>
            <w:noWrap/>
            <w:vAlign w:val="center"/>
          </w:tcPr>
          <w:p w14:paraId="3D22F59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686E984A"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19F14E3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1</w:t>
            </w:r>
          </w:p>
        </w:tc>
        <w:tc>
          <w:tcPr>
            <w:tcW w:w="363" w:type="pct"/>
            <w:tcBorders>
              <w:top w:val="nil"/>
              <w:left w:val="nil"/>
              <w:bottom w:val="single" w:sz="8" w:space="0" w:color="D9D9D9"/>
              <w:right w:val="single" w:sz="8" w:space="0" w:color="D9D9D9"/>
            </w:tcBorders>
            <w:shd w:val="clear" w:color="auto" w:fill="auto"/>
            <w:noWrap/>
            <w:vAlign w:val="center"/>
          </w:tcPr>
          <w:p w14:paraId="1FCF459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0,01</w:t>
            </w:r>
          </w:p>
        </w:tc>
        <w:tc>
          <w:tcPr>
            <w:tcW w:w="363" w:type="pct"/>
            <w:tcBorders>
              <w:top w:val="nil"/>
              <w:left w:val="nil"/>
              <w:bottom w:val="single" w:sz="8" w:space="0" w:color="D9D9D9"/>
              <w:right w:val="single" w:sz="8" w:space="0" w:color="D9D9D9"/>
            </w:tcBorders>
            <w:shd w:val="clear" w:color="auto" w:fill="auto"/>
            <w:noWrap/>
            <w:vAlign w:val="center"/>
          </w:tcPr>
          <w:p w14:paraId="56C62623"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4B769F3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7A06C68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3" w:type="pct"/>
            <w:tcBorders>
              <w:top w:val="nil"/>
              <w:left w:val="nil"/>
              <w:bottom w:val="single" w:sz="8" w:space="0" w:color="D9D9D9"/>
              <w:right w:val="single" w:sz="8" w:space="0" w:color="D9D9D9"/>
            </w:tcBorders>
            <w:shd w:val="clear" w:color="auto" w:fill="auto"/>
            <w:noWrap/>
            <w:vAlign w:val="center"/>
          </w:tcPr>
          <w:p w14:paraId="1300FEB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363" w:type="pct"/>
            <w:tcBorders>
              <w:top w:val="nil"/>
              <w:left w:val="nil"/>
              <w:bottom w:val="single" w:sz="8" w:space="0" w:color="D9D9D9"/>
              <w:right w:val="single" w:sz="8" w:space="0" w:color="D9D9D9"/>
            </w:tcBorders>
            <w:shd w:val="clear" w:color="auto" w:fill="auto"/>
            <w:noWrap/>
            <w:vAlign w:val="center"/>
          </w:tcPr>
          <w:p w14:paraId="1574AF3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w:t>
            </w:r>
          </w:p>
        </w:tc>
        <w:tc>
          <w:tcPr>
            <w:tcW w:w="364" w:type="pct"/>
            <w:tcBorders>
              <w:top w:val="nil"/>
              <w:left w:val="nil"/>
              <w:bottom w:val="single" w:sz="8" w:space="0" w:color="D9D9D9"/>
              <w:right w:val="single" w:sz="8" w:space="0" w:color="D9D9D9"/>
            </w:tcBorders>
            <w:shd w:val="clear" w:color="auto" w:fill="auto"/>
            <w:noWrap/>
            <w:vAlign w:val="center"/>
          </w:tcPr>
          <w:p w14:paraId="00916F3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hAnsi="Times New Roman"/>
                <w:color w:val="000000"/>
                <w:lang w:val="en-US"/>
              </w:rPr>
              <w:t>0,00</w:t>
            </w:r>
          </w:p>
        </w:tc>
        <w:tc>
          <w:tcPr>
            <w:tcW w:w="418" w:type="pct"/>
            <w:tcBorders>
              <w:top w:val="nil"/>
              <w:left w:val="nil"/>
              <w:bottom w:val="single" w:sz="8" w:space="0" w:color="D9D9D9"/>
              <w:right w:val="single" w:sz="8" w:space="0" w:color="D9D9D9"/>
            </w:tcBorders>
            <w:shd w:val="clear" w:color="auto" w:fill="auto"/>
            <w:vAlign w:val="center"/>
          </w:tcPr>
          <w:p w14:paraId="065D2414"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w:t>
            </w:r>
          </w:p>
        </w:tc>
        <w:tc>
          <w:tcPr>
            <w:tcW w:w="460" w:type="pct"/>
            <w:tcBorders>
              <w:top w:val="nil"/>
              <w:left w:val="nil"/>
              <w:bottom w:val="single" w:sz="8" w:space="0" w:color="D9D9D9"/>
              <w:right w:val="single" w:sz="8" w:space="0" w:color="D9D9D9"/>
            </w:tcBorders>
            <w:shd w:val="clear" w:color="auto" w:fill="auto"/>
          </w:tcPr>
          <w:p w14:paraId="0066AE06" w14:textId="77777777" w:rsidR="001F39FB" w:rsidRPr="008902F2" w:rsidRDefault="001F39FB" w:rsidP="001F39FB">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lang w:val="en-US"/>
              </w:rPr>
              <w:t>0,00</w:t>
            </w:r>
          </w:p>
        </w:tc>
      </w:tr>
      <w:tr w:rsidR="00C84B12" w:rsidRPr="008902F2" w14:paraId="52DE7B6F" w14:textId="77777777"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noWrap/>
            <w:vAlign w:val="center"/>
            <w:hideMark/>
          </w:tcPr>
          <w:p w14:paraId="4663149D" w14:textId="37F7D6E6" w:rsidR="00C84B12" w:rsidRPr="008902F2" w:rsidRDefault="00252D3C" w:rsidP="00C84B12">
            <w:pPr>
              <w:spacing w:after="0" w:line="240" w:lineRule="auto"/>
              <w:rPr>
                <w:rFonts w:ascii="Times New Roman" w:eastAsia="Times New Roman" w:hAnsi="Times New Roman"/>
                <w:b/>
                <w:bCs/>
                <w:color w:val="000000"/>
                <w:lang w:val="en-US" w:eastAsia="tr-TR"/>
              </w:rPr>
            </w:pPr>
            <w:r w:rsidRPr="008902F2">
              <w:rPr>
                <w:rFonts w:ascii="Times New Roman" w:hAnsi="Times New Roman"/>
                <w:b/>
                <w:bCs/>
                <w:color w:val="000000"/>
                <w:lang w:val="en-US" w:eastAsia="tr-TR"/>
              </w:rPr>
              <w:t>Total</w:t>
            </w:r>
          </w:p>
        </w:tc>
        <w:tc>
          <w:tcPr>
            <w:tcW w:w="363" w:type="pct"/>
            <w:tcBorders>
              <w:top w:val="nil"/>
              <w:left w:val="nil"/>
              <w:bottom w:val="single" w:sz="8" w:space="0" w:color="D9D9D9"/>
              <w:right w:val="single" w:sz="8" w:space="0" w:color="D9D9D9"/>
            </w:tcBorders>
            <w:shd w:val="clear" w:color="auto" w:fill="auto"/>
            <w:vAlign w:val="center"/>
          </w:tcPr>
          <w:p w14:paraId="55343831"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8.366</w:t>
            </w:r>
          </w:p>
        </w:tc>
        <w:tc>
          <w:tcPr>
            <w:tcW w:w="363" w:type="pct"/>
            <w:tcBorders>
              <w:top w:val="nil"/>
              <w:left w:val="nil"/>
              <w:bottom w:val="single" w:sz="8" w:space="0" w:color="D9D9D9"/>
              <w:right w:val="single" w:sz="8" w:space="0" w:color="D9D9D9"/>
            </w:tcBorders>
            <w:shd w:val="clear" w:color="auto" w:fill="auto"/>
            <w:noWrap/>
            <w:vAlign w:val="center"/>
          </w:tcPr>
          <w:p w14:paraId="02B72823"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c>
          <w:tcPr>
            <w:tcW w:w="363" w:type="pct"/>
            <w:tcBorders>
              <w:top w:val="nil"/>
              <w:left w:val="nil"/>
              <w:bottom w:val="single" w:sz="8" w:space="0" w:color="D9D9D9"/>
              <w:right w:val="single" w:sz="8" w:space="0" w:color="D9D9D9"/>
            </w:tcBorders>
            <w:shd w:val="clear" w:color="auto" w:fill="auto"/>
            <w:vAlign w:val="center"/>
          </w:tcPr>
          <w:p w14:paraId="3D3167BB"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9.398</w:t>
            </w:r>
          </w:p>
        </w:tc>
        <w:tc>
          <w:tcPr>
            <w:tcW w:w="363" w:type="pct"/>
            <w:tcBorders>
              <w:top w:val="nil"/>
              <w:left w:val="nil"/>
              <w:bottom w:val="single" w:sz="8" w:space="0" w:color="D9D9D9"/>
              <w:right w:val="single" w:sz="8" w:space="0" w:color="D9D9D9"/>
            </w:tcBorders>
            <w:shd w:val="clear" w:color="auto" w:fill="auto"/>
            <w:noWrap/>
            <w:vAlign w:val="center"/>
          </w:tcPr>
          <w:p w14:paraId="7863B65F"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c>
          <w:tcPr>
            <w:tcW w:w="363" w:type="pct"/>
            <w:tcBorders>
              <w:top w:val="nil"/>
              <w:left w:val="nil"/>
              <w:bottom w:val="single" w:sz="8" w:space="0" w:color="D9D9D9"/>
              <w:right w:val="single" w:sz="8" w:space="0" w:color="D9D9D9"/>
            </w:tcBorders>
            <w:shd w:val="clear" w:color="auto" w:fill="auto"/>
            <w:noWrap/>
            <w:vAlign w:val="center"/>
          </w:tcPr>
          <w:p w14:paraId="49561298"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9.617</w:t>
            </w:r>
          </w:p>
        </w:tc>
        <w:tc>
          <w:tcPr>
            <w:tcW w:w="363" w:type="pct"/>
            <w:tcBorders>
              <w:top w:val="nil"/>
              <w:left w:val="nil"/>
              <w:bottom w:val="single" w:sz="8" w:space="0" w:color="D9D9D9"/>
              <w:right w:val="single" w:sz="8" w:space="0" w:color="D9D9D9"/>
            </w:tcBorders>
            <w:shd w:val="clear" w:color="auto" w:fill="auto"/>
            <w:noWrap/>
            <w:vAlign w:val="center"/>
          </w:tcPr>
          <w:p w14:paraId="60525613"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c>
          <w:tcPr>
            <w:tcW w:w="363" w:type="pct"/>
            <w:tcBorders>
              <w:top w:val="nil"/>
              <w:left w:val="nil"/>
              <w:bottom w:val="single" w:sz="8" w:space="0" w:color="D9D9D9"/>
              <w:right w:val="single" w:sz="8" w:space="0" w:color="D9D9D9"/>
            </w:tcBorders>
            <w:shd w:val="clear" w:color="auto" w:fill="auto"/>
            <w:noWrap/>
            <w:vAlign w:val="center"/>
          </w:tcPr>
          <w:p w14:paraId="640A3918"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5.212</w:t>
            </w:r>
          </w:p>
        </w:tc>
        <w:tc>
          <w:tcPr>
            <w:tcW w:w="363" w:type="pct"/>
            <w:tcBorders>
              <w:top w:val="nil"/>
              <w:left w:val="nil"/>
              <w:bottom w:val="single" w:sz="8" w:space="0" w:color="D9D9D9"/>
              <w:right w:val="single" w:sz="8" w:space="0" w:color="D9D9D9"/>
            </w:tcBorders>
            <w:shd w:val="clear" w:color="auto" w:fill="auto"/>
            <w:noWrap/>
            <w:vAlign w:val="center"/>
          </w:tcPr>
          <w:p w14:paraId="2CE73B84"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c>
          <w:tcPr>
            <w:tcW w:w="363" w:type="pct"/>
            <w:tcBorders>
              <w:top w:val="nil"/>
              <w:left w:val="nil"/>
              <w:bottom w:val="single" w:sz="8" w:space="0" w:color="D9D9D9"/>
              <w:right w:val="single" w:sz="8" w:space="0" w:color="D9D9D9"/>
            </w:tcBorders>
            <w:shd w:val="clear" w:color="auto" w:fill="auto"/>
            <w:noWrap/>
            <w:vAlign w:val="center"/>
          </w:tcPr>
          <w:p w14:paraId="28E17723"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4.602</w:t>
            </w:r>
          </w:p>
        </w:tc>
        <w:tc>
          <w:tcPr>
            <w:tcW w:w="364" w:type="pct"/>
            <w:tcBorders>
              <w:top w:val="nil"/>
              <w:left w:val="nil"/>
              <w:bottom w:val="single" w:sz="8" w:space="0" w:color="D9D9D9"/>
              <w:right w:val="single" w:sz="8" w:space="0" w:color="D9D9D9"/>
            </w:tcBorders>
            <w:shd w:val="clear" w:color="auto" w:fill="auto"/>
            <w:noWrap/>
            <w:vAlign w:val="center"/>
          </w:tcPr>
          <w:p w14:paraId="4874B920"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c>
          <w:tcPr>
            <w:tcW w:w="418" w:type="pct"/>
            <w:tcBorders>
              <w:top w:val="nil"/>
              <w:left w:val="nil"/>
              <w:bottom w:val="single" w:sz="8" w:space="0" w:color="D9D9D9"/>
              <w:right w:val="single" w:sz="8" w:space="0" w:color="D9D9D9"/>
            </w:tcBorders>
            <w:shd w:val="clear" w:color="auto" w:fill="auto"/>
            <w:vAlign w:val="center"/>
          </w:tcPr>
          <w:p w14:paraId="1DD36058" w14:textId="77777777" w:rsidR="00C84B12" w:rsidRPr="008902F2" w:rsidRDefault="001F39FB"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37.195</w:t>
            </w:r>
          </w:p>
        </w:tc>
        <w:tc>
          <w:tcPr>
            <w:tcW w:w="460" w:type="pct"/>
            <w:tcBorders>
              <w:top w:val="nil"/>
              <w:left w:val="nil"/>
              <w:bottom w:val="single" w:sz="8" w:space="0" w:color="D9D9D9"/>
              <w:right w:val="single" w:sz="8" w:space="0" w:color="D9D9D9"/>
            </w:tcBorders>
            <w:shd w:val="clear" w:color="auto" w:fill="auto"/>
            <w:vAlign w:val="center"/>
          </w:tcPr>
          <w:p w14:paraId="340B0297" w14:textId="77777777" w:rsidR="00C84B12" w:rsidRPr="008902F2" w:rsidRDefault="00C84B12" w:rsidP="00C84B12">
            <w:pPr>
              <w:spacing w:after="0" w:line="240" w:lineRule="auto"/>
              <w:jc w:val="right"/>
              <w:rPr>
                <w:rFonts w:ascii="Times New Roman" w:eastAsia="Times New Roman" w:hAnsi="Times New Roman"/>
                <w:b/>
                <w:bCs/>
                <w:color w:val="000000"/>
                <w:lang w:val="en-US" w:eastAsia="tr-TR"/>
              </w:rPr>
            </w:pPr>
            <w:r w:rsidRPr="008902F2">
              <w:rPr>
                <w:rFonts w:ascii="Times New Roman" w:hAnsi="Times New Roman"/>
                <w:b/>
                <w:bCs/>
                <w:color w:val="000000"/>
                <w:lang w:val="en-US"/>
              </w:rPr>
              <w:t>100</w:t>
            </w:r>
          </w:p>
        </w:tc>
      </w:tr>
    </w:tbl>
    <w:p w14:paraId="03275E42" w14:textId="77777777" w:rsidR="00E15918" w:rsidRPr="008902F2" w:rsidRDefault="00E15918" w:rsidP="00751D17">
      <w:pPr>
        <w:pStyle w:val="Balk5"/>
        <w:jc w:val="center"/>
        <w:rPr>
          <w:rStyle w:val="Gl"/>
          <w:rFonts w:ascii="Times New Roman" w:hAnsi="Times New Roman" w:cs="Times New Roman"/>
          <w:color w:val="000000" w:themeColor="text1"/>
          <w:lang w:val="en-US"/>
        </w:rPr>
      </w:pPr>
      <w:bookmarkStart w:id="22" w:name="_Toc132713886"/>
    </w:p>
    <w:p w14:paraId="06B17663" w14:textId="33C40CAF" w:rsidR="00751D17" w:rsidRPr="008902F2" w:rsidRDefault="009F6B4A" w:rsidP="00751D17">
      <w:pPr>
        <w:pStyle w:val="Balk5"/>
        <w:jc w:val="center"/>
        <w:rPr>
          <w:rFonts w:ascii="Times New Roman" w:hAnsi="Times New Roman" w:cs="Times New Roman"/>
          <w:b/>
          <w:bCs/>
          <w:color w:val="000000" w:themeColor="text1"/>
          <w:lang w:val="en-US"/>
        </w:rPr>
      </w:pPr>
      <w:r w:rsidRPr="008902F2">
        <w:rPr>
          <w:rStyle w:val="Gl"/>
          <w:rFonts w:ascii="Times New Roman" w:hAnsi="Times New Roman" w:cs="Times New Roman"/>
          <w:color w:val="000000" w:themeColor="text1"/>
          <w:lang w:val="en-US"/>
        </w:rPr>
        <w:t>Table 1.3: General Distribution of Board Decisions Taken Between 2018-2022</w:t>
      </w:r>
      <w:bookmarkEnd w:id="19"/>
      <w:bookmarkEnd w:id="20"/>
      <w:bookmarkEnd w:id="21"/>
      <w:bookmarkEnd w:id="22"/>
    </w:p>
    <w:tbl>
      <w:tblPr>
        <w:tblW w:w="5000" w:type="pct"/>
        <w:tblCellMar>
          <w:left w:w="70" w:type="dxa"/>
          <w:right w:w="70" w:type="dxa"/>
        </w:tblCellMar>
        <w:tblLook w:val="04A0" w:firstRow="1" w:lastRow="0" w:firstColumn="1" w:lastColumn="0" w:noHBand="0" w:noVBand="1"/>
      </w:tblPr>
      <w:tblGrid>
        <w:gridCol w:w="4142"/>
        <w:gridCol w:w="1006"/>
        <w:gridCol w:w="985"/>
        <w:gridCol w:w="635"/>
        <w:gridCol w:w="635"/>
        <w:gridCol w:w="763"/>
        <w:gridCol w:w="1736"/>
      </w:tblGrid>
      <w:tr w:rsidR="001F39FB" w:rsidRPr="008902F2" w14:paraId="440A704E" w14:textId="77777777" w:rsidTr="001978FE">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14:paraId="6587BDF0"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Years</w:t>
            </w:r>
          </w:p>
        </w:tc>
        <w:tc>
          <w:tcPr>
            <w:tcW w:w="557" w:type="pct"/>
            <w:tcBorders>
              <w:top w:val="single" w:sz="8" w:space="0" w:color="D9D9D9"/>
              <w:left w:val="nil"/>
              <w:bottom w:val="nil"/>
              <w:right w:val="single" w:sz="8" w:space="0" w:color="D9D9D9"/>
            </w:tcBorders>
            <w:shd w:val="clear" w:color="000000" w:fill="6E9ECA"/>
            <w:noWrap/>
            <w:vAlign w:val="center"/>
            <w:hideMark/>
          </w:tcPr>
          <w:p w14:paraId="145E21DF"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2018</w:t>
            </w:r>
          </w:p>
        </w:tc>
        <w:tc>
          <w:tcPr>
            <w:tcW w:w="546" w:type="pct"/>
            <w:tcBorders>
              <w:top w:val="single" w:sz="8" w:space="0" w:color="D9D9D9"/>
              <w:left w:val="nil"/>
              <w:bottom w:val="nil"/>
              <w:right w:val="single" w:sz="8" w:space="0" w:color="D9D9D9"/>
            </w:tcBorders>
            <w:shd w:val="clear" w:color="000000" w:fill="6E9ECA"/>
            <w:vAlign w:val="center"/>
            <w:hideMark/>
          </w:tcPr>
          <w:p w14:paraId="59DEC491"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2019</w:t>
            </w:r>
          </w:p>
        </w:tc>
        <w:tc>
          <w:tcPr>
            <w:tcW w:w="359" w:type="pct"/>
            <w:tcBorders>
              <w:top w:val="single" w:sz="8" w:space="0" w:color="D9D9D9"/>
              <w:left w:val="nil"/>
              <w:bottom w:val="nil"/>
              <w:right w:val="single" w:sz="8" w:space="0" w:color="D9D9D9"/>
            </w:tcBorders>
            <w:shd w:val="clear" w:color="000000" w:fill="6E9ECA"/>
            <w:noWrap/>
            <w:vAlign w:val="center"/>
            <w:hideMark/>
          </w:tcPr>
          <w:p w14:paraId="77F781D2"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2020</w:t>
            </w:r>
          </w:p>
        </w:tc>
        <w:tc>
          <w:tcPr>
            <w:tcW w:w="359" w:type="pct"/>
            <w:tcBorders>
              <w:top w:val="single" w:sz="8" w:space="0" w:color="D9D9D9"/>
              <w:left w:val="nil"/>
              <w:bottom w:val="nil"/>
              <w:right w:val="single" w:sz="8" w:space="0" w:color="D9D9D9"/>
            </w:tcBorders>
            <w:shd w:val="clear" w:color="000000" w:fill="6E9ECA"/>
            <w:vAlign w:val="center"/>
            <w:hideMark/>
          </w:tcPr>
          <w:p w14:paraId="1897C7B7"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2021</w:t>
            </w:r>
          </w:p>
        </w:tc>
        <w:tc>
          <w:tcPr>
            <w:tcW w:w="454" w:type="pct"/>
            <w:tcBorders>
              <w:top w:val="single" w:sz="8" w:space="0" w:color="D9D9D9"/>
              <w:left w:val="nil"/>
              <w:bottom w:val="nil"/>
              <w:right w:val="single" w:sz="8" w:space="0" w:color="D9D9D9"/>
            </w:tcBorders>
            <w:shd w:val="clear" w:color="000000" w:fill="6E9ECA"/>
            <w:vAlign w:val="center"/>
            <w:hideMark/>
          </w:tcPr>
          <w:p w14:paraId="78066D58" w14:textId="77777777" w:rsidR="001F39FB" w:rsidRPr="008902F2" w:rsidRDefault="001F39FB"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2022</w:t>
            </w:r>
          </w:p>
        </w:tc>
        <w:tc>
          <w:tcPr>
            <w:tcW w:w="925" w:type="pct"/>
            <w:tcBorders>
              <w:top w:val="single" w:sz="8" w:space="0" w:color="D9D9D9"/>
              <w:left w:val="nil"/>
              <w:bottom w:val="nil"/>
              <w:right w:val="single" w:sz="8" w:space="0" w:color="D9D9D9"/>
            </w:tcBorders>
            <w:shd w:val="clear" w:color="000000" w:fill="6E9ECA"/>
            <w:vAlign w:val="center"/>
            <w:hideMark/>
          </w:tcPr>
          <w:p w14:paraId="4A5DCD11" w14:textId="69EEDB03" w:rsidR="001F39FB" w:rsidRPr="008902F2" w:rsidRDefault="0022241C" w:rsidP="001F39FB">
            <w:pPr>
              <w:spacing w:after="0" w:line="240" w:lineRule="auto"/>
              <w:jc w:val="center"/>
              <w:rPr>
                <w:rFonts w:ascii="Times New Roman" w:eastAsia="Times New Roman" w:hAnsi="Times New Roman"/>
                <w:b/>
                <w:bCs/>
                <w:color w:val="FFFFFF"/>
                <w:sz w:val="20"/>
                <w:szCs w:val="20"/>
                <w:lang w:val="en-US" w:eastAsia="tr-TR"/>
              </w:rPr>
            </w:pPr>
            <w:r w:rsidRPr="008902F2">
              <w:rPr>
                <w:rFonts w:ascii="Times New Roman" w:eastAsia="Times New Roman" w:hAnsi="Times New Roman"/>
                <w:b/>
                <w:color w:val="FFFFFF"/>
                <w:sz w:val="20"/>
                <w:szCs w:val="20"/>
                <w:lang w:val="en-US"/>
              </w:rPr>
              <w:t>Total</w:t>
            </w:r>
            <w:r w:rsidR="001F39FB" w:rsidRPr="008902F2">
              <w:rPr>
                <w:rFonts w:ascii="Times New Roman" w:eastAsia="Times New Roman" w:hAnsi="Times New Roman"/>
                <w:b/>
                <w:color w:val="FFFFFF"/>
                <w:sz w:val="20"/>
                <w:szCs w:val="20"/>
                <w:lang w:val="en-US"/>
              </w:rPr>
              <w:t>/Average Values</w:t>
            </w:r>
          </w:p>
        </w:tc>
      </w:tr>
      <w:tr w:rsidR="001F39FB" w:rsidRPr="008902F2" w14:paraId="3C9C5663" w14:textId="77777777"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2293D796" w14:textId="77777777" w:rsidR="001F39FB" w:rsidRPr="008902F2" w:rsidRDefault="001F39FB" w:rsidP="001F39FB">
            <w:pPr>
              <w:spacing w:after="0" w:line="240" w:lineRule="auto"/>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Total Number of Decisions</w:t>
            </w:r>
          </w:p>
        </w:tc>
        <w:tc>
          <w:tcPr>
            <w:tcW w:w="557" w:type="pct"/>
            <w:tcBorders>
              <w:top w:val="nil"/>
              <w:left w:val="nil"/>
              <w:bottom w:val="single" w:sz="8" w:space="0" w:color="auto"/>
              <w:right w:val="single" w:sz="8" w:space="0" w:color="auto"/>
            </w:tcBorders>
            <w:shd w:val="clear" w:color="auto" w:fill="auto"/>
            <w:vAlign w:val="center"/>
          </w:tcPr>
          <w:p w14:paraId="01A0A79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8.366</w:t>
            </w:r>
          </w:p>
        </w:tc>
        <w:tc>
          <w:tcPr>
            <w:tcW w:w="546" w:type="pct"/>
            <w:tcBorders>
              <w:top w:val="nil"/>
              <w:left w:val="nil"/>
              <w:bottom w:val="single" w:sz="8" w:space="0" w:color="auto"/>
              <w:right w:val="single" w:sz="8" w:space="0" w:color="auto"/>
            </w:tcBorders>
            <w:shd w:val="clear" w:color="auto" w:fill="auto"/>
            <w:noWrap/>
            <w:vAlign w:val="center"/>
            <w:hideMark/>
          </w:tcPr>
          <w:p w14:paraId="60EF630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9.398</w:t>
            </w:r>
          </w:p>
        </w:tc>
        <w:tc>
          <w:tcPr>
            <w:tcW w:w="359" w:type="pct"/>
            <w:tcBorders>
              <w:top w:val="nil"/>
              <w:left w:val="nil"/>
              <w:bottom w:val="single" w:sz="8" w:space="0" w:color="auto"/>
              <w:right w:val="single" w:sz="8" w:space="0" w:color="auto"/>
            </w:tcBorders>
            <w:shd w:val="clear" w:color="auto" w:fill="auto"/>
            <w:noWrap/>
            <w:vAlign w:val="center"/>
            <w:hideMark/>
          </w:tcPr>
          <w:p w14:paraId="2F4B5EA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9.617</w:t>
            </w:r>
          </w:p>
        </w:tc>
        <w:tc>
          <w:tcPr>
            <w:tcW w:w="359" w:type="pct"/>
            <w:tcBorders>
              <w:top w:val="nil"/>
              <w:left w:val="nil"/>
              <w:bottom w:val="single" w:sz="8" w:space="0" w:color="auto"/>
              <w:right w:val="single" w:sz="8" w:space="0" w:color="auto"/>
            </w:tcBorders>
            <w:shd w:val="clear" w:color="auto" w:fill="auto"/>
            <w:noWrap/>
            <w:vAlign w:val="center"/>
            <w:hideMark/>
          </w:tcPr>
          <w:p w14:paraId="449D320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5.212</w:t>
            </w:r>
          </w:p>
        </w:tc>
        <w:tc>
          <w:tcPr>
            <w:tcW w:w="454" w:type="pct"/>
            <w:tcBorders>
              <w:top w:val="nil"/>
              <w:left w:val="nil"/>
              <w:bottom w:val="single" w:sz="8" w:space="0" w:color="auto"/>
              <w:right w:val="single" w:sz="8" w:space="0" w:color="auto"/>
            </w:tcBorders>
            <w:noWrap/>
            <w:vAlign w:val="center"/>
          </w:tcPr>
          <w:p w14:paraId="7F7605E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4.602</w:t>
            </w:r>
          </w:p>
        </w:tc>
        <w:tc>
          <w:tcPr>
            <w:tcW w:w="925" w:type="pct"/>
            <w:tcBorders>
              <w:top w:val="nil"/>
              <w:left w:val="nil"/>
              <w:bottom w:val="single" w:sz="8" w:space="0" w:color="auto"/>
              <w:right w:val="single" w:sz="8" w:space="0" w:color="auto"/>
            </w:tcBorders>
            <w:vAlign w:val="center"/>
          </w:tcPr>
          <w:p w14:paraId="2AD88346"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7.439</w:t>
            </w:r>
          </w:p>
        </w:tc>
      </w:tr>
      <w:tr w:rsidR="001F39FB" w:rsidRPr="008902F2" w14:paraId="5DAB5488" w14:textId="77777777"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49494C84" w14:textId="77777777" w:rsidR="001F39FB" w:rsidRPr="008902F2" w:rsidRDefault="001F39FB" w:rsidP="001F39FB">
            <w:pPr>
              <w:spacing w:after="0" w:line="240" w:lineRule="auto"/>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Number of Meetings</w:t>
            </w:r>
          </w:p>
        </w:tc>
        <w:tc>
          <w:tcPr>
            <w:tcW w:w="557" w:type="pct"/>
            <w:tcBorders>
              <w:top w:val="nil"/>
              <w:left w:val="nil"/>
              <w:bottom w:val="single" w:sz="8" w:space="0" w:color="auto"/>
              <w:right w:val="single" w:sz="8" w:space="0" w:color="auto"/>
            </w:tcBorders>
            <w:shd w:val="clear" w:color="auto" w:fill="auto"/>
            <w:vAlign w:val="center"/>
          </w:tcPr>
          <w:p w14:paraId="60E7A8A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58</w:t>
            </w:r>
          </w:p>
        </w:tc>
        <w:tc>
          <w:tcPr>
            <w:tcW w:w="546" w:type="pct"/>
            <w:tcBorders>
              <w:top w:val="nil"/>
              <w:left w:val="nil"/>
              <w:bottom w:val="single" w:sz="8" w:space="0" w:color="auto"/>
              <w:right w:val="single" w:sz="8" w:space="0" w:color="auto"/>
            </w:tcBorders>
            <w:shd w:val="clear" w:color="auto" w:fill="auto"/>
            <w:noWrap/>
            <w:vAlign w:val="center"/>
            <w:hideMark/>
          </w:tcPr>
          <w:p w14:paraId="3F6FB1E0"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53</w:t>
            </w:r>
          </w:p>
        </w:tc>
        <w:tc>
          <w:tcPr>
            <w:tcW w:w="359" w:type="pct"/>
            <w:tcBorders>
              <w:top w:val="nil"/>
              <w:left w:val="nil"/>
              <w:bottom w:val="single" w:sz="8" w:space="0" w:color="auto"/>
              <w:right w:val="single" w:sz="8" w:space="0" w:color="auto"/>
            </w:tcBorders>
            <w:shd w:val="clear" w:color="auto" w:fill="auto"/>
            <w:noWrap/>
            <w:vAlign w:val="center"/>
            <w:hideMark/>
          </w:tcPr>
          <w:p w14:paraId="6E55690C"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59</w:t>
            </w:r>
          </w:p>
        </w:tc>
        <w:tc>
          <w:tcPr>
            <w:tcW w:w="359" w:type="pct"/>
            <w:tcBorders>
              <w:top w:val="nil"/>
              <w:left w:val="nil"/>
              <w:bottom w:val="single" w:sz="8" w:space="0" w:color="auto"/>
              <w:right w:val="single" w:sz="8" w:space="0" w:color="auto"/>
            </w:tcBorders>
            <w:shd w:val="clear" w:color="auto" w:fill="auto"/>
            <w:noWrap/>
            <w:vAlign w:val="center"/>
            <w:hideMark/>
          </w:tcPr>
          <w:p w14:paraId="5FE3165D"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55</w:t>
            </w:r>
          </w:p>
        </w:tc>
        <w:tc>
          <w:tcPr>
            <w:tcW w:w="454" w:type="pct"/>
            <w:tcBorders>
              <w:top w:val="nil"/>
              <w:left w:val="nil"/>
              <w:bottom w:val="single" w:sz="8" w:space="0" w:color="auto"/>
              <w:right w:val="single" w:sz="8" w:space="0" w:color="auto"/>
            </w:tcBorders>
            <w:noWrap/>
            <w:vAlign w:val="center"/>
          </w:tcPr>
          <w:p w14:paraId="3340B4E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58</w:t>
            </w:r>
          </w:p>
        </w:tc>
        <w:tc>
          <w:tcPr>
            <w:tcW w:w="925" w:type="pct"/>
            <w:tcBorders>
              <w:top w:val="nil"/>
              <w:left w:val="nil"/>
              <w:bottom w:val="single" w:sz="8" w:space="0" w:color="auto"/>
              <w:right w:val="single" w:sz="8" w:space="0" w:color="auto"/>
            </w:tcBorders>
            <w:vAlign w:val="center"/>
          </w:tcPr>
          <w:p w14:paraId="4D2760AF"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57</w:t>
            </w:r>
          </w:p>
        </w:tc>
      </w:tr>
      <w:tr w:rsidR="001F39FB" w:rsidRPr="008902F2" w14:paraId="5BE26CA5" w14:textId="77777777"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56FBC3E8" w14:textId="77777777" w:rsidR="001F39FB" w:rsidRPr="008902F2" w:rsidRDefault="001F39FB" w:rsidP="001F39FB">
            <w:pPr>
              <w:spacing w:after="0" w:line="240" w:lineRule="auto"/>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Average Number of Decisions Per Meeting</w:t>
            </w:r>
          </w:p>
        </w:tc>
        <w:tc>
          <w:tcPr>
            <w:tcW w:w="557" w:type="pct"/>
            <w:tcBorders>
              <w:top w:val="nil"/>
              <w:left w:val="nil"/>
              <w:bottom w:val="single" w:sz="8" w:space="0" w:color="auto"/>
              <w:right w:val="single" w:sz="8" w:space="0" w:color="auto"/>
            </w:tcBorders>
            <w:shd w:val="clear" w:color="auto" w:fill="auto"/>
            <w:vAlign w:val="center"/>
          </w:tcPr>
          <w:p w14:paraId="730C6128"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144</w:t>
            </w:r>
          </w:p>
        </w:tc>
        <w:tc>
          <w:tcPr>
            <w:tcW w:w="546" w:type="pct"/>
            <w:tcBorders>
              <w:top w:val="nil"/>
              <w:left w:val="nil"/>
              <w:bottom w:val="single" w:sz="8" w:space="0" w:color="auto"/>
              <w:right w:val="single" w:sz="8" w:space="0" w:color="auto"/>
            </w:tcBorders>
            <w:shd w:val="clear" w:color="auto" w:fill="auto"/>
            <w:noWrap/>
            <w:vAlign w:val="center"/>
            <w:hideMark/>
          </w:tcPr>
          <w:p w14:paraId="63E5FE62"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177</w:t>
            </w:r>
          </w:p>
        </w:tc>
        <w:tc>
          <w:tcPr>
            <w:tcW w:w="359" w:type="pct"/>
            <w:tcBorders>
              <w:top w:val="nil"/>
              <w:left w:val="nil"/>
              <w:bottom w:val="single" w:sz="8" w:space="0" w:color="auto"/>
              <w:right w:val="single" w:sz="8" w:space="0" w:color="auto"/>
            </w:tcBorders>
            <w:shd w:val="clear" w:color="auto" w:fill="auto"/>
            <w:noWrap/>
            <w:vAlign w:val="center"/>
            <w:hideMark/>
          </w:tcPr>
          <w:p w14:paraId="346E7D3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163</w:t>
            </w:r>
          </w:p>
        </w:tc>
        <w:tc>
          <w:tcPr>
            <w:tcW w:w="359" w:type="pct"/>
            <w:tcBorders>
              <w:top w:val="nil"/>
              <w:left w:val="nil"/>
              <w:bottom w:val="single" w:sz="8" w:space="0" w:color="auto"/>
              <w:right w:val="single" w:sz="8" w:space="0" w:color="auto"/>
            </w:tcBorders>
            <w:shd w:val="clear" w:color="auto" w:fill="auto"/>
            <w:noWrap/>
            <w:vAlign w:val="center"/>
            <w:hideMark/>
          </w:tcPr>
          <w:p w14:paraId="3A9150B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95</w:t>
            </w:r>
          </w:p>
        </w:tc>
        <w:tc>
          <w:tcPr>
            <w:tcW w:w="454" w:type="pct"/>
            <w:tcBorders>
              <w:top w:val="nil"/>
              <w:left w:val="nil"/>
              <w:bottom w:val="single" w:sz="8" w:space="0" w:color="auto"/>
              <w:right w:val="single" w:sz="8" w:space="0" w:color="auto"/>
            </w:tcBorders>
            <w:noWrap/>
            <w:vAlign w:val="center"/>
          </w:tcPr>
          <w:p w14:paraId="0F8EA84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80</w:t>
            </w:r>
          </w:p>
        </w:tc>
        <w:tc>
          <w:tcPr>
            <w:tcW w:w="925" w:type="pct"/>
            <w:tcBorders>
              <w:top w:val="nil"/>
              <w:left w:val="nil"/>
              <w:bottom w:val="single" w:sz="8" w:space="0" w:color="auto"/>
              <w:right w:val="single" w:sz="8" w:space="0" w:color="auto"/>
            </w:tcBorders>
            <w:vAlign w:val="center"/>
          </w:tcPr>
          <w:p w14:paraId="4B9E354E"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132</w:t>
            </w:r>
          </w:p>
        </w:tc>
      </w:tr>
      <w:tr w:rsidR="001F39FB" w:rsidRPr="008902F2" w14:paraId="0C71885F" w14:textId="77777777"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5927C664" w14:textId="77777777" w:rsidR="001F39FB" w:rsidRPr="008902F2" w:rsidRDefault="001F39FB" w:rsidP="001F39FB">
            <w:pPr>
              <w:spacing w:after="0" w:line="240" w:lineRule="auto"/>
              <w:rPr>
                <w:rFonts w:ascii="Times New Roman" w:eastAsia="Times New Roman" w:hAnsi="Times New Roman"/>
                <w:b/>
                <w:bCs/>
                <w:color w:val="000000"/>
                <w:lang w:val="en-US" w:eastAsia="tr-TR"/>
              </w:rPr>
            </w:pPr>
            <w:r w:rsidRPr="008902F2">
              <w:rPr>
                <w:rFonts w:ascii="Times New Roman" w:eastAsia="Times New Roman" w:hAnsi="Times New Roman"/>
                <w:b/>
                <w:color w:val="000000"/>
                <w:lang w:val="en-US"/>
              </w:rPr>
              <w:t>Average Number of Decisions per Week</w:t>
            </w:r>
          </w:p>
        </w:tc>
        <w:tc>
          <w:tcPr>
            <w:tcW w:w="557" w:type="pct"/>
            <w:tcBorders>
              <w:top w:val="nil"/>
              <w:left w:val="nil"/>
              <w:bottom w:val="single" w:sz="8" w:space="0" w:color="auto"/>
              <w:right w:val="single" w:sz="8" w:space="0" w:color="auto"/>
            </w:tcBorders>
            <w:shd w:val="clear" w:color="auto" w:fill="auto"/>
            <w:vAlign w:val="center"/>
          </w:tcPr>
          <w:p w14:paraId="75056D19"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161</w:t>
            </w:r>
          </w:p>
        </w:tc>
        <w:tc>
          <w:tcPr>
            <w:tcW w:w="546" w:type="pct"/>
            <w:tcBorders>
              <w:top w:val="nil"/>
              <w:left w:val="nil"/>
              <w:bottom w:val="single" w:sz="8" w:space="0" w:color="auto"/>
              <w:right w:val="single" w:sz="8" w:space="0" w:color="auto"/>
            </w:tcBorders>
            <w:shd w:val="clear" w:color="auto" w:fill="auto"/>
            <w:noWrap/>
            <w:vAlign w:val="center"/>
            <w:hideMark/>
          </w:tcPr>
          <w:p w14:paraId="1685C624"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181</w:t>
            </w:r>
          </w:p>
        </w:tc>
        <w:tc>
          <w:tcPr>
            <w:tcW w:w="359" w:type="pct"/>
            <w:tcBorders>
              <w:top w:val="nil"/>
              <w:left w:val="nil"/>
              <w:bottom w:val="single" w:sz="8" w:space="0" w:color="auto"/>
              <w:right w:val="single" w:sz="8" w:space="0" w:color="auto"/>
            </w:tcBorders>
            <w:shd w:val="clear" w:color="auto" w:fill="auto"/>
            <w:noWrap/>
            <w:vAlign w:val="center"/>
            <w:hideMark/>
          </w:tcPr>
          <w:p w14:paraId="79B6DC2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185</w:t>
            </w:r>
          </w:p>
        </w:tc>
        <w:tc>
          <w:tcPr>
            <w:tcW w:w="359" w:type="pct"/>
            <w:tcBorders>
              <w:top w:val="nil"/>
              <w:left w:val="nil"/>
              <w:bottom w:val="single" w:sz="8" w:space="0" w:color="auto"/>
              <w:right w:val="single" w:sz="8" w:space="0" w:color="auto"/>
            </w:tcBorders>
            <w:shd w:val="clear" w:color="auto" w:fill="auto"/>
            <w:noWrap/>
            <w:vAlign w:val="center"/>
            <w:hideMark/>
          </w:tcPr>
          <w:p w14:paraId="0EB8FAC1"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100</w:t>
            </w:r>
          </w:p>
        </w:tc>
        <w:tc>
          <w:tcPr>
            <w:tcW w:w="454" w:type="pct"/>
            <w:tcBorders>
              <w:top w:val="nil"/>
              <w:left w:val="nil"/>
              <w:bottom w:val="single" w:sz="8" w:space="0" w:color="auto"/>
              <w:right w:val="single" w:sz="8" w:space="0" w:color="auto"/>
            </w:tcBorders>
            <w:noWrap/>
            <w:vAlign w:val="center"/>
          </w:tcPr>
          <w:p w14:paraId="4EF93A77"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89</w:t>
            </w:r>
          </w:p>
        </w:tc>
        <w:tc>
          <w:tcPr>
            <w:tcW w:w="925" w:type="pct"/>
            <w:tcBorders>
              <w:top w:val="nil"/>
              <w:left w:val="nil"/>
              <w:bottom w:val="single" w:sz="8" w:space="0" w:color="auto"/>
              <w:right w:val="single" w:sz="8" w:space="0" w:color="auto"/>
            </w:tcBorders>
            <w:vAlign w:val="center"/>
          </w:tcPr>
          <w:p w14:paraId="642DAC0B" w14:textId="77777777" w:rsidR="001F39FB" w:rsidRPr="008902F2" w:rsidRDefault="001F39FB" w:rsidP="001F39FB">
            <w:pPr>
              <w:spacing w:after="0" w:line="240" w:lineRule="auto"/>
              <w:jc w:val="right"/>
              <w:rPr>
                <w:rFonts w:ascii="Times New Roman" w:eastAsia="Times New Roman" w:hAnsi="Times New Roman"/>
                <w:color w:val="000000"/>
                <w:lang w:val="en-US" w:eastAsia="tr-TR"/>
              </w:rPr>
            </w:pPr>
            <w:r w:rsidRPr="008902F2">
              <w:rPr>
                <w:rFonts w:ascii="Times New Roman" w:eastAsia="Times New Roman" w:hAnsi="Times New Roman"/>
                <w:color w:val="000000"/>
                <w:lang w:val="en-US"/>
              </w:rPr>
              <w:t>143</w:t>
            </w:r>
          </w:p>
        </w:tc>
      </w:tr>
    </w:tbl>
    <w:p w14:paraId="61CDCEAD" w14:textId="77777777" w:rsidR="009F6B4A" w:rsidRPr="008902F2" w:rsidRDefault="009F6B4A" w:rsidP="009F6B4A">
      <w:pPr>
        <w:spacing w:after="0"/>
        <w:rPr>
          <w:rFonts w:ascii="Times New Roman" w:hAnsi="Times New Roman"/>
          <w:color w:val="000000" w:themeColor="text1"/>
          <w:lang w:val="en-US"/>
        </w:rPr>
      </w:pPr>
    </w:p>
    <w:p w14:paraId="55370FFD" w14:textId="59841BCB" w:rsidR="00227DB0" w:rsidRPr="008902F2" w:rsidRDefault="009F6B4A" w:rsidP="00E15918">
      <w:pPr>
        <w:spacing w:after="0"/>
        <w:rPr>
          <w:rFonts w:ascii="Times New Roman" w:hAnsi="Times New Roman"/>
          <w:color w:val="000000" w:themeColor="text1"/>
          <w:lang w:val="en-US"/>
        </w:rPr>
      </w:pPr>
      <w:r w:rsidRPr="008902F2">
        <w:rPr>
          <w:rFonts w:ascii="Times New Roman" w:hAnsi="Times New Roman"/>
          <w:color w:val="000000" w:themeColor="text1"/>
          <w:lang w:val="en-US"/>
        </w:rPr>
        <w:t>As shown in Table 1.3 above, the Board made an average of 7</w:t>
      </w:r>
      <w:r w:rsidR="0022241C" w:rsidRPr="008902F2">
        <w:rPr>
          <w:rFonts w:ascii="Times New Roman" w:hAnsi="Times New Roman"/>
          <w:color w:val="000000" w:themeColor="text1"/>
          <w:lang w:val="en-US"/>
        </w:rPr>
        <w:t>.</w:t>
      </w:r>
      <w:r w:rsidRPr="008902F2">
        <w:rPr>
          <w:rFonts w:ascii="Times New Roman" w:hAnsi="Times New Roman"/>
          <w:color w:val="000000" w:themeColor="text1"/>
          <w:lang w:val="en-US"/>
        </w:rPr>
        <w:t xml:space="preserve">439 decisions annually in the period from 2018 to 2022. An average of 132 Board Resolutions per meeting during the said period; An average of 143 Board Decisions were taken per week. </w:t>
      </w:r>
    </w:p>
    <w:p w14:paraId="3C2B33C1" w14:textId="77777777" w:rsidR="00E15918" w:rsidRPr="008902F2" w:rsidRDefault="00E15918" w:rsidP="00E15918">
      <w:pPr>
        <w:spacing w:after="0"/>
        <w:rPr>
          <w:rFonts w:ascii="Times New Roman" w:hAnsi="Times New Roman"/>
          <w:color w:val="000000" w:themeColor="text1"/>
          <w:lang w:val="en-US"/>
        </w:rPr>
      </w:pPr>
    </w:p>
    <w:p w14:paraId="577355E0" w14:textId="25112B03" w:rsidR="005811A6" w:rsidRPr="008902F2" w:rsidRDefault="4FD9C84F" w:rsidP="6F691FB8">
      <w:pPr>
        <w:pStyle w:val="Balk5"/>
        <w:spacing w:after="120"/>
        <w:rPr>
          <w:rStyle w:val="Gl"/>
          <w:rFonts w:ascii="Times New Roman" w:hAnsi="Times New Roman" w:cs="Times New Roman"/>
          <w:color w:val="auto"/>
          <w:lang w:val="en-US"/>
        </w:rPr>
      </w:pPr>
      <w:bookmarkStart w:id="23" w:name="_Toc132713887"/>
      <w:r w:rsidRPr="008902F2">
        <w:rPr>
          <w:rStyle w:val="Gl"/>
          <w:rFonts w:ascii="Times New Roman" w:hAnsi="Times New Roman" w:cs="Times New Roman"/>
          <w:color w:val="auto"/>
          <w:lang w:val="en-US"/>
        </w:rPr>
        <w:lastRenderedPageBreak/>
        <w:t xml:space="preserve">Figure 1.2: </w:t>
      </w:r>
      <w:r w:rsidR="73DEFA59" w:rsidRPr="008902F2">
        <w:rPr>
          <w:rStyle w:val="Gl"/>
          <w:rFonts w:ascii="Times New Roman" w:hAnsi="Times New Roman" w:cs="Times New Roman"/>
          <w:color w:val="auto"/>
          <w:lang w:val="en-US"/>
        </w:rPr>
        <w:t>Distribution of Board Decisions Taken Between 2018-2022</w:t>
      </w:r>
      <w:bookmarkEnd w:id="23"/>
    </w:p>
    <w:p w14:paraId="23DE523C" w14:textId="2BD2A937" w:rsidR="009F6B4A" w:rsidRPr="008902F2" w:rsidRDefault="00413BEA" w:rsidP="008C40F5">
      <w:pPr>
        <w:spacing w:after="0"/>
        <w:jc w:val="center"/>
        <w:rPr>
          <w:rFonts w:ascii="Times New Roman" w:hAnsi="Times New Roman"/>
          <w:noProof/>
          <w:lang w:val="en-US"/>
        </w:rPr>
      </w:pPr>
      <w:r w:rsidRPr="008902F2">
        <w:rPr>
          <w:rFonts w:ascii="Times New Roman" w:hAnsi="Times New Roman"/>
          <w:noProof/>
          <w:color w:val="000000" w:themeColor="text1"/>
          <w:lang w:val="en-US"/>
        </w:rPr>
        <w:drawing>
          <wp:inline distT="0" distB="0" distL="0" distR="0" wp14:anchorId="401DB858" wp14:editId="0E0A520B">
            <wp:extent cx="6249035" cy="3314700"/>
            <wp:effectExtent l="0" t="0" r="0" b="0"/>
            <wp:docPr id="280513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9035" cy="3314700"/>
                    </a:xfrm>
                    <a:prstGeom prst="rect">
                      <a:avLst/>
                    </a:prstGeom>
                    <a:noFill/>
                  </pic:spPr>
                </pic:pic>
              </a:graphicData>
            </a:graphic>
          </wp:inline>
        </w:drawing>
      </w:r>
    </w:p>
    <w:p w14:paraId="54F950A3" w14:textId="77777777" w:rsidR="00413BEA" w:rsidRPr="008902F2" w:rsidRDefault="00413BEA" w:rsidP="008C40F5">
      <w:pPr>
        <w:spacing w:after="0"/>
        <w:jc w:val="center"/>
        <w:rPr>
          <w:rFonts w:ascii="Times New Roman" w:hAnsi="Times New Roman"/>
          <w:color w:val="000000" w:themeColor="text1"/>
          <w:lang w:val="en-US"/>
        </w:rPr>
      </w:pPr>
    </w:p>
    <w:p w14:paraId="15C5AC7F" w14:textId="18F0E481" w:rsidR="6C7F22E3" w:rsidRPr="008902F2" w:rsidRDefault="6C7F22E3" w:rsidP="6F691FB8">
      <w:pPr>
        <w:spacing w:before="120" w:after="120"/>
        <w:rPr>
          <w:rFonts w:ascii="Times New Roman" w:hAnsi="Times New Roman"/>
          <w:color w:val="000000" w:themeColor="text1"/>
          <w:lang w:val="en-US"/>
        </w:rPr>
      </w:pPr>
      <w:r w:rsidRPr="008902F2">
        <w:rPr>
          <w:rFonts w:ascii="Times New Roman" w:hAnsi="Times New Roman"/>
          <w:color w:val="000000" w:themeColor="text1"/>
          <w:lang w:val="en-US"/>
        </w:rPr>
        <w:t>Administrative sanctions decisions of the Board can be challenged in the competent administrative court. Any lawsuit filed against Board decisions is considered as a priority case. Various duties and powers are granted to the Board in certain articles of Law No. 6446 on Electricity Market, Law No. 4646 on Natural Gas Market, Law No. 5015 on Petroleum Market, Law No. 5307 on Liquefied Petroleum Gases (LPG) Market, and Law on Amendments to the Electricity Market Law. Additionally, the Board's duties and powers are collectively stated in articles 5, 5/A, 5/B, and 5/C of Law No. 4628.</w:t>
      </w:r>
    </w:p>
    <w:p w14:paraId="0AD490CC" w14:textId="50B62A2C" w:rsidR="6F691FB8" w:rsidRPr="008902F2" w:rsidRDefault="6F691FB8" w:rsidP="6F691FB8">
      <w:pPr>
        <w:spacing w:before="120" w:after="120"/>
        <w:rPr>
          <w:rFonts w:ascii="Times New Roman" w:hAnsi="Times New Roman"/>
          <w:color w:val="000000" w:themeColor="text1"/>
          <w:lang w:val="en-US"/>
        </w:rPr>
      </w:pPr>
    </w:p>
    <w:p w14:paraId="06541112" w14:textId="77777777" w:rsidR="00C553AB" w:rsidRPr="008902F2" w:rsidRDefault="5E79CBD5" w:rsidP="00A86526">
      <w:pPr>
        <w:pStyle w:val="Balk3"/>
        <w:numPr>
          <w:ilvl w:val="2"/>
          <w:numId w:val="23"/>
        </w:numPr>
        <w:spacing w:before="0"/>
        <w:rPr>
          <w:rFonts w:ascii="Times New Roman" w:hAnsi="Times New Roman" w:cs="Times New Roman"/>
          <w:color w:val="000000" w:themeColor="text1"/>
          <w:lang w:val="en-US"/>
        </w:rPr>
      </w:pPr>
      <w:bookmarkStart w:id="24" w:name="_Toc442431227"/>
      <w:bookmarkStart w:id="25" w:name="_Toc143113395"/>
      <w:r w:rsidRPr="008902F2">
        <w:rPr>
          <w:rFonts w:ascii="Times New Roman" w:hAnsi="Times New Roman" w:cs="Times New Roman"/>
          <w:color w:val="000000" w:themeColor="text1"/>
          <w:lang w:val="en-US"/>
        </w:rPr>
        <w:t>Presidency</w:t>
      </w:r>
      <w:bookmarkEnd w:id="24"/>
      <w:bookmarkEnd w:id="25"/>
    </w:p>
    <w:p w14:paraId="7B578DB6" w14:textId="77777777" w:rsidR="00CA1EF2" w:rsidRPr="008902F2" w:rsidRDefault="00C553AB" w:rsidP="00495438">
      <w:pPr>
        <w:spacing w:after="120"/>
        <w:rPr>
          <w:rFonts w:ascii="Times New Roman" w:hAnsi="Times New Roman"/>
          <w:lang w:val="en-US"/>
        </w:rPr>
      </w:pPr>
      <w:r w:rsidRPr="008902F2">
        <w:rPr>
          <w:rFonts w:ascii="Times New Roman" w:hAnsi="Times New Roman"/>
          <w:lang w:val="en-US"/>
        </w:rPr>
        <w:t>The Chairman of the Board is also the President of the Authority. The harmonious, efficient, disciplined and orderly operation of the service units, the organization and coordination between the service units and the Board are provided by the President. The President is responsible for the fulfillment of the Board's Decisions and the representation of the Board. This responsibility; It also includes the duty to inform the public about the affairs of the Board. Except for the powers granted by the Presidency to the personnel of the Institution, all decisions of the Authority shall be taken by the Board. The Board may appoint or authorize the Presidency in matters it deems appropriate.</w:t>
      </w:r>
    </w:p>
    <w:p w14:paraId="0DC2EDF5" w14:textId="77777777" w:rsidR="00CA1EF2" w:rsidRPr="008902F2" w:rsidRDefault="00C553AB" w:rsidP="00495438">
      <w:pPr>
        <w:spacing w:after="120"/>
        <w:rPr>
          <w:rFonts w:ascii="Times New Roman" w:hAnsi="Times New Roman"/>
          <w:lang w:val="en-US"/>
        </w:rPr>
      </w:pPr>
      <w:r w:rsidRPr="008902F2">
        <w:rPr>
          <w:rFonts w:ascii="Times New Roman" w:hAnsi="Times New Roman"/>
          <w:lang w:val="en-US"/>
        </w:rPr>
        <w:t xml:space="preserve">The Second President assumes the duties and powers of the President in the absence of the President. </w:t>
      </w:r>
    </w:p>
    <w:p w14:paraId="287D3FC6" w14:textId="77777777" w:rsidR="00C553AB" w:rsidRPr="008902F2" w:rsidRDefault="00C553AB" w:rsidP="00495438">
      <w:pPr>
        <w:spacing w:after="120"/>
        <w:rPr>
          <w:rFonts w:ascii="Times New Roman" w:hAnsi="Times New Roman"/>
          <w:lang w:val="en-US"/>
        </w:rPr>
      </w:pPr>
      <w:r w:rsidRPr="008902F2">
        <w:rPr>
          <w:rFonts w:ascii="Times New Roman" w:hAnsi="Times New Roman"/>
          <w:lang w:val="en-US"/>
        </w:rPr>
        <w:t xml:space="preserve">Three vice-presidents may be appointed by Decision of the Board to assist the President in his duties as President of the Institution. Vice Presidents are responsible for the fulfillment of the duties and instructions given by the President and for ensuring coordination between the relevant service units. </w:t>
      </w:r>
    </w:p>
    <w:p w14:paraId="42F87159" w14:textId="199D0048" w:rsidR="00C553AB" w:rsidRPr="008902F2" w:rsidRDefault="00C553AB" w:rsidP="0022241C">
      <w:pPr>
        <w:spacing w:before="240" w:after="120"/>
        <w:rPr>
          <w:rFonts w:ascii="Times New Roman" w:hAnsi="Times New Roman"/>
          <w:lang w:val="en-US"/>
        </w:rPr>
      </w:pPr>
      <w:r w:rsidRPr="008902F2">
        <w:rPr>
          <w:rFonts w:ascii="Times New Roman" w:hAnsi="Times New Roman"/>
          <w:lang w:val="en-US"/>
        </w:rPr>
        <w:t>The duties and powers of the Presidency are defined in the eighth paragraph of Article 5 of Law No. 4628.</w:t>
      </w:r>
    </w:p>
    <w:p w14:paraId="37208C9E" w14:textId="77777777" w:rsidR="0022241C" w:rsidRPr="008902F2" w:rsidRDefault="0022241C" w:rsidP="0022241C">
      <w:pPr>
        <w:spacing w:before="240" w:after="120"/>
        <w:rPr>
          <w:rFonts w:ascii="Times New Roman" w:hAnsi="Times New Roman"/>
          <w:lang w:val="en-US"/>
        </w:rPr>
      </w:pPr>
    </w:p>
    <w:p w14:paraId="50106C70" w14:textId="77777777" w:rsidR="00C553AB" w:rsidRPr="008902F2" w:rsidRDefault="5E79CBD5" w:rsidP="00A86526">
      <w:pPr>
        <w:pStyle w:val="Balk3"/>
        <w:numPr>
          <w:ilvl w:val="2"/>
          <w:numId w:val="23"/>
        </w:numPr>
        <w:spacing w:before="0"/>
        <w:rPr>
          <w:rFonts w:ascii="Times New Roman" w:hAnsi="Times New Roman" w:cs="Times New Roman"/>
          <w:lang w:val="en-US"/>
        </w:rPr>
      </w:pPr>
      <w:bookmarkStart w:id="26" w:name="_Toc442431228"/>
      <w:bookmarkStart w:id="27" w:name="_Toc143113396"/>
      <w:r w:rsidRPr="008902F2">
        <w:rPr>
          <w:rFonts w:ascii="Times New Roman" w:hAnsi="Times New Roman" w:cs="Times New Roman"/>
          <w:lang w:val="en-US"/>
        </w:rPr>
        <w:lastRenderedPageBreak/>
        <w:t>Service Units</w:t>
      </w:r>
      <w:bookmarkEnd w:id="26"/>
      <w:bookmarkEnd w:id="27"/>
    </w:p>
    <w:p w14:paraId="12E83D35" w14:textId="77777777" w:rsidR="00C553AB" w:rsidRPr="008902F2" w:rsidRDefault="00C553AB" w:rsidP="00495438">
      <w:pPr>
        <w:spacing w:after="120"/>
        <w:rPr>
          <w:rFonts w:ascii="Times New Roman" w:hAnsi="Times New Roman"/>
          <w:lang w:val="en-US"/>
        </w:rPr>
      </w:pPr>
      <w:r w:rsidRPr="008902F2">
        <w:rPr>
          <w:rFonts w:ascii="Times New Roman" w:hAnsi="Times New Roman"/>
          <w:lang w:val="en-US"/>
        </w:rPr>
        <w:t xml:space="preserve">The service units of the Authority and their duties and responsibilities, staff titles and numbers are regulated in the Law No. 4628 on the Organization and Duties of the Energy Market Regulatory Authority and the Regulation on the Organization of the Energy Market Regulatory Authority published in the Official Gazette dated 18.05.2014 and numbered 29004. </w:t>
      </w:r>
    </w:p>
    <w:p w14:paraId="5DB2F309" w14:textId="77777777" w:rsidR="00C553AB" w:rsidRPr="008902F2" w:rsidRDefault="00C553AB" w:rsidP="00A02EDE">
      <w:pPr>
        <w:spacing w:after="0"/>
        <w:rPr>
          <w:rFonts w:ascii="Times New Roman" w:hAnsi="Times New Roman"/>
          <w:lang w:val="en-US"/>
        </w:rPr>
      </w:pPr>
      <w:r w:rsidRPr="008902F2">
        <w:rPr>
          <w:rFonts w:ascii="Times New Roman" w:hAnsi="Times New Roman"/>
          <w:lang w:val="en-US"/>
        </w:rPr>
        <w:t>As defined in the Law No. 4628, the service units of the Authority are as follows</w:t>
      </w:r>
      <w:r w:rsidR="005C6A95" w:rsidRPr="008902F2">
        <w:rPr>
          <w:rStyle w:val="DipnotBavurusu"/>
          <w:rFonts w:ascii="Times New Roman" w:hAnsi="Times New Roman"/>
          <w:lang w:val="en-US"/>
        </w:rPr>
        <w:footnoteReference w:id="1"/>
      </w:r>
      <w:r w:rsidRPr="008902F2">
        <w:rPr>
          <w:rFonts w:ascii="Times New Roman" w:hAnsi="Times New Roman"/>
          <w:lang w:val="en-US"/>
        </w:rPr>
        <w:t xml:space="preserve">: </w:t>
      </w:r>
    </w:p>
    <w:p w14:paraId="0CDEC541"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Electricity Market</w:t>
      </w:r>
    </w:p>
    <w:p w14:paraId="36A75171"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Natural Gas Market</w:t>
      </w:r>
    </w:p>
    <w:p w14:paraId="34B1CE7A"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Petroleum Market</w:t>
      </w:r>
    </w:p>
    <w:p w14:paraId="1B25F00A" w14:textId="77777777" w:rsidR="00C553AB" w:rsidRPr="008902F2" w:rsidRDefault="00C553AB" w:rsidP="00A02EDE">
      <w:pPr>
        <w:spacing w:after="0"/>
        <w:ind w:left="360"/>
        <w:rPr>
          <w:rFonts w:ascii="Times New Roman" w:hAnsi="Times New Roman"/>
          <w:lang w:val="en-US"/>
        </w:rPr>
      </w:pPr>
      <w:r w:rsidRPr="008902F2">
        <w:rPr>
          <w:rFonts w:ascii="Times New Roman" w:hAnsi="Times New Roman"/>
          <w:lang w:val="en-US"/>
        </w:rPr>
        <w:t>ç)</w:t>
      </w:r>
      <w:r w:rsidRPr="008902F2">
        <w:rPr>
          <w:rFonts w:ascii="Times New Roman" w:hAnsi="Times New Roman"/>
          <w:lang w:val="en-US"/>
        </w:rPr>
        <w:tab/>
        <w:t>Department of Liquefied Petroleum Gases Market</w:t>
      </w:r>
    </w:p>
    <w:p w14:paraId="7A43163F"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Tariffs</w:t>
      </w:r>
    </w:p>
    <w:p w14:paraId="6DE1BA0E"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Audit Department</w:t>
      </w:r>
    </w:p>
    <w:p w14:paraId="2461DF37"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Expropriation</w:t>
      </w:r>
    </w:p>
    <w:p w14:paraId="042693E4" w14:textId="77777777" w:rsidR="00C553AB"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Legal Department</w:t>
      </w:r>
    </w:p>
    <w:p w14:paraId="46E69B86" w14:textId="77777777" w:rsidR="00C553AB" w:rsidRPr="008902F2" w:rsidRDefault="00C553AB" w:rsidP="00A02EDE">
      <w:pPr>
        <w:spacing w:after="0"/>
        <w:ind w:left="360"/>
        <w:rPr>
          <w:rFonts w:ascii="Times New Roman" w:hAnsi="Times New Roman"/>
          <w:lang w:val="en-US"/>
        </w:rPr>
      </w:pPr>
      <w:r w:rsidRPr="008902F2">
        <w:rPr>
          <w:rFonts w:ascii="Times New Roman" w:hAnsi="Times New Roman"/>
          <w:lang w:val="en-US"/>
        </w:rPr>
        <w:t>ğ)</w:t>
      </w:r>
      <w:r w:rsidRPr="008902F2">
        <w:rPr>
          <w:rFonts w:ascii="Times New Roman" w:hAnsi="Times New Roman"/>
          <w:lang w:val="en-US"/>
        </w:rPr>
        <w:tab/>
        <w:t>Department of Strategy Development</w:t>
      </w:r>
    </w:p>
    <w:p w14:paraId="24CF3916" w14:textId="77777777" w:rsidR="003E0739" w:rsidRPr="008902F2" w:rsidRDefault="00C553AB"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Human Resources and Support Services</w:t>
      </w:r>
    </w:p>
    <w:p w14:paraId="27E26EFA" w14:textId="77777777" w:rsidR="0023029E" w:rsidRPr="008902F2" w:rsidRDefault="003E0739" w:rsidP="00A86526">
      <w:pPr>
        <w:pStyle w:val="ListeParagraf"/>
        <w:numPr>
          <w:ilvl w:val="0"/>
          <w:numId w:val="26"/>
        </w:numPr>
        <w:spacing w:after="0"/>
        <w:ind w:left="709" w:hanging="349"/>
        <w:rPr>
          <w:rFonts w:ascii="Times New Roman" w:hAnsi="Times New Roman"/>
          <w:lang w:val="en-US"/>
        </w:rPr>
      </w:pPr>
      <w:r w:rsidRPr="008902F2">
        <w:rPr>
          <w:rFonts w:ascii="Times New Roman" w:hAnsi="Times New Roman"/>
          <w:lang w:val="en-US"/>
        </w:rPr>
        <w:t>Department of Information Technologies</w:t>
      </w:r>
    </w:p>
    <w:p w14:paraId="22DF4D94" w14:textId="77777777" w:rsidR="00C553AB" w:rsidRPr="008902F2" w:rsidRDefault="0023029E"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Department of Energy Transformation</w:t>
      </w:r>
    </w:p>
    <w:p w14:paraId="546D1F73" w14:textId="77777777" w:rsidR="0023029E" w:rsidRPr="008902F2" w:rsidRDefault="0023029E"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Press and Public Relations Consultancy</w:t>
      </w:r>
    </w:p>
    <w:p w14:paraId="14D8D296" w14:textId="77777777" w:rsidR="00C553AB" w:rsidRPr="008902F2" w:rsidRDefault="0023029E"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Board Services Directorate</w:t>
      </w:r>
    </w:p>
    <w:p w14:paraId="0D06C666" w14:textId="77777777" w:rsidR="0023029E" w:rsidRPr="008902F2" w:rsidRDefault="0023029E" w:rsidP="00A86526">
      <w:pPr>
        <w:pStyle w:val="ListeParagraf"/>
        <w:numPr>
          <w:ilvl w:val="0"/>
          <w:numId w:val="20"/>
        </w:numPr>
        <w:spacing w:after="0"/>
        <w:rPr>
          <w:rFonts w:ascii="Times New Roman" w:hAnsi="Times New Roman"/>
          <w:lang w:val="en-US"/>
        </w:rPr>
      </w:pPr>
      <w:r w:rsidRPr="008902F2">
        <w:rPr>
          <w:rFonts w:ascii="Times New Roman" w:hAnsi="Times New Roman"/>
          <w:lang w:val="en-US"/>
        </w:rPr>
        <w:t>Presidential Private Office</w:t>
      </w:r>
    </w:p>
    <w:p w14:paraId="52E56223" w14:textId="77777777" w:rsidR="00C553AB" w:rsidRPr="008902F2" w:rsidRDefault="00C553AB" w:rsidP="00A02EDE">
      <w:pPr>
        <w:spacing w:after="0"/>
        <w:ind w:left="720"/>
        <w:rPr>
          <w:rFonts w:ascii="Times New Roman" w:hAnsi="Times New Roman"/>
          <w:lang w:val="en-US"/>
        </w:rPr>
      </w:pPr>
    </w:p>
    <w:p w14:paraId="07547A01" w14:textId="77777777" w:rsidR="00C553AB" w:rsidRPr="008902F2" w:rsidRDefault="00C553AB" w:rsidP="00A02EDE">
      <w:pPr>
        <w:spacing w:after="0"/>
        <w:rPr>
          <w:rFonts w:ascii="Times New Roman" w:hAnsi="Times New Roman"/>
          <w:lang w:val="en-US"/>
        </w:rPr>
      </w:pPr>
    </w:p>
    <w:p w14:paraId="5043CB0F" w14:textId="77777777" w:rsidR="00C553AB" w:rsidRPr="008902F2" w:rsidRDefault="00C553AB" w:rsidP="00A02EDE">
      <w:pPr>
        <w:spacing w:after="0"/>
        <w:rPr>
          <w:rFonts w:ascii="Times New Roman" w:hAnsi="Times New Roman"/>
          <w:lang w:val="en-US"/>
        </w:rPr>
      </w:pPr>
    </w:p>
    <w:p w14:paraId="07459315" w14:textId="77777777" w:rsidR="00C553AB" w:rsidRPr="008902F2" w:rsidRDefault="00C553AB" w:rsidP="00A02EDE">
      <w:pPr>
        <w:spacing w:after="0"/>
        <w:rPr>
          <w:rFonts w:ascii="Times New Roman" w:hAnsi="Times New Roman"/>
          <w:lang w:val="en-US"/>
        </w:rPr>
      </w:pPr>
    </w:p>
    <w:p w14:paraId="6537F28F" w14:textId="77777777" w:rsidR="00C553AB" w:rsidRPr="008902F2" w:rsidRDefault="00C553AB" w:rsidP="00A02EDE">
      <w:pPr>
        <w:spacing w:after="0"/>
        <w:rPr>
          <w:rFonts w:ascii="Times New Roman" w:hAnsi="Times New Roman"/>
          <w:lang w:val="en-US"/>
        </w:rPr>
      </w:pPr>
    </w:p>
    <w:p w14:paraId="6DFB9E20" w14:textId="77777777" w:rsidR="00C553AB" w:rsidRPr="008902F2" w:rsidRDefault="00C553AB" w:rsidP="00A02EDE">
      <w:pPr>
        <w:spacing w:after="0"/>
        <w:rPr>
          <w:rFonts w:ascii="Times New Roman" w:hAnsi="Times New Roman"/>
          <w:lang w:val="en-US"/>
        </w:rPr>
      </w:pPr>
    </w:p>
    <w:p w14:paraId="70DF9E56" w14:textId="77777777" w:rsidR="00C553AB" w:rsidRPr="008902F2" w:rsidRDefault="00C553AB" w:rsidP="00A02EDE">
      <w:pPr>
        <w:spacing w:after="0"/>
        <w:rPr>
          <w:rFonts w:ascii="Times New Roman" w:hAnsi="Times New Roman"/>
          <w:lang w:val="en-US"/>
        </w:rPr>
      </w:pPr>
    </w:p>
    <w:p w14:paraId="44E871BC" w14:textId="77777777" w:rsidR="00090153" w:rsidRPr="008902F2" w:rsidRDefault="00090153" w:rsidP="00A02EDE">
      <w:pPr>
        <w:spacing w:after="0"/>
        <w:rPr>
          <w:rFonts w:ascii="Times New Roman" w:hAnsi="Times New Roman"/>
          <w:lang w:val="en-US"/>
        </w:rPr>
      </w:pPr>
    </w:p>
    <w:p w14:paraId="144A5D23" w14:textId="77777777" w:rsidR="00090153" w:rsidRPr="008902F2" w:rsidRDefault="00090153" w:rsidP="00A02EDE">
      <w:pPr>
        <w:ind w:firstLine="708"/>
        <w:rPr>
          <w:rFonts w:ascii="Times New Roman" w:hAnsi="Times New Roman"/>
          <w:lang w:val="en-US"/>
        </w:rPr>
      </w:pPr>
    </w:p>
    <w:p w14:paraId="738610EB" w14:textId="77777777" w:rsidR="00090153" w:rsidRPr="008902F2" w:rsidRDefault="00090153" w:rsidP="00A02EDE">
      <w:pPr>
        <w:rPr>
          <w:rFonts w:ascii="Times New Roman" w:hAnsi="Times New Roman"/>
          <w:lang w:val="en-US"/>
        </w:rPr>
      </w:pPr>
    </w:p>
    <w:p w14:paraId="637805D2" w14:textId="77777777" w:rsidR="00C553AB" w:rsidRPr="008902F2" w:rsidRDefault="00C553AB" w:rsidP="00A02EDE">
      <w:pPr>
        <w:rPr>
          <w:rFonts w:ascii="Times New Roman" w:hAnsi="Times New Roman"/>
          <w:lang w:val="en-US"/>
        </w:rPr>
        <w:sectPr w:rsidR="00C553AB" w:rsidRPr="008902F2" w:rsidSect="00A92DB0">
          <w:footerReference w:type="first" r:id="rId15"/>
          <w:pgSz w:w="11906" w:h="16838"/>
          <w:pgMar w:top="1418" w:right="566" w:bottom="1418" w:left="1418" w:header="709" w:footer="709" w:gutter="0"/>
          <w:pgNumType w:start="1"/>
          <w:cols w:space="708"/>
          <w:titlePg/>
          <w:docGrid w:linePitch="360"/>
        </w:sectPr>
      </w:pPr>
    </w:p>
    <w:p w14:paraId="463F29E8" w14:textId="59EC2E38" w:rsidR="00BF60F1" w:rsidRPr="008902F2" w:rsidRDefault="01CBA59E" w:rsidP="6F691FB8">
      <w:pPr>
        <w:spacing w:after="0"/>
        <w:rPr>
          <w:rFonts w:ascii="Times New Roman" w:hAnsi="Times New Roman"/>
          <w:lang w:val="en-US"/>
        </w:rPr>
        <w:sectPr w:rsidR="00BF60F1" w:rsidRPr="008902F2" w:rsidSect="007650B8">
          <w:footerReference w:type="default" r:id="rId16"/>
          <w:pgSz w:w="16838" w:h="11906" w:orient="landscape"/>
          <w:pgMar w:top="1418" w:right="1418" w:bottom="566" w:left="1418" w:header="709" w:footer="459" w:gutter="0"/>
          <w:cols w:space="708"/>
          <w:docGrid w:linePitch="360"/>
        </w:sectPr>
      </w:pPr>
      <w:r w:rsidRPr="008902F2">
        <w:rPr>
          <w:rFonts w:ascii="Times New Roman" w:hAnsi="Times New Roman"/>
          <w:noProof/>
          <w:lang w:val="en-US"/>
        </w:rPr>
        <w:lastRenderedPageBreak/>
        <w:drawing>
          <wp:inline distT="0" distB="0" distL="0" distR="0" wp14:anchorId="7492D8C3" wp14:editId="17B81D8E">
            <wp:extent cx="8829675" cy="5448300"/>
            <wp:effectExtent l="0" t="0" r="9525" b="0"/>
            <wp:docPr id="2093236855" name="Picture 209323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8829677" cy="5448301"/>
                    </a:xfrm>
                    <a:prstGeom prst="rect">
                      <a:avLst/>
                    </a:prstGeom>
                  </pic:spPr>
                </pic:pic>
              </a:graphicData>
            </a:graphic>
          </wp:inline>
        </w:drawing>
      </w:r>
      <w:r w:rsidR="002A1509" w:rsidRPr="008902F2">
        <w:rPr>
          <w:rFonts w:ascii="Times New Roman" w:hAnsi="Times New Roman"/>
          <w:lang w:val="en-US"/>
        </w:rPr>
        <w:br/>
      </w:r>
    </w:p>
    <w:p w14:paraId="675EE6D7" w14:textId="77777777" w:rsidR="0082383B" w:rsidRPr="008902F2" w:rsidRDefault="77B1B913" w:rsidP="00A86526">
      <w:pPr>
        <w:pStyle w:val="Balk2"/>
        <w:numPr>
          <w:ilvl w:val="1"/>
          <w:numId w:val="23"/>
        </w:numPr>
        <w:spacing w:after="240"/>
        <w:rPr>
          <w:rFonts w:ascii="Times New Roman" w:hAnsi="Times New Roman" w:cs="Times New Roman"/>
          <w:color w:val="000000" w:themeColor="text1"/>
          <w:szCs w:val="22"/>
          <w:lang w:val="en-US"/>
        </w:rPr>
      </w:pPr>
      <w:bookmarkStart w:id="28" w:name="_Toc143113397"/>
      <w:r w:rsidRPr="008902F2">
        <w:rPr>
          <w:rFonts w:ascii="Times New Roman" w:hAnsi="Times New Roman" w:cs="Times New Roman"/>
          <w:color w:val="000000" w:themeColor="text1"/>
          <w:szCs w:val="22"/>
          <w:lang w:val="en-US"/>
        </w:rPr>
        <w:lastRenderedPageBreak/>
        <w:t>Supervision of the Activities of the Institution</w:t>
      </w:r>
      <w:bookmarkEnd w:id="28"/>
    </w:p>
    <w:p w14:paraId="21DBBC7E" w14:textId="77777777" w:rsidR="00D0443E" w:rsidRPr="008902F2" w:rsidRDefault="00D0443E" w:rsidP="00A02EDE">
      <w:pPr>
        <w:spacing w:after="0"/>
        <w:rPr>
          <w:rFonts w:ascii="Times New Roman" w:hAnsi="Times New Roman"/>
          <w:lang w:val="en-US"/>
        </w:rPr>
      </w:pPr>
      <w:r w:rsidRPr="008902F2">
        <w:rPr>
          <w:rFonts w:ascii="Times New Roman" w:hAnsi="Times New Roman"/>
          <w:lang w:val="en-US"/>
        </w:rPr>
        <w:t>The Authority is subject only to Articles 3, 7, 8, 12, 15, 17, 18, 19, 25, 43, 47, 48, 49, 50, 51, 52, 53, 54, 68 and 76 of the Public Financial Management and Control Law No. 5018. In this context, in accordance with Article 68 of Law No. 5018, the external audit of the Authority is carried out by the Court of Auditors.</w:t>
      </w:r>
    </w:p>
    <w:p w14:paraId="3B7B4B86" w14:textId="77777777" w:rsidR="008A2C96" w:rsidRPr="008902F2" w:rsidRDefault="008A2C96" w:rsidP="00A02EDE">
      <w:pPr>
        <w:spacing w:after="0"/>
        <w:rPr>
          <w:rFonts w:ascii="Times New Roman" w:hAnsi="Times New Roman"/>
          <w:lang w:val="en-US"/>
        </w:rPr>
      </w:pPr>
    </w:p>
    <w:p w14:paraId="4247BBFA" w14:textId="7665BC27" w:rsidR="008A2C96" w:rsidRPr="008902F2" w:rsidRDefault="00D0443E" w:rsidP="00A02EDE">
      <w:pPr>
        <w:spacing w:after="0"/>
        <w:rPr>
          <w:rFonts w:ascii="Times New Roman" w:hAnsi="Times New Roman"/>
          <w:lang w:val="en-US"/>
        </w:rPr>
      </w:pPr>
      <w:r w:rsidRPr="008902F2">
        <w:rPr>
          <w:rFonts w:ascii="Times New Roman" w:hAnsi="Times New Roman"/>
          <w:lang w:val="en-US"/>
        </w:rPr>
        <w:t>The purpose of the post-expenditure external audit conducted by the Court of Auditors is to ensure that, within the framework of accountability, the financial activities, decisions and transactions of the management; to examine it in terms of compliance with laws, institutional objectives, objectives and plans and to report the results to the T</w:t>
      </w:r>
      <w:r w:rsidR="00B77C03" w:rsidRPr="008902F2">
        <w:rPr>
          <w:rFonts w:ascii="Times New Roman" w:hAnsi="Times New Roman"/>
          <w:lang w:val="en-US"/>
        </w:rPr>
        <w:t>BMM</w:t>
      </w:r>
      <w:r w:rsidRPr="008902F2">
        <w:rPr>
          <w:rFonts w:ascii="Times New Roman" w:hAnsi="Times New Roman"/>
          <w:lang w:val="en-US"/>
        </w:rPr>
        <w:t>.</w:t>
      </w:r>
    </w:p>
    <w:p w14:paraId="3A0FF5F2" w14:textId="77777777" w:rsidR="008A2C96" w:rsidRPr="008902F2" w:rsidRDefault="008A2C96" w:rsidP="00A02EDE">
      <w:pPr>
        <w:spacing w:after="0"/>
        <w:rPr>
          <w:rFonts w:ascii="Times New Roman" w:hAnsi="Times New Roman"/>
          <w:lang w:val="en-US"/>
        </w:rPr>
      </w:pPr>
    </w:p>
    <w:p w14:paraId="73FB2A9E" w14:textId="77777777" w:rsidR="008A2C96" w:rsidRPr="008902F2" w:rsidRDefault="00D0443E" w:rsidP="00A02EDE">
      <w:pPr>
        <w:spacing w:after="0"/>
        <w:rPr>
          <w:rFonts w:ascii="Times New Roman" w:hAnsi="Times New Roman"/>
          <w:lang w:val="en-US"/>
        </w:rPr>
      </w:pPr>
      <w:r w:rsidRPr="008902F2">
        <w:rPr>
          <w:rFonts w:ascii="Times New Roman" w:hAnsi="Times New Roman"/>
          <w:lang w:val="en-US"/>
        </w:rPr>
        <w:t>On the other hand, in accordance with Article 45 of the Decree Law No. 649 published in the Official Gazette dated 17.08.2011 and numbered 28028 and Article 19/A of the Law No. 3046 as amended, the Minister is authorized to supervise all kinds of activities and transactions of the Authority.</w:t>
      </w:r>
    </w:p>
    <w:p w14:paraId="5630AD66" w14:textId="77777777" w:rsidR="008A2C96" w:rsidRPr="008902F2" w:rsidRDefault="008A2C96" w:rsidP="00A02EDE">
      <w:pPr>
        <w:spacing w:after="0"/>
        <w:rPr>
          <w:rFonts w:ascii="Times New Roman" w:hAnsi="Times New Roman"/>
          <w:lang w:val="en-US"/>
        </w:rPr>
      </w:pPr>
    </w:p>
    <w:p w14:paraId="624E2739" w14:textId="77777777" w:rsidR="00B61C5D" w:rsidRPr="008902F2" w:rsidRDefault="008A2C96" w:rsidP="00A02EDE">
      <w:pPr>
        <w:spacing w:after="0"/>
        <w:rPr>
          <w:rFonts w:ascii="Times New Roman" w:hAnsi="Times New Roman"/>
          <w:lang w:val="en-US"/>
        </w:rPr>
      </w:pPr>
      <w:r w:rsidRPr="008902F2">
        <w:rPr>
          <w:rFonts w:ascii="Times New Roman" w:hAnsi="Times New Roman"/>
          <w:lang w:val="en-US"/>
        </w:rPr>
        <w:t xml:space="preserve">In addition, in case of application or request, the Authority can also be inspected by the State Supervisory Board. </w:t>
      </w:r>
    </w:p>
    <w:p w14:paraId="5BE93A62" w14:textId="623F96CA" w:rsidR="00E90A7A" w:rsidRPr="008902F2" w:rsidRDefault="00E90A7A" w:rsidP="6F691FB8">
      <w:pPr>
        <w:pStyle w:val="ListeParagraf"/>
        <w:spacing w:after="0" w:line="259" w:lineRule="auto"/>
        <w:ind w:left="708"/>
        <w:rPr>
          <w:rFonts w:ascii="Times New Roman" w:hAnsi="Times New Roman"/>
          <w:lang w:val="en-US"/>
        </w:rPr>
      </w:pPr>
    </w:p>
    <w:p w14:paraId="6F3B7AD8" w14:textId="0314BC36" w:rsidR="2768CA13" w:rsidRPr="008902F2" w:rsidRDefault="2768CA13" w:rsidP="2768CA13">
      <w:pPr>
        <w:pStyle w:val="ListeParagraf"/>
        <w:spacing w:after="0" w:line="259" w:lineRule="auto"/>
        <w:ind w:left="708"/>
        <w:rPr>
          <w:rFonts w:ascii="Times New Roman" w:hAnsi="Times New Roman"/>
          <w:lang w:val="en-US"/>
        </w:rPr>
      </w:pPr>
    </w:p>
    <w:p w14:paraId="3477217E" w14:textId="77777777" w:rsidR="002F5F5B" w:rsidRPr="008902F2" w:rsidRDefault="002F5F5B" w:rsidP="2768CA13">
      <w:pPr>
        <w:pStyle w:val="ListeParagraf"/>
        <w:spacing w:after="0" w:line="259" w:lineRule="auto"/>
        <w:ind w:left="708"/>
        <w:rPr>
          <w:rFonts w:ascii="Times New Roman" w:hAnsi="Times New Roman"/>
          <w:lang w:val="en-US"/>
        </w:rPr>
      </w:pPr>
    </w:p>
    <w:p w14:paraId="6DEEC0BE" w14:textId="77777777" w:rsidR="002F5F5B" w:rsidRPr="008902F2" w:rsidRDefault="002F5F5B" w:rsidP="2768CA13">
      <w:pPr>
        <w:pStyle w:val="ListeParagraf"/>
        <w:spacing w:after="0" w:line="259" w:lineRule="auto"/>
        <w:ind w:left="708"/>
        <w:rPr>
          <w:rFonts w:ascii="Times New Roman" w:hAnsi="Times New Roman"/>
          <w:lang w:val="en-US"/>
        </w:rPr>
      </w:pPr>
    </w:p>
    <w:p w14:paraId="7157A599" w14:textId="77777777" w:rsidR="002F5F5B" w:rsidRPr="008902F2" w:rsidRDefault="002F5F5B" w:rsidP="2768CA13">
      <w:pPr>
        <w:pStyle w:val="ListeParagraf"/>
        <w:spacing w:after="0" w:line="259" w:lineRule="auto"/>
        <w:ind w:left="708"/>
        <w:rPr>
          <w:rFonts w:ascii="Times New Roman" w:hAnsi="Times New Roman"/>
          <w:lang w:val="en-US"/>
        </w:rPr>
      </w:pPr>
    </w:p>
    <w:p w14:paraId="156D0BCB" w14:textId="77777777" w:rsidR="002F5F5B" w:rsidRPr="008902F2" w:rsidRDefault="002F5F5B" w:rsidP="2768CA13">
      <w:pPr>
        <w:pStyle w:val="ListeParagraf"/>
        <w:spacing w:after="0" w:line="259" w:lineRule="auto"/>
        <w:ind w:left="708"/>
        <w:rPr>
          <w:rFonts w:ascii="Times New Roman" w:hAnsi="Times New Roman"/>
          <w:lang w:val="en-US"/>
        </w:rPr>
      </w:pPr>
    </w:p>
    <w:p w14:paraId="6A4F9448" w14:textId="77777777" w:rsidR="002F5F5B" w:rsidRPr="008902F2" w:rsidRDefault="002F5F5B" w:rsidP="2768CA13">
      <w:pPr>
        <w:pStyle w:val="ListeParagraf"/>
        <w:spacing w:after="0" w:line="259" w:lineRule="auto"/>
        <w:ind w:left="708"/>
        <w:rPr>
          <w:rFonts w:ascii="Times New Roman" w:hAnsi="Times New Roman"/>
          <w:lang w:val="en-US"/>
        </w:rPr>
      </w:pPr>
    </w:p>
    <w:p w14:paraId="1B5580D1" w14:textId="77777777" w:rsidR="002F5F5B" w:rsidRPr="008902F2" w:rsidRDefault="002F5F5B" w:rsidP="2768CA13">
      <w:pPr>
        <w:pStyle w:val="ListeParagraf"/>
        <w:spacing w:after="0" w:line="259" w:lineRule="auto"/>
        <w:ind w:left="708"/>
        <w:rPr>
          <w:rFonts w:ascii="Times New Roman" w:hAnsi="Times New Roman"/>
          <w:lang w:val="en-US"/>
        </w:rPr>
      </w:pPr>
    </w:p>
    <w:p w14:paraId="1C144894" w14:textId="77777777" w:rsidR="002F5F5B" w:rsidRPr="008902F2" w:rsidRDefault="002F5F5B" w:rsidP="2768CA13">
      <w:pPr>
        <w:pStyle w:val="ListeParagraf"/>
        <w:spacing w:after="0" w:line="259" w:lineRule="auto"/>
        <w:ind w:left="708"/>
        <w:rPr>
          <w:rFonts w:ascii="Times New Roman" w:hAnsi="Times New Roman"/>
          <w:lang w:val="en-US"/>
        </w:rPr>
      </w:pPr>
    </w:p>
    <w:p w14:paraId="6424DFB3" w14:textId="77777777" w:rsidR="002F5F5B" w:rsidRPr="008902F2" w:rsidRDefault="002F5F5B" w:rsidP="2768CA13">
      <w:pPr>
        <w:pStyle w:val="ListeParagraf"/>
        <w:spacing w:after="0" w:line="259" w:lineRule="auto"/>
        <w:ind w:left="708"/>
        <w:rPr>
          <w:rFonts w:ascii="Times New Roman" w:hAnsi="Times New Roman"/>
          <w:lang w:val="en-US"/>
        </w:rPr>
      </w:pPr>
    </w:p>
    <w:p w14:paraId="17A9FE55" w14:textId="77777777" w:rsidR="002F5F5B" w:rsidRPr="008902F2" w:rsidRDefault="002F5F5B" w:rsidP="2768CA13">
      <w:pPr>
        <w:pStyle w:val="ListeParagraf"/>
        <w:spacing w:after="0" w:line="259" w:lineRule="auto"/>
        <w:ind w:left="708"/>
        <w:rPr>
          <w:rFonts w:ascii="Times New Roman" w:hAnsi="Times New Roman"/>
          <w:lang w:val="en-US"/>
        </w:rPr>
      </w:pPr>
    </w:p>
    <w:p w14:paraId="50279C0B" w14:textId="77777777" w:rsidR="002F5F5B" w:rsidRPr="008902F2" w:rsidRDefault="002F5F5B" w:rsidP="2768CA13">
      <w:pPr>
        <w:pStyle w:val="ListeParagraf"/>
        <w:spacing w:after="0" w:line="259" w:lineRule="auto"/>
        <w:ind w:left="708"/>
        <w:rPr>
          <w:rFonts w:ascii="Times New Roman" w:hAnsi="Times New Roman"/>
          <w:lang w:val="en-US"/>
        </w:rPr>
      </w:pPr>
    </w:p>
    <w:p w14:paraId="25FE1486" w14:textId="77777777" w:rsidR="002F5F5B" w:rsidRPr="008902F2" w:rsidRDefault="002F5F5B" w:rsidP="2768CA13">
      <w:pPr>
        <w:pStyle w:val="ListeParagraf"/>
        <w:spacing w:after="0" w:line="259" w:lineRule="auto"/>
        <w:ind w:left="708"/>
        <w:rPr>
          <w:rFonts w:ascii="Times New Roman" w:hAnsi="Times New Roman"/>
          <w:lang w:val="en-US"/>
        </w:rPr>
      </w:pPr>
    </w:p>
    <w:p w14:paraId="29156A65" w14:textId="77777777" w:rsidR="002F5F5B" w:rsidRPr="008902F2" w:rsidRDefault="002F5F5B" w:rsidP="2768CA13">
      <w:pPr>
        <w:pStyle w:val="ListeParagraf"/>
        <w:spacing w:after="0" w:line="259" w:lineRule="auto"/>
        <w:ind w:left="708"/>
        <w:rPr>
          <w:rFonts w:ascii="Times New Roman" w:hAnsi="Times New Roman"/>
          <w:lang w:val="en-US"/>
        </w:rPr>
      </w:pPr>
    </w:p>
    <w:p w14:paraId="3FCF1B38" w14:textId="77777777" w:rsidR="002F5F5B" w:rsidRPr="008902F2" w:rsidRDefault="002F5F5B" w:rsidP="2768CA13">
      <w:pPr>
        <w:pStyle w:val="ListeParagraf"/>
        <w:spacing w:after="0" w:line="259" w:lineRule="auto"/>
        <w:ind w:left="708"/>
        <w:rPr>
          <w:rFonts w:ascii="Times New Roman" w:hAnsi="Times New Roman"/>
          <w:lang w:val="en-US"/>
        </w:rPr>
      </w:pPr>
    </w:p>
    <w:p w14:paraId="408A3EBA" w14:textId="77777777" w:rsidR="002F5F5B" w:rsidRPr="008902F2" w:rsidRDefault="002F5F5B" w:rsidP="2768CA13">
      <w:pPr>
        <w:pStyle w:val="ListeParagraf"/>
        <w:spacing w:after="0" w:line="259" w:lineRule="auto"/>
        <w:ind w:left="708"/>
        <w:rPr>
          <w:rFonts w:ascii="Times New Roman" w:hAnsi="Times New Roman"/>
          <w:lang w:val="en-US"/>
        </w:rPr>
      </w:pPr>
    </w:p>
    <w:p w14:paraId="01EAF99D" w14:textId="77777777" w:rsidR="002F5F5B" w:rsidRPr="008902F2" w:rsidRDefault="002F5F5B" w:rsidP="2768CA13">
      <w:pPr>
        <w:pStyle w:val="ListeParagraf"/>
        <w:spacing w:after="0" w:line="259" w:lineRule="auto"/>
        <w:ind w:left="708"/>
        <w:rPr>
          <w:rFonts w:ascii="Times New Roman" w:hAnsi="Times New Roman"/>
          <w:lang w:val="en-US"/>
        </w:rPr>
      </w:pPr>
    </w:p>
    <w:p w14:paraId="1BE732DE" w14:textId="77777777" w:rsidR="002F5F5B" w:rsidRPr="008902F2" w:rsidRDefault="002F5F5B" w:rsidP="2768CA13">
      <w:pPr>
        <w:pStyle w:val="ListeParagraf"/>
        <w:spacing w:after="0" w:line="259" w:lineRule="auto"/>
        <w:ind w:left="708"/>
        <w:rPr>
          <w:rFonts w:ascii="Times New Roman" w:hAnsi="Times New Roman"/>
          <w:lang w:val="en-US"/>
        </w:rPr>
      </w:pPr>
    </w:p>
    <w:p w14:paraId="36BF77DF" w14:textId="77777777" w:rsidR="002F5F5B" w:rsidRPr="008902F2" w:rsidRDefault="002F5F5B" w:rsidP="2768CA13">
      <w:pPr>
        <w:pStyle w:val="ListeParagraf"/>
        <w:spacing w:after="0" w:line="259" w:lineRule="auto"/>
        <w:ind w:left="708"/>
        <w:rPr>
          <w:rFonts w:ascii="Times New Roman" w:hAnsi="Times New Roman"/>
          <w:lang w:val="en-US"/>
        </w:rPr>
      </w:pPr>
    </w:p>
    <w:p w14:paraId="789A077F" w14:textId="77777777" w:rsidR="002F5F5B" w:rsidRPr="008902F2" w:rsidRDefault="002F5F5B" w:rsidP="2768CA13">
      <w:pPr>
        <w:pStyle w:val="ListeParagraf"/>
        <w:spacing w:after="0" w:line="259" w:lineRule="auto"/>
        <w:ind w:left="708"/>
        <w:rPr>
          <w:rFonts w:ascii="Times New Roman" w:hAnsi="Times New Roman"/>
          <w:lang w:val="en-US"/>
        </w:rPr>
      </w:pPr>
    </w:p>
    <w:p w14:paraId="54278F0B" w14:textId="77777777" w:rsidR="002F5F5B" w:rsidRPr="008902F2" w:rsidRDefault="002F5F5B" w:rsidP="2768CA13">
      <w:pPr>
        <w:pStyle w:val="ListeParagraf"/>
        <w:spacing w:after="0" w:line="259" w:lineRule="auto"/>
        <w:ind w:left="708"/>
        <w:rPr>
          <w:rFonts w:ascii="Times New Roman" w:hAnsi="Times New Roman"/>
          <w:lang w:val="en-US"/>
        </w:rPr>
      </w:pPr>
    </w:p>
    <w:p w14:paraId="114BD221" w14:textId="77777777" w:rsidR="002F5F5B" w:rsidRPr="008902F2" w:rsidRDefault="002F5F5B" w:rsidP="2768CA13">
      <w:pPr>
        <w:pStyle w:val="ListeParagraf"/>
        <w:spacing w:after="0" w:line="259" w:lineRule="auto"/>
        <w:ind w:left="708"/>
        <w:rPr>
          <w:rFonts w:ascii="Times New Roman" w:hAnsi="Times New Roman"/>
          <w:lang w:val="en-US"/>
        </w:rPr>
      </w:pPr>
    </w:p>
    <w:p w14:paraId="4D71C490" w14:textId="77777777" w:rsidR="002F5F5B" w:rsidRPr="008902F2" w:rsidRDefault="002F5F5B" w:rsidP="2768CA13">
      <w:pPr>
        <w:pStyle w:val="ListeParagraf"/>
        <w:spacing w:after="0" w:line="259" w:lineRule="auto"/>
        <w:ind w:left="708"/>
        <w:rPr>
          <w:rFonts w:ascii="Times New Roman" w:hAnsi="Times New Roman"/>
          <w:lang w:val="en-US"/>
        </w:rPr>
      </w:pPr>
    </w:p>
    <w:p w14:paraId="1C739262" w14:textId="77777777" w:rsidR="002F5F5B" w:rsidRPr="008902F2" w:rsidRDefault="002F5F5B" w:rsidP="2768CA13">
      <w:pPr>
        <w:pStyle w:val="ListeParagraf"/>
        <w:spacing w:after="0" w:line="259" w:lineRule="auto"/>
        <w:ind w:left="708"/>
        <w:rPr>
          <w:rFonts w:ascii="Times New Roman" w:hAnsi="Times New Roman"/>
          <w:lang w:val="en-US"/>
        </w:rPr>
      </w:pPr>
    </w:p>
    <w:p w14:paraId="1F0829BD" w14:textId="77777777" w:rsidR="002F5F5B" w:rsidRPr="008902F2" w:rsidRDefault="002F5F5B" w:rsidP="2768CA13">
      <w:pPr>
        <w:pStyle w:val="ListeParagraf"/>
        <w:spacing w:after="0" w:line="259" w:lineRule="auto"/>
        <w:ind w:left="708"/>
        <w:rPr>
          <w:rFonts w:ascii="Times New Roman" w:hAnsi="Times New Roman"/>
        </w:rPr>
      </w:pPr>
    </w:p>
    <w:p w14:paraId="0BEBFF7C" w14:textId="77777777" w:rsidR="002F5F5B" w:rsidRPr="008902F2" w:rsidRDefault="002F5F5B" w:rsidP="2768CA13">
      <w:pPr>
        <w:pStyle w:val="ListeParagraf"/>
        <w:spacing w:after="0" w:line="259" w:lineRule="auto"/>
        <w:ind w:left="708"/>
        <w:rPr>
          <w:rFonts w:ascii="Times New Roman" w:hAnsi="Times New Roman"/>
        </w:rPr>
      </w:pPr>
    </w:p>
    <w:p w14:paraId="7171B439" w14:textId="77777777" w:rsidR="002F5F5B" w:rsidRPr="008902F2" w:rsidRDefault="002F5F5B" w:rsidP="2768CA13">
      <w:pPr>
        <w:pStyle w:val="ListeParagraf"/>
        <w:spacing w:after="0" w:line="259" w:lineRule="auto"/>
        <w:ind w:left="708"/>
        <w:rPr>
          <w:rFonts w:ascii="Times New Roman" w:hAnsi="Times New Roman"/>
        </w:rPr>
      </w:pPr>
    </w:p>
    <w:p w14:paraId="70E35DD8" w14:textId="77777777" w:rsidR="002F5F5B" w:rsidRPr="008902F2" w:rsidRDefault="002F5F5B" w:rsidP="2768CA13">
      <w:pPr>
        <w:pStyle w:val="ListeParagraf"/>
        <w:spacing w:after="0" w:line="259" w:lineRule="auto"/>
        <w:ind w:left="708"/>
        <w:rPr>
          <w:rFonts w:ascii="Times New Roman" w:hAnsi="Times New Roman"/>
        </w:rPr>
      </w:pPr>
    </w:p>
    <w:p w14:paraId="13871411" w14:textId="77777777" w:rsidR="002F5F5B" w:rsidRPr="008902F2" w:rsidRDefault="002F5F5B" w:rsidP="2768CA13">
      <w:pPr>
        <w:pStyle w:val="ListeParagraf"/>
        <w:spacing w:after="0" w:line="259" w:lineRule="auto"/>
        <w:ind w:left="708"/>
        <w:rPr>
          <w:rFonts w:ascii="Times New Roman" w:hAnsi="Times New Roman"/>
        </w:rPr>
      </w:pPr>
    </w:p>
    <w:p w14:paraId="1E84509B" w14:textId="093760B6" w:rsidR="2768CA13" w:rsidRDefault="2768CA13" w:rsidP="2768CA13">
      <w:pPr>
        <w:spacing w:after="0"/>
        <w:rPr>
          <w:rFonts w:ascii="Times New Roman" w:hAnsi="Times New Roman"/>
          <w:color w:val="000000" w:themeColor="text1"/>
        </w:rPr>
      </w:pPr>
    </w:p>
    <w:p w14:paraId="2C85E79B" w14:textId="544CC76C" w:rsidR="004C0A79" w:rsidRDefault="004C0A79" w:rsidP="2768CA13">
      <w:pPr>
        <w:spacing w:after="0"/>
        <w:rPr>
          <w:rFonts w:ascii="Times New Roman" w:hAnsi="Times New Roman"/>
          <w:color w:val="000000" w:themeColor="text1"/>
        </w:rPr>
      </w:pPr>
    </w:p>
    <w:p w14:paraId="208B4D5F" w14:textId="71AE7F51" w:rsidR="004C0A79" w:rsidRDefault="004C0A79" w:rsidP="2768CA13">
      <w:pPr>
        <w:spacing w:after="0"/>
        <w:rPr>
          <w:rFonts w:ascii="Times New Roman" w:hAnsi="Times New Roman"/>
          <w:color w:val="000000" w:themeColor="text1"/>
        </w:rPr>
      </w:pPr>
    </w:p>
    <w:p w14:paraId="4E572C1A" w14:textId="77777777" w:rsidR="004C0A79" w:rsidRPr="008902F2" w:rsidRDefault="004C0A79" w:rsidP="2768CA13">
      <w:pPr>
        <w:spacing w:after="0"/>
        <w:rPr>
          <w:rFonts w:ascii="Times New Roman" w:hAnsi="Times New Roman"/>
          <w:color w:val="000000" w:themeColor="text1"/>
        </w:rPr>
      </w:pPr>
    </w:p>
    <w:p w14:paraId="77ADDA34" w14:textId="77777777" w:rsidR="004C0A79" w:rsidRPr="00731F8E" w:rsidRDefault="004C0A79" w:rsidP="004C0A79">
      <w:pPr>
        <w:pStyle w:val="P68B1DB1-Normal1"/>
        <w:spacing w:before="37"/>
        <w:ind w:left="135"/>
        <w:rPr>
          <w:rFonts w:ascii="Times New Roman" w:hAnsi="Times New Roman" w:cs="Times New Roman"/>
          <w:szCs w:val="22"/>
        </w:rPr>
      </w:pPr>
      <w:bookmarkStart w:id="29" w:name="51TİKİNCİ_BÖLÜM"/>
      <w:bookmarkEnd w:id="29"/>
      <w:r w:rsidRPr="00731F8E">
        <w:rPr>
          <w:rFonts w:ascii="Times New Roman" w:hAnsi="Times New Roman" w:cs="Times New Roman"/>
          <w:szCs w:val="22"/>
        </w:rPr>
        <w:t>PART TWO</w:t>
      </w:r>
    </w:p>
    <w:p w14:paraId="6398F287" w14:textId="77777777" w:rsidR="004C0A79" w:rsidRPr="00731F8E" w:rsidRDefault="004C0A79" w:rsidP="004C0A79">
      <w:pPr>
        <w:pStyle w:val="P68B1DB1-Normal1"/>
        <w:spacing w:before="2"/>
        <w:ind w:left="135"/>
        <w:rPr>
          <w:rFonts w:ascii="Times New Roman" w:hAnsi="Times New Roman" w:cs="Times New Roman"/>
          <w:szCs w:val="22"/>
        </w:rPr>
      </w:pPr>
      <w:r w:rsidRPr="00731F8E">
        <w:rPr>
          <w:rFonts w:ascii="Times New Roman" w:hAnsi="Times New Roman" w:cs="Times New Roman"/>
          <w:szCs w:val="22"/>
        </w:rPr>
        <w:t>INFORMATION ON ACTIVITIES</w:t>
      </w:r>
    </w:p>
    <w:p w14:paraId="7D9D05C6" w14:textId="77777777" w:rsidR="004C0A79" w:rsidRPr="00731F8E" w:rsidRDefault="004C0A79" w:rsidP="004C0A79">
      <w:pPr>
        <w:pStyle w:val="GvdeMetni"/>
        <w:spacing w:before="7"/>
        <w:rPr>
          <w:rFonts w:cs="Times New Roman"/>
          <w:b/>
          <w:i/>
          <w:szCs w:val="22"/>
        </w:rPr>
      </w:pPr>
      <w:r w:rsidRPr="00731F8E">
        <w:rPr>
          <w:rFonts w:cs="Times New Roman"/>
          <w:noProof/>
          <w:szCs w:val="22"/>
        </w:rPr>
        <mc:AlternateContent>
          <mc:Choice Requires="wps">
            <w:drawing>
              <wp:anchor distT="0" distB="0" distL="0" distR="0" simplePos="0" relativeHeight="251661312" behindDoc="1" locked="0" layoutInCell="1" allowOverlap="1" wp14:anchorId="4A74BF6A" wp14:editId="7BE02916">
                <wp:simplePos x="0" y="0"/>
                <wp:positionH relativeFrom="page">
                  <wp:posOffset>880872</wp:posOffset>
                </wp:positionH>
                <wp:positionV relativeFrom="paragraph">
                  <wp:posOffset>51238</wp:posOffset>
                </wp:positionV>
                <wp:extent cx="5797550" cy="12700"/>
                <wp:effectExtent l="0" t="0" r="0" b="0"/>
                <wp:wrapTopAndBottom/>
                <wp:docPr id="7"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0"/>
                        </a:xfrm>
                        <a:custGeom>
                          <a:avLst/>
                          <a:gdLst/>
                          <a:ahLst/>
                          <a:cxnLst/>
                          <a:rect l="l" t="t" r="r" b="b"/>
                          <a:pathLst>
                            <a:path w="5797550" h="12700">
                              <a:moveTo>
                                <a:pt x="5797296" y="0"/>
                              </a:moveTo>
                              <a:lnTo>
                                <a:pt x="0" y="0"/>
                              </a:lnTo>
                              <a:lnTo>
                                <a:pt x="0" y="12192"/>
                              </a:lnTo>
                              <a:lnTo>
                                <a:pt x="5797296" y="12192"/>
                              </a:lnTo>
                              <a:lnTo>
                                <a:pt x="5797296" y="0"/>
                              </a:lnTo>
                              <a:close/>
                            </a:path>
                          </a:pathLst>
                        </a:custGeom>
                        <a:solidFill>
                          <a:srgbClr val="5B9BD5"/>
                        </a:solidFill>
                      </wps:spPr>
                      <wps:bodyPr wrap="square" lIns="0" tIns="0" rIns="0" bIns="0" rtlCol="0">
                        <a:prstTxWarp prst="textNoShape">
                          <a:avLst/>
                        </a:prstTxWarp>
                        <a:noAutofit/>
                      </wps:bodyPr>
                    </wps:wsp>
                  </a:graphicData>
                </a:graphic>
              </wp:anchor>
            </w:drawing>
          </mc:Choice>
          <mc:Fallback>
            <w:pict>
              <v:shape w14:anchorId="426808E5" id="Graphic 1" o:spid="_x0000_s1026" style="position:absolute;margin-left:69.35pt;margin-top:4.05pt;width:45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75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" path="m5797296,l,,,12192r5797296,l5797296,xe" fillcolor="#5b9bd5" stroked="f">
                <v:path arrowok="t"/>
                <w10:wrap type="topAndBottom" anchorx="page"/>
              </v:shape>
            </w:pict>
          </mc:Fallback>
        </mc:AlternateContent>
      </w:r>
    </w:p>
    <w:p w14:paraId="0BF369E1" w14:textId="77777777" w:rsidR="004C0A79" w:rsidRPr="00731F8E" w:rsidRDefault="004C0A79" w:rsidP="004C0A79">
      <w:pPr>
        <w:pStyle w:val="GvdeMetni"/>
        <w:spacing w:before="210"/>
        <w:rPr>
          <w:rFonts w:cs="Times New Roman"/>
          <w:b/>
          <w:i/>
          <w:szCs w:val="22"/>
        </w:rPr>
      </w:pPr>
    </w:p>
    <w:p w14:paraId="1431946A" w14:textId="77777777" w:rsidR="004C0A79" w:rsidRPr="00731F8E" w:rsidRDefault="004C0A79" w:rsidP="004C0A79">
      <w:pPr>
        <w:pStyle w:val="P68B1DB1-ListParagraph2"/>
        <w:tabs>
          <w:tab w:val="left" w:pos="493"/>
        </w:tabs>
        <w:ind w:left="0" w:firstLine="0"/>
        <w:rPr>
          <w:rFonts w:ascii="Times New Roman" w:hAnsi="Times New Roman" w:cs="Times New Roman"/>
          <w:szCs w:val="22"/>
        </w:rPr>
      </w:pPr>
      <w:bookmarkStart w:id="30" w:name="1._MEVZUAT_GELİŞTİRİLMESİ_FAALİYETLERİ"/>
      <w:bookmarkEnd w:id="30"/>
      <w:r w:rsidRPr="00731F8E">
        <w:rPr>
          <w:rFonts w:ascii="Times New Roman" w:hAnsi="Times New Roman" w:cs="Times New Roman"/>
          <w:szCs w:val="22"/>
        </w:rPr>
        <w:t>2. LEGISLATIVE ACTIVITIES</w:t>
      </w:r>
    </w:p>
    <w:p w14:paraId="4D175869" w14:textId="77777777" w:rsidR="004C0A79" w:rsidRPr="00731F8E" w:rsidRDefault="004C0A79" w:rsidP="004C0A79">
      <w:pPr>
        <w:spacing w:before="41" w:line="273" w:lineRule="auto"/>
        <w:ind w:left="136" w:hanging="1"/>
        <w:rPr>
          <w:rFonts w:ascii="Times New Roman" w:hAnsi="Times New Roman"/>
        </w:rPr>
      </w:pPr>
      <w:r w:rsidRPr="00731F8E">
        <w:rPr>
          <w:rFonts w:ascii="Times New Roman" w:hAnsi="Times New Roman"/>
        </w:rPr>
        <w:t xml:space="preserve">This section covers the activities carried out within the scope of legislative development of Electricity, Natural Gas, Oil and LPG markets in 2022. </w:t>
      </w:r>
    </w:p>
    <w:p w14:paraId="13A78CF0" w14:textId="77777777" w:rsidR="004C0A79" w:rsidRPr="00731F8E" w:rsidRDefault="004C0A79" w:rsidP="004C0A79">
      <w:pPr>
        <w:pStyle w:val="GvdeMetni"/>
        <w:spacing w:before="46"/>
        <w:rPr>
          <w:rFonts w:cs="Times New Roman"/>
          <w:i/>
          <w:szCs w:val="22"/>
        </w:rPr>
      </w:pPr>
    </w:p>
    <w:p w14:paraId="1DD69008" w14:textId="77777777" w:rsidR="004C0A79" w:rsidRPr="00731F8E" w:rsidRDefault="004C0A79" w:rsidP="004C0A79">
      <w:pPr>
        <w:pStyle w:val="Balk1"/>
        <w:tabs>
          <w:tab w:val="left" w:pos="492"/>
        </w:tabs>
        <w:spacing w:before="0"/>
        <w:ind w:left="136"/>
        <w:rPr>
          <w:rFonts w:ascii="Times New Roman" w:hAnsi="Times New Roman" w:cs="Times New Roman"/>
          <w:szCs w:val="22"/>
        </w:rPr>
      </w:pPr>
      <w:bookmarkStart w:id="31" w:name="1.1._Elektrik_Piyasası_Mevzuatı"/>
      <w:bookmarkEnd w:id="31"/>
      <w:r>
        <w:rPr>
          <w:rFonts w:ascii="Times New Roman" w:hAnsi="Times New Roman" w:cs="Times New Roman"/>
          <w:szCs w:val="22"/>
        </w:rPr>
        <w:t xml:space="preserve">2.1. </w:t>
      </w:r>
      <w:r w:rsidRPr="00731F8E">
        <w:rPr>
          <w:rFonts w:ascii="Times New Roman" w:hAnsi="Times New Roman" w:cs="Times New Roman"/>
          <w:szCs w:val="22"/>
        </w:rPr>
        <w:t>Electricity Market Legislation</w:t>
      </w:r>
    </w:p>
    <w:p w14:paraId="4B604943" w14:textId="77777777" w:rsidR="004C0A79" w:rsidRPr="00731F8E" w:rsidRDefault="004C0A79" w:rsidP="004C0A79">
      <w:pPr>
        <w:pStyle w:val="GvdeMetni"/>
        <w:spacing w:before="10"/>
        <w:rPr>
          <w:rFonts w:cs="Times New Roman"/>
          <w:b/>
          <w:i/>
          <w:szCs w:val="22"/>
        </w:rPr>
      </w:pPr>
    </w:p>
    <w:p w14:paraId="47E77EAF" w14:textId="77777777" w:rsidR="004C0A79" w:rsidRPr="00731F8E" w:rsidRDefault="004C0A79" w:rsidP="004C0A79">
      <w:pPr>
        <w:pStyle w:val="P68B1DB1-ListParagraph2"/>
        <w:tabs>
          <w:tab w:val="left" w:pos="856"/>
        </w:tabs>
        <w:ind w:left="135" w:firstLine="0"/>
        <w:rPr>
          <w:rFonts w:ascii="Times New Roman" w:hAnsi="Times New Roman" w:cs="Times New Roman"/>
          <w:szCs w:val="22"/>
        </w:rPr>
      </w:pPr>
      <w:bookmarkStart w:id="32" w:name="1.1.1._Kanun"/>
      <w:bookmarkEnd w:id="32"/>
      <w:r>
        <w:rPr>
          <w:rFonts w:ascii="Times New Roman" w:hAnsi="Times New Roman" w:cs="Times New Roman"/>
          <w:szCs w:val="22"/>
        </w:rPr>
        <w:t xml:space="preserve">2.1.1. </w:t>
      </w:r>
      <w:r w:rsidRPr="00731F8E">
        <w:rPr>
          <w:rFonts w:ascii="Times New Roman" w:hAnsi="Times New Roman" w:cs="Times New Roman"/>
          <w:szCs w:val="22"/>
        </w:rPr>
        <w:t>Law</w:t>
      </w:r>
    </w:p>
    <w:p w14:paraId="16F3D645" w14:textId="77777777" w:rsidR="004C0A79" w:rsidRPr="00731F8E" w:rsidRDefault="004C0A79" w:rsidP="004C0A79">
      <w:pPr>
        <w:pStyle w:val="GvdeMetni"/>
        <w:spacing w:before="12"/>
        <w:rPr>
          <w:rFonts w:cs="Times New Roman"/>
          <w:b/>
          <w:i/>
          <w:szCs w:val="22"/>
        </w:rPr>
      </w:pPr>
    </w:p>
    <w:p w14:paraId="236FCE9D" w14:textId="77777777" w:rsidR="004C0A79" w:rsidRPr="00731F8E" w:rsidRDefault="004C0A79" w:rsidP="004C0A79">
      <w:pPr>
        <w:pStyle w:val="Balk2"/>
        <w:ind w:left="136"/>
        <w:rPr>
          <w:rFonts w:ascii="Times New Roman" w:hAnsi="Times New Roman" w:cs="Times New Roman"/>
          <w:szCs w:val="22"/>
        </w:rPr>
      </w:pPr>
      <w:r w:rsidRPr="00731F8E">
        <w:rPr>
          <w:rFonts w:ascii="Times New Roman" w:hAnsi="Times New Roman" w:cs="Times New Roman"/>
          <w:szCs w:val="22"/>
        </w:rPr>
        <w:t xml:space="preserve">In 2022, the following Law studies were carried out in the electricity market; </w:t>
      </w:r>
    </w:p>
    <w:p w14:paraId="135623B2" w14:textId="77777777" w:rsidR="004C0A79" w:rsidRPr="00731F8E" w:rsidRDefault="004C0A79" w:rsidP="004C0A79">
      <w:pPr>
        <w:pStyle w:val="GvdeMetni"/>
        <w:spacing w:before="13"/>
        <w:rPr>
          <w:rFonts w:cs="Times New Roman"/>
          <w:i/>
          <w:szCs w:val="22"/>
        </w:rPr>
      </w:pPr>
    </w:p>
    <w:p w14:paraId="6AA42227" w14:textId="77777777" w:rsidR="004C0A79" w:rsidRPr="00731F8E" w:rsidRDefault="004C0A79" w:rsidP="00A86526">
      <w:pPr>
        <w:pStyle w:val="GvdeMetni"/>
        <w:numPr>
          <w:ilvl w:val="0"/>
          <w:numId w:val="43"/>
        </w:numPr>
        <w:autoSpaceDE w:val="0"/>
        <w:autoSpaceDN w:val="0"/>
        <w:spacing w:before="48"/>
        <w:jc w:val="left"/>
        <w:rPr>
          <w:rFonts w:cs="Times New Roman"/>
          <w:i/>
          <w:szCs w:val="22"/>
        </w:rPr>
      </w:pPr>
      <w:r w:rsidRPr="00731F8E">
        <w:rPr>
          <w:rFonts w:cs="Times New Roman"/>
          <w:i/>
          <w:szCs w:val="22"/>
        </w:rPr>
        <w:t>The following sentence has been added to the second paragraph of article 6/C after the first sentence</w:t>
      </w:r>
      <w:r>
        <w:rPr>
          <w:rFonts w:cs="Times New Roman"/>
          <w:i/>
          <w:szCs w:val="22"/>
        </w:rPr>
        <w:t xml:space="preserve"> </w:t>
      </w:r>
      <w:r w:rsidRPr="00731F8E">
        <w:rPr>
          <w:rFonts w:cs="Times New Roman"/>
          <w:i/>
          <w:szCs w:val="22"/>
        </w:rPr>
        <w:t xml:space="preserve">of the Law No. 7350 Amending Some Laws published in the Official Gazette dated 11.01.2022 and numbered 31716 and </w:t>
      </w:r>
      <w:r w:rsidRPr="00731F8E">
        <w:rPr>
          <w:rFonts w:cs="Times New Roman"/>
          <w:b/>
          <w:i/>
          <w:szCs w:val="22"/>
        </w:rPr>
        <w:t>the Law No. 5346 on the Use of Renewable Energy Resources for the Purpose of Electricity Generation</w:t>
      </w:r>
      <w:r w:rsidRPr="00731F8E">
        <w:rPr>
          <w:rFonts w:cs="Times New Roman"/>
          <w:i/>
          <w:szCs w:val="22"/>
        </w:rPr>
        <w:t>;</w:t>
      </w:r>
    </w:p>
    <w:p w14:paraId="35BF1EBD" w14:textId="77777777" w:rsidR="004C0A79" w:rsidRPr="00731F8E" w:rsidRDefault="004C0A79" w:rsidP="00A86526">
      <w:pPr>
        <w:pStyle w:val="GvdeMetni"/>
        <w:numPr>
          <w:ilvl w:val="0"/>
          <w:numId w:val="44"/>
        </w:numPr>
        <w:autoSpaceDE w:val="0"/>
        <w:autoSpaceDN w:val="0"/>
        <w:spacing w:before="48"/>
        <w:jc w:val="left"/>
        <w:rPr>
          <w:rFonts w:cs="Times New Roman"/>
          <w:i/>
          <w:szCs w:val="22"/>
        </w:rPr>
      </w:pPr>
      <w:r w:rsidRPr="00731F8E">
        <w:rPr>
          <w:rFonts w:cs="Times New Roman"/>
          <w:i/>
          <w:szCs w:val="22"/>
        </w:rPr>
        <w:t>“However, the said capacity increases, which are put into operation after 30/6/2021, benefit from the domestic contribution price within the scope of article 6/B from the date of entry into operation.”</w:t>
      </w:r>
    </w:p>
    <w:p w14:paraId="000B1A12" w14:textId="77777777" w:rsidR="004C0A79" w:rsidRPr="00731F8E" w:rsidRDefault="004C0A79" w:rsidP="004C0A79">
      <w:pPr>
        <w:pStyle w:val="GvdeMetni"/>
        <w:spacing w:line="276" w:lineRule="auto"/>
        <w:ind w:left="1576" w:right="131"/>
        <w:rPr>
          <w:rFonts w:cs="Times New Roman"/>
          <w:szCs w:val="22"/>
        </w:rPr>
      </w:pPr>
      <w:r w:rsidRPr="00731F8E">
        <w:rPr>
          <w:rFonts w:cs="Times New Roman"/>
          <w:szCs w:val="22"/>
        </w:rPr>
        <w:t>"PROVISIONAL ARTICLE 31 - (1) The institutions and organizations listed in clause (i) of the second paragraph of Article 3 amended by the Law on the Amendment of Certain Articles, Abolition of Two Articles, Addition of Certain Articles, Clauses and Paragraphs of the Turkish Electricity Institution Law No. 1312 dated 9/9/1982 and numbered 2705 of the Abolished Turkish Electricity Institution Law No. 1312 dated 15/7/1970 and those registered in the title deed on behalf of Etibank, Turkish Electricity Institution, Turkey Electricity Generation Transmission Inc. and electricity distribution companies and those related to electricity distribution activities from ownership and non-property rights shall be registered ex officio on behalf of TEDAŞ General Directorate upon the application of TEDAŞ General Directorate, and those related to electricity transmission activities shall be registered ex officio on behalf of TEİAŞ General Directorate free of charge upon the application of TEİAŞ General Directorate.</w:t>
      </w:r>
    </w:p>
    <w:p w14:paraId="44F3DD1C" w14:textId="77777777" w:rsidR="004C0A79" w:rsidRPr="00731F8E" w:rsidRDefault="004C0A79" w:rsidP="004C0A79">
      <w:pPr>
        <w:pStyle w:val="GvdeMetni"/>
        <w:spacing w:before="39"/>
        <w:rPr>
          <w:rFonts w:cs="Times New Roman"/>
          <w:szCs w:val="22"/>
        </w:rPr>
      </w:pPr>
    </w:p>
    <w:p w14:paraId="5A765A55" w14:textId="77777777" w:rsidR="004C0A79" w:rsidRPr="00731F8E" w:rsidRDefault="004C0A79" w:rsidP="004C0A79">
      <w:pPr>
        <w:pStyle w:val="GvdeMetni"/>
        <w:spacing w:line="273" w:lineRule="auto"/>
        <w:ind w:left="1576" w:right="60"/>
        <w:rPr>
          <w:rFonts w:cs="Times New Roman"/>
          <w:szCs w:val="22"/>
        </w:rPr>
      </w:pPr>
      <w:r w:rsidRPr="00731F8E">
        <w:rPr>
          <w:rFonts w:cs="Times New Roman"/>
          <w:szCs w:val="22"/>
        </w:rPr>
        <w:t>(2) Transfer and correction transactions related to the registration procedures to be made within the scope of this article are exempt from all kinds of fees and working capital service fees."</w:t>
      </w:r>
    </w:p>
    <w:p w14:paraId="09744A38" w14:textId="77777777" w:rsidR="004C0A79" w:rsidRPr="00731F8E" w:rsidRDefault="004C0A79" w:rsidP="004C0A79">
      <w:pPr>
        <w:pStyle w:val="GvdeMetni"/>
        <w:spacing w:before="46"/>
        <w:rPr>
          <w:rFonts w:cs="Times New Roman"/>
          <w:szCs w:val="22"/>
        </w:rPr>
      </w:pPr>
    </w:p>
    <w:p w14:paraId="4D5009EE" w14:textId="77777777" w:rsidR="004C0A79" w:rsidRPr="00731F8E" w:rsidRDefault="004C0A79" w:rsidP="00A86526">
      <w:pPr>
        <w:pStyle w:val="GvdeMetni"/>
        <w:numPr>
          <w:ilvl w:val="0"/>
          <w:numId w:val="43"/>
        </w:numPr>
        <w:autoSpaceDE w:val="0"/>
        <w:autoSpaceDN w:val="0"/>
        <w:spacing w:before="200"/>
        <w:jc w:val="left"/>
        <w:rPr>
          <w:rFonts w:cs="Times New Roman"/>
          <w:i/>
          <w:szCs w:val="22"/>
        </w:rPr>
      </w:pPr>
      <w:r w:rsidRPr="00731F8E">
        <w:rPr>
          <w:rFonts w:cs="Times New Roman"/>
          <w:i/>
          <w:szCs w:val="22"/>
        </w:rPr>
        <w:t xml:space="preserve">The phrase "or irrigation unions" after the phrase "General Directorate of State Hydraulic Works" in the first clause (f) of the Nuclear Regulatory Law No. 7381 and </w:t>
      </w:r>
      <w:r w:rsidRPr="00731F8E">
        <w:rPr>
          <w:rFonts w:cs="Times New Roman"/>
          <w:b/>
          <w:i/>
          <w:szCs w:val="22"/>
        </w:rPr>
        <w:t xml:space="preserve">the Electricity Market Law No. 6446 </w:t>
      </w:r>
      <w:r w:rsidRPr="00731F8E">
        <w:rPr>
          <w:rFonts w:cs="Times New Roman"/>
          <w:i/>
          <w:szCs w:val="22"/>
        </w:rPr>
        <w:t xml:space="preserve">published in the Official Gazette dated 8.03.2022 and numbered 31772, </w:t>
      </w:r>
    </w:p>
    <w:p w14:paraId="1299C329" w14:textId="77777777" w:rsidR="004C0A79" w:rsidRPr="00731F8E" w:rsidRDefault="004C0A79" w:rsidP="00A86526">
      <w:pPr>
        <w:pStyle w:val="GvdeMetni"/>
        <w:numPr>
          <w:ilvl w:val="0"/>
          <w:numId w:val="44"/>
        </w:numPr>
        <w:autoSpaceDE w:val="0"/>
        <w:autoSpaceDN w:val="0"/>
        <w:spacing w:before="200"/>
        <w:jc w:val="left"/>
        <w:rPr>
          <w:rFonts w:cs="Times New Roman"/>
          <w:i/>
          <w:szCs w:val="22"/>
        </w:rPr>
      </w:pPr>
      <w:r w:rsidRPr="00731F8E">
        <w:rPr>
          <w:rFonts w:cs="Times New Roman"/>
          <w:i/>
          <w:szCs w:val="22"/>
        </w:rPr>
        <w:t>The phrase “or by the irrigation unions with the permission of DSI” has been added after the phrase “by the General Directorate of State Hydraulic Works”; clause (g) has been amended as follows, the following clause has been added to the paragraph and the following paragraph has been added to the article.</w:t>
      </w:r>
    </w:p>
    <w:p w14:paraId="2FE0AB40" w14:textId="77777777" w:rsidR="004C0A79" w:rsidRPr="00731F8E" w:rsidRDefault="004C0A79" w:rsidP="004C0A79">
      <w:pPr>
        <w:pStyle w:val="GvdeMetni"/>
        <w:spacing w:before="200"/>
        <w:rPr>
          <w:rFonts w:cs="Times New Roman"/>
          <w:i/>
          <w:szCs w:val="22"/>
        </w:rPr>
      </w:pPr>
    </w:p>
    <w:p w14:paraId="5916884C" w14:textId="77777777" w:rsidR="004C0A79" w:rsidRPr="00731F8E" w:rsidRDefault="004C0A79" w:rsidP="004C0A79">
      <w:pPr>
        <w:pStyle w:val="GvdeMetni"/>
        <w:spacing w:line="276" w:lineRule="auto"/>
        <w:ind w:left="1552" w:right="134" w:firstLine="8"/>
        <w:rPr>
          <w:rFonts w:cs="Times New Roman"/>
          <w:szCs w:val="22"/>
        </w:rPr>
      </w:pPr>
      <w:r w:rsidRPr="00731F8E">
        <w:rPr>
          <w:rFonts w:cs="Times New Roman"/>
          <w:szCs w:val="22"/>
        </w:rPr>
        <w:t>g)   Generation facilities based on renewable energy resources provided that they are limited to two times of the contractual power defined in the connection agreements by municipalities and affiliated institutions of thereof, as well as industrial facilities and agricultural irrigation facilities, and the contractual power determined in the connection agreements of other persons,</w:t>
      </w:r>
    </w:p>
    <w:p w14:paraId="5077A17A" w14:textId="77777777" w:rsidR="004C0A79" w:rsidRPr="00731F8E" w:rsidRDefault="004C0A79" w:rsidP="004C0A79">
      <w:pPr>
        <w:pStyle w:val="GvdeMetni"/>
        <w:spacing w:before="38"/>
        <w:rPr>
          <w:rFonts w:cs="Times New Roman"/>
          <w:szCs w:val="22"/>
        </w:rPr>
      </w:pPr>
    </w:p>
    <w:p w14:paraId="187AA54E" w14:textId="77777777" w:rsidR="004C0A79" w:rsidRPr="00731F8E" w:rsidRDefault="004C0A79" w:rsidP="004C0A79">
      <w:pPr>
        <w:pStyle w:val="GvdeMetni"/>
        <w:spacing w:line="276" w:lineRule="auto"/>
        <w:ind w:left="1552" w:right="132"/>
        <w:rPr>
          <w:rFonts w:cs="Times New Roman"/>
          <w:szCs w:val="22"/>
        </w:rPr>
      </w:pPr>
      <w:r w:rsidRPr="00731F8E">
        <w:rPr>
          <w:rFonts w:cs="Times New Roman"/>
          <w:szCs w:val="22"/>
        </w:rPr>
        <w:t xml:space="preserve">ğ)   Generation facilities, based on renewable energy resources established upon the positive opinion of the General Directorate of State Hydraulic Works (DSI), and operated by irrigation associations </w:t>
      </w:r>
      <w:r w:rsidRPr="00731F8E">
        <w:rPr>
          <w:rFonts w:cs="Times New Roman"/>
          <w:szCs w:val="22"/>
        </w:rPr>
        <w:lastRenderedPageBreak/>
        <w:t>on immovables, the responsibilitiy of which belongs to irrigation associations for the operation, maintenance, repair and management as well as other immovables which are owned by or at the disposal of irrigation associations and the DSI, provided that they are established limited to the contractual power defined in the connection agreements</w:t>
      </w:r>
    </w:p>
    <w:p w14:paraId="34246EF6" w14:textId="77777777" w:rsidR="004C0A79" w:rsidRPr="00731F8E" w:rsidRDefault="004C0A79" w:rsidP="004C0A79">
      <w:pPr>
        <w:pStyle w:val="GvdeMetni"/>
        <w:spacing w:before="39"/>
        <w:rPr>
          <w:rFonts w:cs="Times New Roman"/>
          <w:szCs w:val="22"/>
        </w:rPr>
      </w:pPr>
    </w:p>
    <w:p w14:paraId="74C1B419" w14:textId="77777777" w:rsidR="004C0A79" w:rsidRPr="00731F8E" w:rsidRDefault="004C0A79" w:rsidP="004C0A79">
      <w:pPr>
        <w:pStyle w:val="GvdeMetni"/>
        <w:spacing w:line="276" w:lineRule="auto"/>
        <w:ind w:left="1552" w:right="132"/>
        <w:rPr>
          <w:rFonts w:cs="Times New Roman"/>
          <w:szCs w:val="22"/>
        </w:rPr>
      </w:pPr>
      <w:r w:rsidRPr="00731F8E">
        <w:rPr>
          <w:rFonts w:cs="Times New Roman"/>
          <w:szCs w:val="22"/>
        </w:rPr>
        <w:t>8)  Legal entities, established by special provincial administrations, may establish electricity generation facilities, provided that this establishment is approved by DSI, and there is technical feasibility on the water source of the network used merely for irrigation and irrigation network with pressure piping, or classic canal network, which are operated by special provincial administration. For the facilities within the scope of this paragraph, the arrangements regarding the water usage right agreements to be signed with DSI are made within three months.</w:t>
      </w:r>
    </w:p>
    <w:p w14:paraId="46271007" w14:textId="77777777" w:rsidR="004C0A79" w:rsidRPr="00731F8E" w:rsidRDefault="004C0A79" w:rsidP="004C0A79">
      <w:pPr>
        <w:pStyle w:val="GvdeMetni"/>
        <w:spacing w:before="41"/>
        <w:rPr>
          <w:rFonts w:cs="Times New Roman"/>
          <w:szCs w:val="22"/>
        </w:rPr>
      </w:pPr>
    </w:p>
    <w:p w14:paraId="639EBA93"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following paragraph has been added to Article 17.</w:t>
      </w:r>
    </w:p>
    <w:p w14:paraId="5B689808" w14:textId="77777777" w:rsidR="004C0A79" w:rsidRPr="00731F8E" w:rsidRDefault="004C0A79" w:rsidP="004C0A79">
      <w:pPr>
        <w:pStyle w:val="GvdeMetni"/>
        <w:spacing w:before="180" w:line="276" w:lineRule="auto"/>
        <w:ind w:left="1551" w:right="132"/>
        <w:rPr>
          <w:rFonts w:cs="Times New Roman"/>
          <w:szCs w:val="22"/>
        </w:rPr>
      </w:pPr>
      <w:r w:rsidRPr="00731F8E">
        <w:rPr>
          <w:rFonts w:cs="Times New Roman"/>
          <w:szCs w:val="22"/>
        </w:rPr>
        <w:t>"(11) Due to unreasonable increases in the differences between the prices of commodities and/or resource costs that are input to power generation in national or international markets, the Authority may determine to support the consumer and/or production with high cost on a resource basis, taking into account the production costs of power generation for the purpose of protecting supply security and/or consumers, not exceeding six months at a time. The support fee that will be determined by the Authority is collected from the producer with low production cost and may be used to support producer with high-cost and/or consumers to ensure supply security. The procedures and principles regarding the implementation are determined by the Authority by obtaining the appropriate opinion of the Ministry."</w:t>
      </w:r>
    </w:p>
    <w:p w14:paraId="569D43B2" w14:textId="77777777" w:rsidR="004C0A79" w:rsidRPr="00731F8E" w:rsidRDefault="004C0A79" w:rsidP="004C0A79">
      <w:pPr>
        <w:pStyle w:val="GvdeMetni"/>
        <w:spacing w:before="180" w:line="276" w:lineRule="auto"/>
        <w:ind w:left="1551" w:right="132"/>
        <w:rPr>
          <w:rFonts w:cs="Times New Roman"/>
          <w:szCs w:val="22"/>
        </w:rPr>
      </w:pPr>
    </w:p>
    <w:p w14:paraId="6A3AE6DE" w14:textId="77777777" w:rsidR="004C0A79" w:rsidRPr="00731F8E" w:rsidRDefault="004C0A79" w:rsidP="00A86526">
      <w:pPr>
        <w:pStyle w:val="GvdeMetni"/>
        <w:numPr>
          <w:ilvl w:val="0"/>
          <w:numId w:val="43"/>
        </w:numPr>
        <w:autoSpaceDE w:val="0"/>
        <w:autoSpaceDN w:val="0"/>
        <w:spacing w:before="41"/>
        <w:jc w:val="left"/>
        <w:rPr>
          <w:rFonts w:cs="Times New Roman"/>
          <w:i/>
          <w:szCs w:val="22"/>
        </w:rPr>
      </w:pPr>
      <w:r w:rsidRPr="00731F8E">
        <w:rPr>
          <w:rFonts w:cs="Times New Roman"/>
          <w:i/>
          <w:szCs w:val="22"/>
        </w:rPr>
        <w:t xml:space="preserve">The following paragraphs have been added to Article 7 of </w:t>
      </w:r>
      <w:r w:rsidRPr="00731F8E">
        <w:rPr>
          <w:rFonts w:cs="Times New Roman"/>
          <w:b/>
          <w:i/>
          <w:szCs w:val="22"/>
        </w:rPr>
        <w:t>the Electricity Market Law No. 6446</w:t>
      </w:r>
      <w:r w:rsidRPr="00731F8E">
        <w:rPr>
          <w:rFonts w:cs="Times New Roman"/>
          <w:i/>
          <w:szCs w:val="22"/>
        </w:rPr>
        <w:t xml:space="preserve"> with the Law on the Amendment of the Civil Servants Law No. 7417 and Some Laws and Decree Law No. 375, published in the Official Gazette dated 05.07.2022 and numbered 31887.</w:t>
      </w:r>
    </w:p>
    <w:p w14:paraId="70B7BF5E" w14:textId="77777777" w:rsidR="004C0A79" w:rsidRPr="00731F8E" w:rsidRDefault="004C0A79" w:rsidP="004C0A79">
      <w:pPr>
        <w:pStyle w:val="GvdeMetni"/>
        <w:spacing w:before="41"/>
        <w:rPr>
          <w:rFonts w:cs="Times New Roman"/>
          <w:i/>
          <w:szCs w:val="22"/>
        </w:rPr>
      </w:pPr>
    </w:p>
    <w:p w14:paraId="5435687E" w14:textId="77777777" w:rsidR="004C0A79" w:rsidRPr="00731F8E" w:rsidRDefault="004C0A79" w:rsidP="004C0A79">
      <w:pPr>
        <w:pStyle w:val="GvdeMetni"/>
        <w:spacing w:line="259" w:lineRule="auto"/>
        <w:ind w:left="1575" w:right="136"/>
        <w:rPr>
          <w:rFonts w:cs="Times New Roman"/>
          <w:szCs w:val="22"/>
        </w:rPr>
      </w:pPr>
      <w:r w:rsidRPr="00731F8E">
        <w:rPr>
          <w:rFonts w:cs="Times New Roman"/>
          <w:szCs w:val="22"/>
        </w:rPr>
        <w:t>The procedures and principles regarding the technical evaluation of the applications for the establishment of a power generation facility based on biomass and geothermal energy shall be determined by the regulation issued by the Ministry.Legal entities that undertake to establish an electricity storage facility shall be granted a pre-license by the Authority for the establishment of a power generation facility, based on wind and/or solar energy, with a capacity up to the installed capacity of the electricity storage facility that they undertake to establish. The provisions of the fourth paragraph of Article 7 of the Law shall not apply to the generation facilities within this scope. For the facilities to be established within the scope of this paragraph, the procedures and principles regarding implementation, including the conditions for granting pre-licenses and licenses, their amendment and cancellation, the forfeiture of the assurance in case of failure to fulfill the obligations, and the supplying of the electricity, generated within this scope, to the system through the storage facility, shall be determined by a regulation issued by the Authority. The facilities to be established within the scope of this paragraph may benefit from the provisions of Article 6 of the Law No. 5346.</w:t>
      </w:r>
    </w:p>
    <w:p w14:paraId="1FF6809E" w14:textId="77777777" w:rsidR="004C0A79" w:rsidRPr="00731F8E" w:rsidRDefault="004C0A79" w:rsidP="004C0A79">
      <w:pPr>
        <w:pStyle w:val="GvdeMetni"/>
        <w:spacing w:before="20"/>
        <w:rPr>
          <w:rFonts w:cs="Times New Roman"/>
          <w:szCs w:val="22"/>
        </w:rPr>
      </w:pPr>
    </w:p>
    <w:p w14:paraId="4EB0F4E1" w14:textId="77777777" w:rsidR="004C0A79" w:rsidRPr="00731F8E" w:rsidRDefault="004C0A79" w:rsidP="004C0A79">
      <w:pPr>
        <w:pStyle w:val="GvdeMetni"/>
        <w:spacing w:line="259" w:lineRule="auto"/>
        <w:ind w:left="1575" w:right="133"/>
        <w:rPr>
          <w:rFonts w:cs="Times New Roman"/>
          <w:szCs w:val="22"/>
        </w:rPr>
      </w:pPr>
      <w:r w:rsidRPr="00731F8E">
        <w:rPr>
          <w:rFonts w:cs="Times New Roman"/>
          <w:szCs w:val="22"/>
        </w:rPr>
        <w:t>Legal entities with an electricity generation license based on wind and/or solar energy, which undertake to establish an electricity storage facility at generation facilities that are partially or fully in operation, shall be allowed to increase capacity up to the installed capacity of the electricity storage facility they undertake to establish, provided that they do not exceed the site boundaries specified under their licenses, the capacity supplied to the system at the time of operation does not exceed the installed capacity specified under their licenses and the opinion, obtained from TEİAŞ and/or the relevant distribution company in relation to the proposed license amendment, is positive. For capacity increases within this framework, the first sentence of the second paragraph of Article 6/C of the Law No. 5346 shall not be applied. The procedures and principles related to the application, including the supplying of the electricity, generated in this context, to the system through the storage facility shall be determined by a regulation issued by the Authority.</w:t>
      </w:r>
    </w:p>
    <w:p w14:paraId="75AF4084" w14:textId="77777777" w:rsidR="004C0A79" w:rsidRPr="00731F8E" w:rsidRDefault="004C0A79" w:rsidP="004C0A79">
      <w:pPr>
        <w:pStyle w:val="GvdeMetni"/>
        <w:spacing w:before="37"/>
        <w:rPr>
          <w:rFonts w:cs="Times New Roman"/>
          <w:szCs w:val="22"/>
        </w:rPr>
      </w:pPr>
    </w:p>
    <w:p w14:paraId="5F4AED8E" w14:textId="77777777" w:rsidR="004C0A79" w:rsidRPr="00731F8E" w:rsidRDefault="004C0A79" w:rsidP="00A86526">
      <w:pPr>
        <w:pStyle w:val="GvdeMetni"/>
        <w:numPr>
          <w:ilvl w:val="0"/>
          <w:numId w:val="43"/>
        </w:numPr>
        <w:autoSpaceDE w:val="0"/>
        <w:autoSpaceDN w:val="0"/>
        <w:spacing w:before="47"/>
        <w:jc w:val="left"/>
        <w:rPr>
          <w:rFonts w:cs="Times New Roman"/>
          <w:i/>
          <w:szCs w:val="22"/>
        </w:rPr>
      </w:pPr>
      <w:r w:rsidRPr="00731F8E">
        <w:rPr>
          <w:rFonts w:cs="Times New Roman"/>
          <w:i/>
          <w:szCs w:val="22"/>
        </w:rPr>
        <w:t xml:space="preserve">The following additional article has been added to the Law on the Amendment of the Tax Procedure Law No. 7421 and Some Laws and </w:t>
      </w:r>
      <w:r w:rsidRPr="00731F8E">
        <w:rPr>
          <w:rFonts w:cs="Times New Roman"/>
          <w:b/>
          <w:i/>
          <w:szCs w:val="22"/>
        </w:rPr>
        <w:t>the Electricity Market Law No. 6446</w:t>
      </w:r>
      <w:r w:rsidRPr="00731F8E">
        <w:rPr>
          <w:rFonts w:cs="Times New Roman"/>
          <w:i/>
          <w:szCs w:val="22"/>
        </w:rPr>
        <w:t xml:space="preserve"> published in the Official Gazette dated 26.11.2022 and numbered 32025:</w:t>
      </w:r>
    </w:p>
    <w:p w14:paraId="5888461D" w14:textId="77777777" w:rsidR="004C0A79" w:rsidRPr="00731F8E" w:rsidRDefault="004C0A79" w:rsidP="004C0A79">
      <w:pPr>
        <w:pStyle w:val="GvdeMetni"/>
        <w:spacing w:before="47"/>
        <w:rPr>
          <w:rFonts w:cs="Times New Roman"/>
          <w:i/>
          <w:szCs w:val="22"/>
        </w:rPr>
      </w:pPr>
    </w:p>
    <w:p w14:paraId="7EF6A517" w14:textId="77777777" w:rsidR="004C0A79" w:rsidRPr="00731F8E" w:rsidRDefault="004C0A79" w:rsidP="004C0A79">
      <w:pPr>
        <w:pStyle w:val="GvdeMetni"/>
        <w:spacing w:line="259" w:lineRule="auto"/>
        <w:ind w:left="1575" w:right="135"/>
        <w:rPr>
          <w:rFonts w:cs="Times New Roman"/>
          <w:szCs w:val="22"/>
        </w:rPr>
      </w:pPr>
      <w:r w:rsidRPr="00731F8E">
        <w:rPr>
          <w:rFonts w:cs="Times New Roman"/>
          <w:szCs w:val="22"/>
        </w:rPr>
        <w:t>"ADDITIONAL ARTICLE 6- (1) The lighting expenses of the djemevis shall be covered by the allowance to be placed in the budget of the Ministry of Culture and Tourism."</w:t>
      </w:r>
    </w:p>
    <w:p w14:paraId="57286C66" w14:textId="77777777" w:rsidR="004C0A79" w:rsidRPr="00731F8E" w:rsidRDefault="004C0A79" w:rsidP="004C0A79">
      <w:pPr>
        <w:pStyle w:val="GvdeMetni"/>
        <w:spacing w:before="21"/>
        <w:rPr>
          <w:rFonts w:cs="Times New Roman"/>
          <w:szCs w:val="22"/>
        </w:rPr>
      </w:pPr>
    </w:p>
    <w:p w14:paraId="44D36770" w14:textId="77777777" w:rsidR="004C0A79" w:rsidRPr="00731F8E" w:rsidRDefault="004C0A79" w:rsidP="00A86526">
      <w:pPr>
        <w:pStyle w:val="GvdeMetni"/>
        <w:numPr>
          <w:ilvl w:val="0"/>
          <w:numId w:val="43"/>
        </w:numPr>
        <w:autoSpaceDE w:val="0"/>
        <w:autoSpaceDN w:val="0"/>
        <w:spacing w:before="40"/>
        <w:jc w:val="left"/>
        <w:rPr>
          <w:rFonts w:cs="Times New Roman"/>
          <w:i/>
          <w:szCs w:val="22"/>
        </w:rPr>
      </w:pPr>
      <w:r w:rsidRPr="00731F8E">
        <w:rPr>
          <w:rFonts w:cs="Times New Roman"/>
          <w:i/>
          <w:szCs w:val="22"/>
        </w:rPr>
        <w:t xml:space="preserve">Before the phrase “all charging stations” in the subparagraph (ddd) of the first paragraph of Article 3 of the Law on the Amendment of the Electricity Market Law No. 7429 and Certain Laws and the Decree Law No. 375 and </w:t>
      </w:r>
      <w:r w:rsidRPr="00731F8E">
        <w:rPr>
          <w:rFonts w:cs="Times New Roman"/>
          <w:b/>
          <w:i/>
          <w:szCs w:val="22"/>
        </w:rPr>
        <w:t>the Electricity Market Law No. 6446</w:t>
      </w:r>
      <w:r w:rsidRPr="00731F8E">
        <w:rPr>
          <w:rFonts w:cs="Times New Roman"/>
          <w:i/>
          <w:szCs w:val="22"/>
        </w:rPr>
        <w:t xml:space="preserve"> published in the Official Gazette dated 28.12.2022 and numbered 32057, the phrase “open to the public” and the following paragraphs have been added to the paragraph.</w:t>
      </w:r>
    </w:p>
    <w:p w14:paraId="7D33FA1E" w14:textId="77777777" w:rsidR="004C0A79" w:rsidRPr="00731F8E" w:rsidRDefault="004C0A79" w:rsidP="004C0A79">
      <w:pPr>
        <w:pStyle w:val="GvdeMetni"/>
        <w:spacing w:before="40"/>
        <w:rPr>
          <w:rFonts w:cs="Times New Roman"/>
          <w:i/>
          <w:szCs w:val="22"/>
        </w:rPr>
      </w:pPr>
    </w:p>
    <w:p w14:paraId="4E0F4736" w14:textId="77777777" w:rsidR="004C0A79" w:rsidRPr="00731F8E" w:rsidRDefault="004C0A79" w:rsidP="004C0A79">
      <w:pPr>
        <w:pStyle w:val="GvdeMetni"/>
        <w:spacing w:line="259" w:lineRule="auto"/>
        <w:ind w:left="1575" w:right="133"/>
        <w:rPr>
          <w:rFonts w:cs="Times New Roman"/>
          <w:szCs w:val="22"/>
        </w:rPr>
      </w:pPr>
      <w:r w:rsidRPr="00731F8E">
        <w:rPr>
          <w:rFonts w:cs="Times New Roman"/>
          <w:szCs w:val="22"/>
        </w:rPr>
        <w:t>“eee) Collector: The legal person holding a collector license or a supply license, who has signed an agreement with one or more network users to carry out collecting activities in the electricity market on behalf of the said network users,</w:t>
      </w:r>
    </w:p>
    <w:p w14:paraId="3B2BB544" w14:textId="77777777" w:rsidR="004C0A79" w:rsidRPr="00731F8E" w:rsidRDefault="004C0A79" w:rsidP="004C0A79">
      <w:pPr>
        <w:pStyle w:val="GvdeMetni"/>
        <w:spacing w:before="20"/>
        <w:rPr>
          <w:rFonts w:cs="Times New Roman"/>
          <w:szCs w:val="22"/>
        </w:rPr>
      </w:pPr>
    </w:p>
    <w:p w14:paraId="16D5B298" w14:textId="77777777" w:rsidR="004C0A79" w:rsidRPr="00731F8E" w:rsidRDefault="004C0A79" w:rsidP="004C0A79">
      <w:pPr>
        <w:pStyle w:val="GvdeMetni"/>
        <w:spacing w:line="259" w:lineRule="auto"/>
        <w:ind w:left="1575" w:right="132"/>
        <w:rPr>
          <w:rFonts w:cs="Times New Roman"/>
          <w:szCs w:val="22"/>
        </w:rPr>
      </w:pPr>
      <w:r w:rsidRPr="00731F8E">
        <w:rPr>
          <w:rFonts w:cs="Times New Roman"/>
          <w:szCs w:val="22"/>
        </w:rPr>
        <w:t>fff) Aggregation: Market activity carried out by the aggregator within the scope of combining the consumption and/or production of one or more network users,</w:t>
      </w:r>
    </w:p>
    <w:p w14:paraId="1F31303C" w14:textId="77777777" w:rsidR="004C0A79" w:rsidRPr="00731F8E" w:rsidRDefault="004C0A79" w:rsidP="004C0A79">
      <w:pPr>
        <w:pStyle w:val="GvdeMetni"/>
        <w:spacing w:before="20"/>
        <w:rPr>
          <w:rFonts w:cs="Times New Roman"/>
          <w:szCs w:val="22"/>
        </w:rPr>
      </w:pPr>
    </w:p>
    <w:p w14:paraId="3D143E6C"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following clause has been added to the first paragraph of Article 4.</w:t>
      </w:r>
    </w:p>
    <w:p w14:paraId="4CAB79CB" w14:textId="77777777" w:rsidR="004C0A79" w:rsidRPr="00731F8E" w:rsidRDefault="004C0A79" w:rsidP="004C0A79">
      <w:pPr>
        <w:pStyle w:val="GvdeMetni"/>
        <w:spacing w:before="61"/>
        <w:rPr>
          <w:rFonts w:cs="Times New Roman"/>
          <w:i/>
          <w:szCs w:val="22"/>
        </w:rPr>
      </w:pPr>
    </w:p>
    <w:p w14:paraId="696C424D" w14:textId="77777777" w:rsidR="004C0A79" w:rsidRPr="00731F8E" w:rsidRDefault="004C0A79" w:rsidP="004C0A79">
      <w:pPr>
        <w:pStyle w:val="GvdeMetni"/>
        <w:ind w:left="1575"/>
        <w:rPr>
          <w:rFonts w:cs="Times New Roman"/>
          <w:szCs w:val="22"/>
        </w:rPr>
      </w:pPr>
      <w:r w:rsidRPr="00731F8E">
        <w:rPr>
          <w:rFonts w:cs="Times New Roman"/>
          <w:szCs w:val="22"/>
        </w:rPr>
        <w:t>“ğ) Aggregation activity”</w:t>
      </w:r>
    </w:p>
    <w:p w14:paraId="793870D7"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67"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following arti</w:t>
      </w:r>
      <w:r>
        <w:rPr>
          <w:rFonts w:ascii="Times New Roman" w:hAnsi="Times New Roman" w:cs="Times New Roman"/>
          <w:szCs w:val="22"/>
        </w:rPr>
        <w:t>cle has been added to come afte</w:t>
      </w:r>
      <w:r w:rsidRPr="00731F8E">
        <w:rPr>
          <w:rFonts w:ascii="Times New Roman" w:hAnsi="Times New Roman" w:cs="Times New Roman"/>
          <w:szCs w:val="22"/>
        </w:rPr>
        <w:t>r the Article 12.</w:t>
      </w:r>
    </w:p>
    <w:p w14:paraId="054DE564" w14:textId="77777777" w:rsidR="004C0A79" w:rsidRPr="00731F8E" w:rsidRDefault="004C0A79" w:rsidP="004C0A79">
      <w:pPr>
        <w:pStyle w:val="GvdeMetni"/>
        <w:spacing w:before="63"/>
        <w:rPr>
          <w:rFonts w:cs="Times New Roman"/>
          <w:i/>
          <w:szCs w:val="22"/>
        </w:rPr>
      </w:pPr>
    </w:p>
    <w:p w14:paraId="1865D56B" w14:textId="77777777" w:rsidR="004C0A79" w:rsidRPr="00731F8E" w:rsidRDefault="004C0A79" w:rsidP="004C0A79">
      <w:pPr>
        <w:pStyle w:val="GvdeMetni"/>
        <w:ind w:left="1576"/>
        <w:rPr>
          <w:rFonts w:cs="Times New Roman"/>
          <w:szCs w:val="22"/>
        </w:rPr>
      </w:pPr>
      <w:r w:rsidRPr="00731F8E">
        <w:rPr>
          <w:rFonts w:cs="Times New Roman"/>
          <w:szCs w:val="22"/>
        </w:rPr>
        <w:t>“Aggregation activity</w:t>
      </w:r>
    </w:p>
    <w:p w14:paraId="15B9242B" w14:textId="77777777" w:rsidR="004C0A79" w:rsidRPr="00731F8E" w:rsidRDefault="004C0A79" w:rsidP="004C0A79">
      <w:pPr>
        <w:pStyle w:val="GvdeMetni"/>
        <w:spacing w:before="19" w:line="259" w:lineRule="auto"/>
        <w:ind w:left="1575" w:right="132"/>
        <w:rPr>
          <w:rFonts w:cs="Times New Roman"/>
          <w:szCs w:val="22"/>
        </w:rPr>
      </w:pPr>
      <w:r w:rsidRPr="00731F8E">
        <w:rPr>
          <w:rFonts w:cs="Times New Roman"/>
          <w:szCs w:val="22"/>
        </w:rPr>
        <w:t>ARTICLE 12/A- (1) The collector is authorized by the network users through an agreement. Network users cannot authorize the legal entities holding supply licenses that they have contracted to supply energy as collectors.</w:t>
      </w:r>
    </w:p>
    <w:p w14:paraId="7AAD453B" w14:textId="77777777" w:rsidR="004C0A79" w:rsidRPr="00731F8E" w:rsidRDefault="004C0A79" w:rsidP="00A86526">
      <w:pPr>
        <w:pStyle w:val="P68B1DB1-ListParagraph3"/>
        <w:numPr>
          <w:ilvl w:val="0"/>
          <w:numId w:val="41"/>
        </w:numPr>
        <w:tabs>
          <w:tab w:val="left" w:pos="1909"/>
        </w:tabs>
        <w:spacing w:before="1" w:line="259" w:lineRule="auto"/>
        <w:ind w:left="1575" w:right="133" w:firstLine="0"/>
        <w:rPr>
          <w:rFonts w:ascii="Times New Roman" w:hAnsi="Times New Roman" w:cs="Times New Roman"/>
          <w:szCs w:val="22"/>
        </w:rPr>
      </w:pPr>
      <w:r w:rsidRPr="00731F8E">
        <w:rPr>
          <w:rFonts w:ascii="Times New Roman" w:hAnsi="Times New Roman" w:cs="Times New Roman"/>
          <w:szCs w:val="22"/>
        </w:rPr>
        <w:t>The Collector manages the consumption and/or generation programs of the contracted users, carries out the market transactions regarding the buying and selling of electrical energy and/or capacity on behalf of the users in question, and may participate in the procurement processes of the ancillary services.</w:t>
      </w:r>
    </w:p>
    <w:p w14:paraId="6445F0CD" w14:textId="77777777" w:rsidR="004C0A79" w:rsidRPr="00731F8E" w:rsidRDefault="004C0A79" w:rsidP="00A86526">
      <w:pPr>
        <w:pStyle w:val="P68B1DB1-ListParagraph3"/>
        <w:numPr>
          <w:ilvl w:val="0"/>
          <w:numId w:val="41"/>
        </w:numPr>
        <w:tabs>
          <w:tab w:val="left" w:pos="1904"/>
        </w:tabs>
        <w:spacing w:line="256" w:lineRule="auto"/>
        <w:ind w:left="1575" w:right="133" w:firstLine="0"/>
        <w:rPr>
          <w:rFonts w:ascii="Times New Roman" w:hAnsi="Times New Roman" w:cs="Times New Roman"/>
          <w:szCs w:val="22"/>
        </w:rPr>
      </w:pPr>
      <w:r w:rsidRPr="00731F8E">
        <w:rPr>
          <w:rFonts w:ascii="Times New Roman" w:hAnsi="Times New Roman" w:cs="Times New Roman"/>
          <w:szCs w:val="22"/>
        </w:rPr>
        <w:t>The aggregation activity may be carried out by legal entities holding a collector license or a supply license.</w:t>
      </w:r>
    </w:p>
    <w:p w14:paraId="6A33D8CA" w14:textId="77777777" w:rsidR="004C0A79" w:rsidRPr="00731F8E" w:rsidRDefault="004C0A79" w:rsidP="00A86526">
      <w:pPr>
        <w:pStyle w:val="P68B1DB1-ListParagraph3"/>
        <w:numPr>
          <w:ilvl w:val="0"/>
          <w:numId w:val="41"/>
        </w:numPr>
        <w:tabs>
          <w:tab w:val="left" w:pos="1957"/>
        </w:tabs>
        <w:spacing w:before="2" w:line="256" w:lineRule="auto"/>
        <w:ind w:left="1575" w:right="135" w:firstLine="0"/>
        <w:rPr>
          <w:rFonts w:ascii="Times New Roman" w:hAnsi="Times New Roman" w:cs="Times New Roman"/>
          <w:szCs w:val="22"/>
        </w:rPr>
      </w:pPr>
      <w:r w:rsidRPr="00731F8E">
        <w:rPr>
          <w:rFonts w:ascii="Times New Roman" w:hAnsi="Times New Roman" w:cs="Times New Roman"/>
          <w:szCs w:val="22"/>
        </w:rPr>
        <w:t>The procedures and principles regarding the aggregation activities are regulated by the regulation issued by the Authority. "</w:t>
      </w:r>
    </w:p>
    <w:p w14:paraId="6210A1EF" w14:textId="77777777" w:rsidR="004C0A79" w:rsidRPr="00731F8E" w:rsidRDefault="004C0A79" w:rsidP="004C0A79">
      <w:pPr>
        <w:pStyle w:val="Balk1"/>
        <w:tabs>
          <w:tab w:val="left" w:pos="855"/>
        </w:tabs>
        <w:spacing w:before="203"/>
        <w:ind w:left="135"/>
        <w:rPr>
          <w:rFonts w:ascii="Times New Roman" w:hAnsi="Times New Roman" w:cs="Times New Roman"/>
          <w:szCs w:val="22"/>
        </w:rPr>
      </w:pPr>
      <w:bookmarkStart w:id="33" w:name="1.1.2._Yönetmelikler"/>
      <w:bookmarkEnd w:id="33"/>
      <w:r>
        <w:rPr>
          <w:rFonts w:ascii="Times New Roman" w:hAnsi="Times New Roman" w:cs="Times New Roman"/>
          <w:szCs w:val="22"/>
        </w:rPr>
        <w:t xml:space="preserve">2.1.2. </w:t>
      </w:r>
      <w:r w:rsidRPr="00731F8E">
        <w:rPr>
          <w:rFonts w:ascii="Times New Roman" w:hAnsi="Times New Roman" w:cs="Times New Roman"/>
          <w:szCs w:val="22"/>
        </w:rPr>
        <w:t>Regulations</w:t>
      </w:r>
    </w:p>
    <w:p w14:paraId="332144E3" w14:textId="77777777" w:rsidR="004C0A79" w:rsidRPr="00731F8E" w:rsidRDefault="004C0A79" w:rsidP="004C0A79">
      <w:pPr>
        <w:pStyle w:val="GvdeMetni"/>
        <w:spacing w:before="15"/>
        <w:rPr>
          <w:rFonts w:cs="Times New Roman"/>
          <w:b/>
          <w:i/>
          <w:szCs w:val="22"/>
        </w:rPr>
      </w:pPr>
    </w:p>
    <w:p w14:paraId="1E5C83FF" w14:textId="77777777" w:rsidR="004C0A79" w:rsidRPr="00731F8E" w:rsidRDefault="004C0A79" w:rsidP="004C0A79">
      <w:pPr>
        <w:pStyle w:val="Balk2"/>
        <w:ind w:left="495"/>
        <w:rPr>
          <w:rFonts w:ascii="Times New Roman" w:hAnsi="Times New Roman" w:cs="Times New Roman"/>
          <w:szCs w:val="22"/>
        </w:rPr>
      </w:pPr>
      <w:r w:rsidRPr="00731F8E">
        <w:rPr>
          <w:rFonts w:ascii="Times New Roman" w:hAnsi="Times New Roman" w:cs="Times New Roman"/>
          <w:szCs w:val="22"/>
        </w:rPr>
        <w:t>In 2022, the following Regulation studies were carried out in the electricity market:</w:t>
      </w:r>
    </w:p>
    <w:p w14:paraId="5E4084B5" w14:textId="77777777" w:rsidR="004C0A79" w:rsidRPr="00731F8E" w:rsidRDefault="004C0A79" w:rsidP="004C0A79">
      <w:pPr>
        <w:pStyle w:val="Balk2"/>
        <w:ind w:left="495"/>
        <w:rPr>
          <w:rFonts w:ascii="Times New Roman" w:hAnsi="Times New Roman" w:cs="Times New Roman"/>
          <w:szCs w:val="22"/>
        </w:rPr>
      </w:pPr>
    </w:p>
    <w:p w14:paraId="6C3000FF" w14:textId="77777777" w:rsidR="004C0A79" w:rsidRPr="00731F8E" w:rsidRDefault="004C0A79" w:rsidP="00A86526">
      <w:pPr>
        <w:pStyle w:val="GvdeMetni"/>
        <w:numPr>
          <w:ilvl w:val="0"/>
          <w:numId w:val="43"/>
        </w:numPr>
        <w:autoSpaceDE w:val="0"/>
        <w:autoSpaceDN w:val="0"/>
        <w:spacing w:before="9"/>
        <w:jc w:val="left"/>
        <w:rPr>
          <w:rFonts w:cs="Times New Roman"/>
          <w:i/>
          <w:szCs w:val="22"/>
        </w:rPr>
      </w:pPr>
      <w:r w:rsidRPr="00731F8E">
        <w:rPr>
          <w:rFonts w:cs="Times New Roman"/>
          <w:i/>
          <w:szCs w:val="22"/>
        </w:rPr>
        <w:t xml:space="preserve">With the Amendment Regulation published in the Official Gazette dated 11.01.2022 and numbered 31716, the ninth paragraph of Article 7 of </w:t>
      </w:r>
      <w:r w:rsidRPr="00731F8E">
        <w:rPr>
          <w:rFonts w:cs="Times New Roman"/>
          <w:b/>
          <w:i/>
          <w:szCs w:val="22"/>
        </w:rPr>
        <w:t>the Electricity Market Connection and System Usage Regulation</w:t>
      </w:r>
      <w:r w:rsidRPr="00731F8E">
        <w:rPr>
          <w:rFonts w:cs="Times New Roman"/>
          <w:i/>
          <w:szCs w:val="22"/>
        </w:rPr>
        <w:t xml:space="preserve"> has been amended as follows.</w:t>
      </w:r>
    </w:p>
    <w:p w14:paraId="08A33066" w14:textId="77777777" w:rsidR="004C0A79" w:rsidRPr="00731F8E" w:rsidRDefault="004C0A79" w:rsidP="004C0A79">
      <w:pPr>
        <w:pStyle w:val="GvdeMetni"/>
        <w:spacing w:before="9"/>
        <w:rPr>
          <w:rFonts w:cs="Times New Roman"/>
          <w:i/>
          <w:szCs w:val="22"/>
        </w:rPr>
      </w:pPr>
    </w:p>
    <w:p w14:paraId="778472F9" w14:textId="77777777" w:rsidR="004C0A79" w:rsidRPr="00731F8E" w:rsidRDefault="004C0A79" w:rsidP="004C0A79">
      <w:pPr>
        <w:pStyle w:val="GvdeMetni"/>
        <w:spacing w:line="276" w:lineRule="auto"/>
        <w:ind w:left="1554" w:right="132"/>
        <w:rPr>
          <w:rFonts w:cs="Times New Roman"/>
          <w:szCs w:val="22"/>
        </w:rPr>
      </w:pPr>
      <w:r w:rsidRPr="00731F8E">
        <w:rPr>
          <w:rFonts w:cs="Times New Roman"/>
          <w:szCs w:val="22"/>
        </w:rPr>
        <w:t>"(9) The agreement powers of the generation license holders in the direction of supply should be the same as the installed power value included in their licenses. Changes in the power of agreement of the generation license holders are carried out in accordance with the license amendments, without being limited to the periods specified in this article. However, electricity generation licensees based on coal or natural gas may request changes no more than twice in a calendar year to change their power of agreement in the direction of supply, not exceeding the installed power included in their licenses. The agreement power change request within this scope cannot be lower than the installed power before the last license amendment regarding the installed power.</w:t>
      </w:r>
    </w:p>
    <w:p w14:paraId="2F3BA3F5" w14:textId="77777777" w:rsidR="004C0A79" w:rsidRPr="00731F8E" w:rsidRDefault="004C0A79" w:rsidP="004C0A79">
      <w:pPr>
        <w:pStyle w:val="GvdeMetni"/>
        <w:spacing w:before="40"/>
        <w:rPr>
          <w:rFonts w:cs="Times New Roman"/>
          <w:szCs w:val="22"/>
        </w:rPr>
      </w:pPr>
    </w:p>
    <w:p w14:paraId="1E0DBE41" w14:textId="77777777" w:rsidR="004C0A79" w:rsidRPr="00731F8E" w:rsidRDefault="004C0A79" w:rsidP="00A86526">
      <w:pPr>
        <w:pStyle w:val="ListeParagraf"/>
        <w:widowControl w:val="0"/>
        <w:numPr>
          <w:ilvl w:val="3"/>
          <w:numId w:val="42"/>
        </w:numPr>
        <w:tabs>
          <w:tab w:val="left" w:pos="856"/>
        </w:tabs>
        <w:autoSpaceDE w:val="0"/>
        <w:autoSpaceDN w:val="0"/>
        <w:spacing w:before="1" w:after="0" w:line="240" w:lineRule="auto"/>
        <w:ind w:hanging="360"/>
        <w:contextualSpacing w:val="0"/>
        <w:jc w:val="left"/>
        <w:rPr>
          <w:rFonts w:ascii="Times New Roman" w:hAnsi="Times New Roman"/>
        </w:rPr>
      </w:pPr>
      <w:r w:rsidRPr="00731F8E">
        <w:rPr>
          <w:rFonts w:ascii="Times New Roman" w:hAnsi="Times New Roman"/>
        </w:rPr>
        <w:t xml:space="preserve">• The following paragraph has been added to the 12th article of the Amendment Regulation and the Regulation on Certification and Support of Renewable Energy Resources published in the </w:t>
      </w:r>
      <w:r w:rsidRPr="00731F8E">
        <w:rPr>
          <w:rFonts w:ascii="Times New Roman" w:hAnsi="Times New Roman"/>
        </w:rPr>
        <w:lastRenderedPageBreak/>
        <w:t>Official Gazette dated 10.02.2022 and numbered 31746.</w:t>
      </w:r>
    </w:p>
    <w:p w14:paraId="10488BB3" w14:textId="77777777" w:rsidR="004C0A79" w:rsidRPr="00731F8E" w:rsidRDefault="004C0A79" w:rsidP="004C0A79">
      <w:pPr>
        <w:pStyle w:val="ListeParagraf"/>
        <w:tabs>
          <w:tab w:val="left" w:pos="856"/>
        </w:tabs>
        <w:spacing w:before="1"/>
        <w:ind w:left="856"/>
        <w:jc w:val="left"/>
        <w:rPr>
          <w:rFonts w:ascii="Times New Roman" w:hAnsi="Times New Roman"/>
        </w:rPr>
      </w:pPr>
    </w:p>
    <w:p w14:paraId="4A23FB76"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"(5) The amounts calculated within the scope of the third paragraph of Article 18 shall be added to the total amount of RES calculated in accordance with the first paragraph of this article."</w:t>
      </w:r>
    </w:p>
    <w:p w14:paraId="6172C8DD" w14:textId="77777777" w:rsidR="004C0A79" w:rsidRPr="00731F8E" w:rsidRDefault="004C0A79" w:rsidP="004C0A79">
      <w:pPr>
        <w:pStyle w:val="GvdeMetni"/>
        <w:spacing w:before="40"/>
        <w:rPr>
          <w:rFonts w:cs="Times New Roman"/>
          <w:szCs w:val="22"/>
        </w:rPr>
      </w:pPr>
    </w:p>
    <w:p w14:paraId="0B90AED0" w14:textId="77777777" w:rsidR="004C0A79" w:rsidRPr="00731F8E" w:rsidRDefault="004C0A79" w:rsidP="00A86526">
      <w:pPr>
        <w:pStyle w:val="Balk2"/>
        <w:keepNext w:val="0"/>
        <w:keepLines w:val="0"/>
        <w:widowControl w:val="0"/>
        <w:numPr>
          <w:ilvl w:val="4"/>
          <w:numId w:val="42"/>
        </w:numPr>
        <w:tabs>
          <w:tab w:val="left" w:pos="1576"/>
        </w:tabs>
        <w:autoSpaceDE w:val="0"/>
        <w:autoSpaceDN w:val="0"/>
        <w:spacing w:before="0" w:after="0" w:line="240" w:lineRule="auto"/>
        <w:ind w:hanging="360"/>
        <w:jc w:val="left"/>
        <w:rPr>
          <w:rFonts w:ascii="Times New Roman" w:hAnsi="Times New Roman" w:cs="Times New Roman"/>
          <w:szCs w:val="22"/>
        </w:rPr>
      </w:pPr>
      <w:r w:rsidRPr="00731F8E">
        <w:rPr>
          <w:rFonts w:ascii="Times New Roman" w:hAnsi="Times New Roman" w:cs="Times New Roman"/>
          <w:szCs w:val="22"/>
        </w:rPr>
        <w:t>The following paragraph has been added to Article 18.</w:t>
      </w:r>
    </w:p>
    <w:p w14:paraId="488F23F3" w14:textId="77777777" w:rsidR="004C0A79" w:rsidRPr="00731F8E" w:rsidRDefault="004C0A79" w:rsidP="004C0A79">
      <w:pPr>
        <w:pStyle w:val="GvdeMetni"/>
        <w:spacing w:before="79"/>
        <w:rPr>
          <w:rFonts w:cs="Times New Roman"/>
          <w:i/>
          <w:szCs w:val="22"/>
        </w:rPr>
      </w:pPr>
    </w:p>
    <w:p w14:paraId="3662F892" w14:textId="77777777" w:rsidR="004C0A79" w:rsidRPr="00731F8E" w:rsidRDefault="004C0A79" w:rsidP="004C0A79">
      <w:pPr>
        <w:pStyle w:val="GvdeMetni"/>
        <w:ind w:left="1554"/>
        <w:rPr>
          <w:rFonts w:cs="Times New Roman"/>
          <w:szCs w:val="22"/>
        </w:rPr>
      </w:pPr>
      <w:r w:rsidRPr="00731F8E">
        <w:rPr>
          <w:rFonts w:cs="Times New Roman"/>
          <w:szCs w:val="22"/>
        </w:rPr>
        <w:t>"(3) Within the scope of the first paragraph of Article 6/B of the YEK Law, Within the scope of the first paragraph of Article 6/B of the YEK Law, in case of using domestic components in the generation facilities that have been put into operation after 30/6/2021 and are not registered with YEKDEM, the relevant settlement period of the said facility is determined pursuant to the President's Decision dated 29/1/2021 and numbered 3453. The local component support price, which is calculated by taking into account the settlement amount, is paid to the relevant person as YEK Fee.</w:t>
      </w:r>
    </w:p>
    <w:p w14:paraId="0DE6C3F9" w14:textId="77777777" w:rsidR="004C0A79" w:rsidRPr="00731F8E" w:rsidRDefault="004C0A79" w:rsidP="004C0A79">
      <w:pPr>
        <w:pStyle w:val="GvdeMetni"/>
        <w:ind w:left="1554"/>
        <w:rPr>
          <w:rFonts w:cs="Times New Roman"/>
          <w:szCs w:val="22"/>
        </w:rPr>
      </w:pPr>
    </w:p>
    <w:p w14:paraId="68F8CD25" w14:textId="77777777" w:rsidR="004C0A79" w:rsidRPr="00731F8E" w:rsidRDefault="004C0A79" w:rsidP="00A86526">
      <w:pPr>
        <w:pStyle w:val="ListeParagraf"/>
        <w:widowControl w:val="0"/>
        <w:numPr>
          <w:ilvl w:val="3"/>
          <w:numId w:val="42"/>
        </w:numPr>
        <w:tabs>
          <w:tab w:val="left" w:pos="854"/>
          <w:tab w:val="left" w:pos="856"/>
        </w:tabs>
        <w:autoSpaceDE w:val="0"/>
        <w:autoSpaceDN w:val="0"/>
        <w:spacing w:before="1" w:after="0"/>
        <w:ind w:right="133" w:hanging="361"/>
        <w:contextualSpacing w:val="0"/>
        <w:rPr>
          <w:rFonts w:ascii="Times New Roman" w:hAnsi="Times New Roman"/>
        </w:rPr>
      </w:pPr>
      <w:r w:rsidRPr="00731F8E">
        <w:rPr>
          <w:rFonts w:ascii="Times New Roman" w:hAnsi="Times New Roman"/>
        </w:rPr>
        <w:t xml:space="preserve">The following sentence has been added to the end of the second paragraph of Article 75 of the </w:t>
      </w:r>
      <w:r w:rsidRPr="00731F8E">
        <w:rPr>
          <w:rFonts w:ascii="Times New Roman" w:hAnsi="Times New Roman"/>
          <w:b/>
        </w:rPr>
        <w:t xml:space="preserve">Electricity Market Balancing and Settlement Regulation </w:t>
      </w:r>
      <w:r w:rsidRPr="00731F8E">
        <w:rPr>
          <w:rFonts w:ascii="Times New Roman" w:hAnsi="Times New Roman"/>
        </w:rPr>
        <w:t>with the Amendment Regulation published in the Official Gazette dated 24.02.2022 and numbered 31760.</w:t>
      </w:r>
    </w:p>
    <w:p w14:paraId="2BE2EC4B" w14:textId="77777777" w:rsidR="004C0A79" w:rsidRPr="00731F8E" w:rsidRDefault="004C0A79" w:rsidP="004C0A79">
      <w:pPr>
        <w:pStyle w:val="GvdeMetni"/>
        <w:spacing w:before="38"/>
        <w:rPr>
          <w:rFonts w:cs="Times New Roman"/>
          <w:i/>
          <w:szCs w:val="22"/>
        </w:rPr>
      </w:pPr>
    </w:p>
    <w:p w14:paraId="3B8FC9A5" w14:textId="77777777" w:rsidR="004C0A79" w:rsidRPr="00731F8E" w:rsidRDefault="004C0A79" w:rsidP="004C0A79">
      <w:pPr>
        <w:pStyle w:val="GvdeMetni"/>
        <w:spacing w:line="276" w:lineRule="auto"/>
        <w:ind w:left="1576" w:right="131"/>
        <w:rPr>
          <w:rFonts w:cs="Times New Roman"/>
          <w:szCs w:val="22"/>
        </w:rPr>
      </w:pPr>
      <w:r w:rsidRPr="00731F8E">
        <w:rPr>
          <w:rFonts w:cs="Times New Roman"/>
          <w:szCs w:val="22"/>
        </w:rPr>
        <w:t>"However, if the arithmetic average price determined for the load input instructions is lower than the market clearing price of the relevant hour or the arithmetic average price determined for the load shedding instructions is higher than the market clearing price of the relevant hour, the market clearing price of the relevant hour is used as the settlement price for the said instructions."</w:t>
      </w:r>
    </w:p>
    <w:p w14:paraId="163794F6" w14:textId="77777777" w:rsidR="004C0A79" w:rsidRPr="00731F8E" w:rsidRDefault="004C0A79" w:rsidP="004C0A79">
      <w:pPr>
        <w:pStyle w:val="GvdeMetni"/>
        <w:spacing w:line="276" w:lineRule="auto"/>
        <w:ind w:left="1576" w:right="131"/>
        <w:rPr>
          <w:rFonts w:cs="Times New Roman"/>
          <w:szCs w:val="22"/>
        </w:rPr>
      </w:pPr>
    </w:p>
    <w:p w14:paraId="6D5A68EC" w14:textId="77777777" w:rsidR="004C0A79" w:rsidRPr="00731F8E" w:rsidRDefault="004C0A79" w:rsidP="004C0A79">
      <w:pPr>
        <w:pStyle w:val="GvdeMetni"/>
        <w:spacing w:line="276" w:lineRule="auto"/>
        <w:ind w:left="1576" w:right="131"/>
        <w:rPr>
          <w:rFonts w:cs="Times New Roman"/>
          <w:szCs w:val="22"/>
        </w:rPr>
      </w:pPr>
    </w:p>
    <w:p w14:paraId="4078117B" w14:textId="77777777" w:rsidR="004C0A79" w:rsidRPr="00731F8E" w:rsidRDefault="004C0A79" w:rsidP="00A86526">
      <w:pPr>
        <w:pStyle w:val="GvdeMetni"/>
        <w:numPr>
          <w:ilvl w:val="0"/>
          <w:numId w:val="43"/>
        </w:numPr>
        <w:autoSpaceDE w:val="0"/>
        <w:autoSpaceDN w:val="0"/>
        <w:spacing w:before="38"/>
        <w:jc w:val="left"/>
        <w:rPr>
          <w:rFonts w:cs="Times New Roman"/>
          <w:i/>
          <w:szCs w:val="22"/>
        </w:rPr>
      </w:pPr>
      <w:r w:rsidRPr="00731F8E">
        <w:rPr>
          <w:rFonts w:cs="Times New Roman"/>
          <w:i/>
          <w:szCs w:val="22"/>
        </w:rPr>
        <w:t xml:space="preserve">The following paragraph has been added to the 13th Article of the Amendment Regulation and </w:t>
      </w:r>
      <w:r w:rsidRPr="00731F8E">
        <w:rPr>
          <w:rFonts w:cs="Times New Roman"/>
          <w:b/>
          <w:i/>
          <w:szCs w:val="22"/>
        </w:rPr>
        <w:t xml:space="preserve">the Regulation on Certification and Support of Renewable Energy </w:t>
      </w:r>
      <w:r w:rsidRPr="00731F8E">
        <w:rPr>
          <w:rFonts w:cs="Times New Roman"/>
          <w:i/>
          <w:szCs w:val="22"/>
        </w:rPr>
        <w:t>Resources published in the Official Gazette dated 01.03.2022 and numbered 31765.</w:t>
      </w:r>
    </w:p>
    <w:p w14:paraId="59437D50" w14:textId="77777777" w:rsidR="004C0A79" w:rsidRPr="00731F8E" w:rsidRDefault="004C0A79" w:rsidP="004C0A79">
      <w:pPr>
        <w:pStyle w:val="GvdeMetni"/>
        <w:spacing w:before="38"/>
        <w:ind w:left="720"/>
        <w:rPr>
          <w:rFonts w:cs="Times New Roman"/>
          <w:i/>
          <w:szCs w:val="22"/>
        </w:rPr>
      </w:pPr>
    </w:p>
    <w:p w14:paraId="0D2B59E8" w14:textId="77777777" w:rsidR="004C0A79" w:rsidRPr="00E07233" w:rsidRDefault="004C0A79" w:rsidP="004C0A79">
      <w:pPr>
        <w:pStyle w:val="GvdeMetni"/>
        <w:spacing w:line="276" w:lineRule="auto"/>
        <w:ind w:left="1576" w:right="131"/>
        <w:rPr>
          <w:rFonts w:cs="Times New Roman"/>
          <w:sz w:val="22"/>
          <w:szCs w:val="22"/>
        </w:rPr>
      </w:pPr>
      <w:r w:rsidRPr="00E07233">
        <w:rPr>
          <w:rFonts w:cs="Times New Roman"/>
          <w:sz w:val="22"/>
          <w:szCs w:val="22"/>
        </w:rPr>
        <w:t>"(4) In the event that YEKDEM revenue in an invoicing period is more than the total amount of YEK, the payment obligation rate (ÖYOi) in the first paragraph shall be calculated by taking into account the settlement draw amounts of the relevant suppliers, to be applied to the consumers whose tariffs are subject to regulation."</w:t>
      </w:r>
    </w:p>
    <w:p w14:paraId="5324C5B6" w14:textId="77777777" w:rsidR="004C0A79" w:rsidRPr="00731F8E" w:rsidRDefault="004C0A79" w:rsidP="004C0A79">
      <w:pPr>
        <w:pStyle w:val="GvdeMetni"/>
        <w:spacing w:before="42"/>
        <w:rPr>
          <w:rFonts w:cs="Times New Roman"/>
          <w:szCs w:val="22"/>
        </w:rPr>
      </w:pPr>
    </w:p>
    <w:p w14:paraId="44C1CC4E" w14:textId="77777777" w:rsidR="004C0A79" w:rsidRPr="00731F8E" w:rsidRDefault="004C0A79" w:rsidP="00A86526">
      <w:pPr>
        <w:pStyle w:val="ListeParagraf"/>
        <w:widowControl w:val="0"/>
        <w:numPr>
          <w:ilvl w:val="3"/>
          <w:numId w:val="42"/>
        </w:numPr>
        <w:tabs>
          <w:tab w:val="left" w:pos="856"/>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 The following clause has been added to the first paragraph of Article 4 of the Amendment Regulation and the Electricity Market License Regulation published in the Official Gazette dated 10.02.2022 and numbered 31746.</w:t>
      </w:r>
    </w:p>
    <w:p w14:paraId="59C7A978" w14:textId="77777777" w:rsidR="004C0A79" w:rsidRPr="00731F8E" w:rsidRDefault="004C0A79" w:rsidP="004C0A79">
      <w:pPr>
        <w:pStyle w:val="GvdeMetni"/>
        <w:spacing w:before="82"/>
        <w:rPr>
          <w:rFonts w:cs="Times New Roman"/>
          <w:b/>
          <w:i/>
          <w:szCs w:val="22"/>
        </w:rPr>
      </w:pPr>
    </w:p>
    <w:p w14:paraId="5BBD5854" w14:textId="77777777" w:rsidR="004C0A79" w:rsidRPr="00E07233" w:rsidRDefault="004C0A79" w:rsidP="004C0A79">
      <w:pPr>
        <w:pStyle w:val="GvdeMetni"/>
        <w:spacing w:before="39" w:line="276" w:lineRule="auto"/>
        <w:ind w:left="1576" w:right="135"/>
        <w:rPr>
          <w:rFonts w:cs="Times New Roman"/>
          <w:sz w:val="22"/>
          <w:szCs w:val="22"/>
        </w:rPr>
      </w:pPr>
      <w:r w:rsidRPr="00731F8E">
        <w:rPr>
          <w:rFonts w:cs="Times New Roman"/>
          <w:szCs w:val="22"/>
        </w:rPr>
        <w:t xml:space="preserve"> </w:t>
      </w:r>
      <w:r w:rsidRPr="00E07233">
        <w:rPr>
          <w:rFonts w:cs="Times New Roman"/>
          <w:sz w:val="22"/>
          <w:szCs w:val="22"/>
        </w:rPr>
        <w:t>“çççç) Trigeneration: Energy generation facilities where electricity generation, heating and cooling processes are simultaneously carried out,”</w:t>
      </w:r>
    </w:p>
    <w:p w14:paraId="09F27266" w14:textId="77777777" w:rsidR="004C0A79" w:rsidRPr="00731F8E" w:rsidRDefault="004C0A79" w:rsidP="004C0A79">
      <w:pPr>
        <w:pStyle w:val="GvdeMetni"/>
        <w:spacing w:before="42"/>
        <w:rPr>
          <w:rFonts w:cs="Times New Roman"/>
          <w:szCs w:val="22"/>
        </w:rPr>
      </w:pPr>
    </w:p>
    <w:p w14:paraId="351B6B67" w14:textId="77777777" w:rsidR="004C0A79" w:rsidRPr="00731F8E" w:rsidRDefault="004C0A79" w:rsidP="00A86526">
      <w:pPr>
        <w:pStyle w:val="ListeParagraf"/>
        <w:widowControl w:val="0"/>
        <w:numPr>
          <w:ilvl w:val="4"/>
          <w:numId w:val="42"/>
        </w:numPr>
        <w:tabs>
          <w:tab w:val="left" w:pos="1576"/>
        </w:tabs>
        <w:autoSpaceDE w:val="0"/>
        <w:autoSpaceDN w:val="0"/>
        <w:spacing w:after="0" w:line="273" w:lineRule="auto"/>
        <w:ind w:right="135" w:hanging="360"/>
        <w:contextualSpacing w:val="0"/>
        <w:rPr>
          <w:rFonts w:ascii="Times New Roman" w:hAnsi="Times New Roman"/>
        </w:rPr>
      </w:pPr>
      <w:r w:rsidRPr="00731F8E">
        <w:rPr>
          <w:rFonts w:ascii="Times New Roman" w:hAnsi="Times New Roman"/>
        </w:rPr>
        <w:t>The phrase "</w:t>
      </w:r>
      <w:r w:rsidRPr="00731F8E">
        <w:rPr>
          <w:rFonts w:ascii="Times New Roman" w:hAnsi="Times New Roman"/>
          <w:i/>
        </w:rPr>
        <w:t>and trigeneration</w:t>
      </w:r>
      <w:r w:rsidRPr="00731F8E">
        <w:rPr>
          <w:rFonts w:ascii="Times New Roman" w:hAnsi="Times New Roman"/>
        </w:rPr>
        <w:t xml:space="preserve">" has been added after the phrase </w:t>
      </w:r>
      <w:r w:rsidRPr="00731F8E">
        <w:rPr>
          <w:rFonts w:ascii="Times New Roman" w:hAnsi="Times New Roman"/>
          <w:i/>
        </w:rPr>
        <w:t xml:space="preserve">"cogeneration" </w:t>
      </w:r>
      <w:r w:rsidRPr="00731F8E">
        <w:rPr>
          <w:rFonts w:ascii="Times New Roman" w:hAnsi="Times New Roman"/>
        </w:rPr>
        <w:t>in clause (ç) of the first paragraph of Article 7.</w:t>
      </w:r>
    </w:p>
    <w:p w14:paraId="77F418AB" w14:textId="77777777" w:rsidR="004C0A79" w:rsidRPr="00731F8E" w:rsidRDefault="004C0A79" w:rsidP="004C0A79">
      <w:pPr>
        <w:pStyle w:val="GvdeMetni"/>
        <w:spacing w:before="46"/>
        <w:rPr>
          <w:rFonts w:cs="Times New Roman"/>
          <w:i/>
          <w:szCs w:val="22"/>
        </w:rPr>
      </w:pPr>
    </w:p>
    <w:p w14:paraId="6A63588C"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3" w:hanging="360"/>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 xml:space="preserve">“After the generation license is obtained” </w:t>
      </w:r>
      <w:r w:rsidRPr="00731F8E">
        <w:rPr>
          <w:rFonts w:ascii="Times New Roman" w:hAnsi="Times New Roman"/>
        </w:rPr>
        <w:t xml:space="preserve">in the fourth paragraph of Article 14 has been changed as </w:t>
      </w:r>
      <w:r w:rsidRPr="00731F8E">
        <w:rPr>
          <w:rFonts w:ascii="Times New Roman" w:hAnsi="Times New Roman"/>
          <w:i/>
        </w:rPr>
        <w:t>“After the generation license is obtained at the wind energy-based generation facilities”</w:t>
      </w:r>
      <w:r w:rsidRPr="00731F8E">
        <w:rPr>
          <w:rFonts w:ascii="Times New Roman" w:hAnsi="Times New Roman"/>
        </w:rPr>
        <w:t>.</w:t>
      </w:r>
    </w:p>
    <w:p w14:paraId="0048D997" w14:textId="77777777" w:rsidR="004C0A79" w:rsidRPr="00731F8E" w:rsidRDefault="004C0A79" w:rsidP="004C0A79">
      <w:pPr>
        <w:pStyle w:val="GvdeMetni"/>
        <w:spacing w:before="38"/>
        <w:rPr>
          <w:rFonts w:cs="Times New Roman"/>
          <w:i/>
          <w:szCs w:val="22"/>
        </w:rPr>
      </w:pPr>
    </w:p>
    <w:p w14:paraId="05D02A76"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following paragraph has been added to Article 15.</w:t>
      </w:r>
    </w:p>
    <w:p w14:paraId="1DF9919D" w14:textId="77777777" w:rsidR="004C0A79" w:rsidRPr="00731F8E" w:rsidRDefault="004C0A79" w:rsidP="004C0A79">
      <w:pPr>
        <w:pStyle w:val="GvdeMetni"/>
        <w:spacing w:before="82"/>
        <w:rPr>
          <w:rFonts w:cs="Times New Roman"/>
          <w:i/>
          <w:szCs w:val="22"/>
        </w:rPr>
      </w:pPr>
    </w:p>
    <w:p w14:paraId="0A540459" w14:textId="77777777" w:rsidR="004C0A79" w:rsidRPr="00E07233" w:rsidRDefault="004C0A79" w:rsidP="004C0A79">
      <w:pPr>
        <w:pStyle w:val="GvdeMetni"/>
        <w:spacing w:line="276" w:lineRule="auto"/>
        <w:ind w:left="1575" w:right="133"/>
        <w:rPr>
          <w:rFonts w:cs="Times New Roman"/>
          <w:sz w:val="22"/>
          <w:szCs w:val="22"/>
        </w:rPr>
      </w:pPr>
      <w:r w:rsidRPr="00E07233">
        <w:rPr>
          <w:rFonts w:cs="Times New Roman"/>
          <w:sz w:val="22"/>
          <w:szCs w:val="22"/>
        </w:rPr>
        <w:t xml:space="preserve">"(8) In the electricity generation facility planned to be established within the scope of the preliminary license application, if an electricity storage unit integrated into the generation facility is also desired, TEİAŞ shall be asked for its opinion on the </w:t>
      </w:r>
      <w:r w:rsidRPr="00E07233">
        <w:rPr>
          <w:rFonts w:cs="Times New Roman"/>
          <w:sz w:val="22"/>
          <w:szCs w:val="22"/>
        </w:rPr>
        <w:lastRenderedPageBreak/>
        <w:t>compliance of the electricity storage unit with the necessary technical criteria."</w:t>
      </w:r>
    </w:p>
    <w:p w14:paraId="5437827D" w14:textId="77777777" w:rsidR="004C0A79" w:rsidRPr="00731F8E" w:rsidRDefault="004C0A79" w:rsidP="004C0A79">
      <w:pPr>
        <w:pStyle w:val="GvdeMetni"/>
        <w:spacing w:before="39"/>
        <w:rPr>
          <w:rFonts w:cs="Times New Roman"/>
          <w:szCs w:val="22"/>
        </w:rPr>
      </w:pPr>
    </w:p>
    <w:p w14:paraId="7095E7C9"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Clause (c) of the first paragraph of Article 17 has been amended as follows.</w:t>
      </w:r>
    </w:p>
    <w:p w14:paraId="41EA019B" w14:textId="77777777" w:rsidR="004C0A79" w:rsidRPr="00731F8E" w:rsidRDefault="004C0A79" w:rsidP="004C0A79">
      <w:pPr>
        <w:pStyle w:val="GvdeMetni"/>
        <w:spacing w:before="26"/>
        <w:ind w:left="1576"/>
        <w:rPr>
          <w:rFonts w:cs="Times New Roman"/>
          <w:szCs w:val="22"/>
        </w:rPr>
      </w:pPr>
      <w:r w:rsidRPr="00731F8E">
        <w:rPr>
          <w:rFonts w:cs="Times New Roman"/>
          <w:szCs w:val="22"/>
        </w:rPr>
        <w:t>"c) Obtaining preliminary project or final project approval for the generation facility."</w:t>
      </w:r>
    </w:p>
    <w:p w14:paraId="494C6D40" w14:textId="77777777" w:rsidR="004C0A79" w:rsidRPr="00731F8E" w:rsidRDefault="004C0A79" w:rsidP="004C0A79">
      <w:pPr>
        <w:pStyle w:val="GvdeMetni"/>
        <w:spacing w:before="80"/>
        <w:rPr>
          <w:rFonts w:cs="Times New Roman"/>
          <w:szCs w:val="22"/>
        </w:rPr>
      </w:pPr>
    </w:p>
    <w:p w14:paraId="14081734"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following clause has been added to the thirteenth paragraph of Article 18.</w:t>
      </w:r>
    </w:p>
    <w:p w14:paraId="156EEF66" w14:textId="77777777" w:rsidR="004C0A79" w:rsidRPr="00731F8E" w:rsidRDefault="004C0A79" w:rsidP="004C0A79">
      <w:pPr>
        <w:pStyle w:val="GvdeMetni"/>
        <w:spacing w:before="82"/>
        <w:rPr>
          <w:rFonts w:cs="Times New Roman"/>
          <w:i/>
          <w:szCs w:val="22"/>
        </w:rPr>
      </w:pPr>
    </w:p>
    <w:p w14:paraId="5BE2D6CC" w14:textId="77777777" w:rsidR="004C0A79" w:rsidRPr="00731F8E" w:rsidRDefault="004C0A79" w:rsidP="004C0A79">
      <w:pPr>
        <w:pStyle w:val="GvdeMetni"/>
        <w:spacing w:line="276" w:lineRule="auto"/>
        <w:ind w:left="1576" w:right="135"/>
        <w:rPr>
          <w:rFonts w:cs="Times New Roman"/>
          <w:szCs w:val="22"/>
        </w:rPr>
      </w:pPr>
      <w:r w:rsidRPr="00731F8E">
        <w:rPr>
          <w:rFonts w:cs="Times New Roman"/>
          <w:szCs w:val="22"/>
        </w:rPr>
        <w:t>“d) Obtaining the opinion of TEİAŞ on the compliance of the said electricity storage unit with the necessary technical criteria,”</w:t>
      </w:r>
    </w:p>
    <w:p w14:paraId="28573989" w14:textId="77777777" w:rsidR="004C0A79" w:rsidRPr="00731F8E" w:rsidRDefault="004C0A79" w:rsidP="004C0A79">
      <w:pPr>
        <w:pStyle w:val="GvdeMetni"/>
        <w:spacing w:before="40"/>
        <w:rPr>
          <w:rFonts w:cs="Times New Roman"/>
          <w:szCs w:val="22"/>
        </w:rPr>
      </w:pPr>
    </w:p>
    <w:p w14:paraId="3547060D" w14:textId="77777777" w:rsidR="004C0A79" w:rsidRPr="00731F8E" w:rsidRDefault="004C0A79" w:rsidP="00A86526">
      <w:pPr>
        <w:pStyle w:val="Balk2"/>
        <w:keepNext w:val="0"/>
        <w:keepLines w:val="0"/>
        <w:widowControl w:val="0"/>
        <w:numPr>
          <w:ilvl w:val="4"/>
          <w:numId w:val="42"/>
        </w:numPr>
        <w:tabs>
          <w:tab w:val="left" w:pos="1576"/>
        </w:tabs>
        <w:autoSpaceDE w:val="0"/>
        <w:autoSpaceDN w:val="0"/>
        <w:spacing w:before="0" w:after="0"/>
        <w:ind w:right="133" w:hanging="360"/>
        <w:rPr>
          <w:rFonts w:ascii="Times New Roman" w:hAnsi="Times New Roman" w:cs="Times New Roman"/>
          <w:szCs w:val="22"/>
        </w:rPr>
      </w:pPr>
      <w:r w:rsidRPr="00731F8E">
        <w:rPr>
          <w:rFonts w:ascii="Times New Roman" w:hAnsi="Times New Roman" w:cs="Times New Roman"/>
          <w:szCs w:val="22"/>
        </w:rPr>
        <w:t>Clause (ç) of the fourth paragraph of Article 20 has been amended as follows, the following clause has been added to the same paragraph, and the phrase "</w:t>
      </w:r>
      <w:r w:rsidRPr="00731F8E">
        <w:rPr>
          <w:rFonts w:ascii="Times New Roman" w:hAnsi="Times New Roman" w:cs="Times New Roman"/>
          <w:i/>
          <w:szCs w:val="22"/>
        </w:rPr>
        <w:t>mechanical power exceeding 100 MW</w:t>
      </w:r>
      <w:r w:rsidRPr="00731F8E">
        <w:rPr>
          <w:rFonts w:ascii="Times New Roman" w:hAnsi="Times New Roman" w:cs="Times New Roman"/>
          <w:szCs w:val="22"/>
        </w:rPr>
        <w:t xml:space="preserve"> </w:t>
      </w:r>
      <w:r w:rsidRPr="00731F8E">
        <w:rPr>
          <w:rFonts w:ascii="Times New Roman" w:hAnsi="Times New Roman" w:cs="Times New Roman"/>
          <w:i/>
          <w:szCs w:val="22"/>
        </w:rPr>
        <w:t xml:space="preserve">" has been added to come after the phrase "based on domestic coal or" </w:t>
      </w:r>
      <w:r w:rsidRPr="00731F8E">
        <w:rPr>
          <w:rFonts w:ascii="Times New Roman" w:hAnsi="Times New Roman" w:cs="Times New Roman"/>
          <w:szCs w:val="22"/>
        </w:rPr>
        <w:t>in clause (d) of the sixth paragraph of the same article.</w:t>
      </w:r>
    </w:p>
    <w:p w14:paraId="00BFECEE" w14:textId="77777777" w:rsidR="004C0A79" w:rsidRPr="00E07233" w:rsidRDefault="004C0A79" w:rsidP="004C0A79">
      <w:pPr>
        <w:pStyle w:val="GvdeMetni"/>
        <w:spacing w:before="39"/>
        <w:rPr>
          <w:rFonts w:cs="Times New Roman"/>
          <w:i/>
          <w:sz w:val="22"/>
          <w:szCs w:val="22"/>
        </w:rPr>
      </w:pPr>
    </w:p>
    <w:p w14:paraId="5DF10F85" w14:textId="77777777" w:rsidR="004C0A79" w:rsidRPr="00E07233" w:rsidRDefault="004C0A79" w:rsidP="004C0A79">
      <w:pPr>
        <w:pStyle w:val="GvdeMetni"/>
        <w:spacing w:line="276" w:lineRule="auto"/>
        <w:ind w:left="1576" w:right="132"/>
        <w:rPr>
          <w:rFonts w:cs="Times New Roman"/>
          <w:sz w:val="22"/>
          <w:szCs w:val="22"/>
        </w:rPr>
      </w:pPr>
      <w:r w:rsidRPr="00E07233">
        <w:rPr>
          <w:rFonts w:cs="Times New Roman"/>
          <w:sz w:val="22"/>
          <w:szCs w:val="22"/>
        </w:rPr>
        <w:t>"ç) Legal entities applying for a supply license, if they want to add an independent electricity storage facility to their licenses, shall apply to the Authority as specified in the first paragraph. If an application is made within this scope, the provision of the second paragraph of Article 15 shall apply to the connection of the said detached electricity storage facility to the system and the use of the system. Capital adequacy and collateral obligation are not required for the facility within this scope. If the request is approved by the Board, if the decision required within the scope of the Environmental Impact Assessment Regulation is submitted to the Authority within the period determined by the Board decision, the information regarding the storage facility is included in the supply license by the relevant main service unit.”</w:t>
      </w:r>
    </w:p>
    <w:p w14:paraId="03ED4FD7" w14:textId="77777777" w:rsidR="004C0A79" w:rsidRPr="00E07233" w:rsidRDefault="004C0A79" w:rsidP="004C0A79">
      <w:pPr>
        <w:pStyle w:val="GvdeMetni"/>
        <w:spacing w:before="40"/>
        <w:rPr>
          <w:rFonts w:cs="Times New Roman"/>
          <w:sz w:val="22"/>
          <w:szCs w:val="22"/>
        </w:rPr>
      </w:pPr>
    </w:p>
    <w:p w14:paraId="421CA6F9" w14:textId="77777777" w:rsidR="004C0A79" w:rsidRPr="00E07233" w:rsidRDefault="004C0A79" w:rsidP="004C0A79">
      <w:pPr>
        <w:pStyle w:val="GvdeMetni"/>
        <w:spacing w:line="276" w:lineRule="auto"/>
        <w:ind w:left="1576" w:right="133"/>
        <w:rPr>
          <w:rFonts w:cs="Times New Roman"/>
          <w:sz w:val="22"/>
          <w:szCs w:val="22"/>
        </w:rPr>
      </w:pPr>
      <w:r w:rsidRPr="00E07233">
        <w:rPr>
          <w:rFonts w:cs="Times New Roman"/>
          <w:sz w:val="22"/>
          <w:szCs w:val="22"/>
        </w:rPr>
        <w:t>"d) In the applications for the supply license made for the purpose of establishing a stand-alone electricity storage facility, an opinion is requested from TEİAŞ on the compliance of the storage facility with the necessary technical criteria.”</w:t>
      </w:r>
    </w:p>
    <w:p w14:paraId="603E7D51" w14:textId="77777777" w:rsidR="004C0A79" w:rsidRPr="00731F8E" w:rsidRDefault="004C0A79" w:rsidP="004C0A79">
      <w:pPr>
        <w:pStyle w:val="GvdeMetni"/>
        <w:spacing w:before="41"/>
        <w:rPr>
          <w:rFonts w:cs="Times New Roman"/>
          <w:szCs w:val="22"/>
        </w:rPr>
      </w:pPr>
    </w:p>
    <w:p w14:paraId="585A649D" w14:textId="77777777" w:rsidR="004C0A79" w:rsidRPr="00E07233" w:rsidRDefault="004C0A79" w:rsidP="00A86526">
      <w:pPr>
        <w:pStyle w:val="Balk2"/>
        <w:keepNext w:val="0"/>
        <w:keepLines w:val="0"/>
        <w:widowControl w:val="0"/>
        <w:numPr>
          <w:ilvl w:val="4"/>
          <w:numId w:val="42"/>
        </w:numPr>
        <w:tabs>
          <w:tab w:val="left" w:pos="1576"/>
        </w:tabs>
        <w:autoSpaceDE w:val="0"/>
        <w:autoSpaceDN w:val="0"/>
        <w:spacing w:before="0" w:after="0"/>
        <w:ind w:right="133" w:hanging="360"/>
        <w:rPr>
          <w:rFonts w:ascii="Times New Roman" w:hAnsi="Times New Roman" w:cs="Times New Roman"/>
          <w:b w:val="0"/>
          <w:szCs w:val="22"/>
        </w:rPr>
      </w:pPr>
      <w:r w:rsidRPr="00E07233">
        <w:rPr>
          <w:rFonts w:ascii="Times New Roman" w:hAnsi="Times New Roman" w:cs="Times New Roman"/>
          <w:b w:val="0"/>
          <w:szCs w:val="22"/>
        </w:rPr>
        <w:t>The ninth paragraph of Article 24 has been amended as follows, the following clause has been added to the eighteenth paragraph of the same article and the following paragraph has been added to the same article.</w:t>
      </w:r>
    </w:p>
    <w:p w14:paraId="1ED2D339" w14:textId="77777777" w:rsidR="004C0A79" w:rsidRPr="00731F8E" w:rsidRDefault="004C0A79" w:rsidP="004C0A79">
      <w:pPr>
        <w:pStyle w:val="GvdeMetni"/>
        <w:spacing w:before="40"/>
        <w:rPr>
          <w:rFonts w:cs="Times New Roman"/>
          <w:i/>
          <w:szCs w:val="22"/>
        </w:rPr>
      </w:pPr>
    </w:p>
    <w:p w14:paraId="18FDF2AC" w14:textId="77777777" w:rsidR="004C0A79" w:rsidRPr="00E07233" w:rsidRDefault="004C0A79" w:rsidP="004C0A79">
      <w:pPr>
        <w:pStyle w:val="GvdeMetni"/>
        <w:spacing w:line="276" w:lineRule="auto"/>
        <w:ind w:left="1576" w:right="132"/>
        <w:rPr>
          <w:rFonts w:cs="Times New Roman"/>
          <w:sz w:val="22"/>
          <w:szCs w:val="22"/>
        </w:rPr>
      </w:pPr>
      <w:r w:rsidRPr="00E07233">
        <w:rPr>
          <w:rFonts w:cs="Times New Roman"/>
          <w:sz w:val="22"/>
          <w:szCs w:val="22"/>
        </w:rPr>
        <w:t xml:space="preserve">"(9) In the event that the generation facility site subject to the generation license is desired to be changed and it is determined that this situation is within the scope of force majeure or circumstances deemed appropriate by the Board, in the event that the requested change does not lead to violation of rights regarding third parties, the connection point or connection zone does not change and the appropriate opinion of DSI is obtained for facilities based on hydraulic resources, and the technical evaluation made by the General Directorate of Energy Affairs for facilities based on wind or solar energy is deemed appropriate, necessary amendments can be made to the said license. No announcement shall be made for the sites where the ownership of the entire project site subject to the application belongs to the relevant legal entity and the power plant sites where the facility site related to the projects where the municipal wastes will be used as a resource is owned by the relevant municipality and where the municipal wastes are allocated to the legal entity with the usage rights as the power plant site. Provided that a part of the power plant area remains in the same area, the total size of the power plant area does not change, the Board determines that the reason for the </w:t>
      </w:r>
      <w:r w:rsidRPr="00E07233">
        <w:rPr>
          <w:rFonts w:cs="Times New Roman"/>
          <w:sz w:val="22"/>
          <w:szCs w:val="22"/>
        </w:rPr>
        <w:lastRenderedPageBreak/>
        <w:t>amendment request is within the scope of force majeure and the said facility is partially or completely in operation, a technical evaluation condition is not sought for wind energy-based facilities.</w:t>
      </w:r>
    </w:p>
    <w:p w14:paraId="61537677" w14:textId="77777777" w:rsidR="004C0A79" w:rsidRPr="00E07233" w:rsidRDefault="004C0A79" w:rsidP="004C0A79">
      <w:pPr>
        <w:pStyle w:val="GvdeMetni"/>
        <w:spacing w:before="37" w:line="276" w:lineRule="auto"/>
        <w:ind w:left="1576" w:right="133"/>
        <w:rPr>
          <w:rFonts w:cs="Times New Roman"/>
          <w:sz w:val="22"/>
          <w:szCs w:val="22"/>
        </w:rPr>
      </w:pPr>
      <w:r w:rsidRPr="00E07233">
        <w:rPr>
          <w:rFonts w:cs="Times New Roman"/>
          <w:sz w:val="22"/>
          <w:szCs w:val="22"/>
        </w:rPr>
        <w:t>However, for the change in the power plant site, the opinion of the General Directorate of Energy Affairs is taken regarding the intersection/overlap and the interaction status of the turbines in the neighboring sites. "</w:t>
      </w:r>
    </w:p>
    <w:p w14:paraId="59F4A618" w14:textId="77777777" w:rsidR="004C0A79" w:rsidRPr="00E07233" w:rsidRDefault="004C0A79" w:rsidP="004C0A79">
      <w:pPr>
        <w:pStyle w:val="GvdeMetni"/>
        <w:spacing w:before="41"/>
        <w:rPr>
          <w:rFonts w:cs="Times New Roman"/>
          <w:sz w:val="22"/>
          <w:szCs w:val="22"/>
        </w:rPr>
      </w:pPr>
    </w:p>
    <w:p w14:paraId="1994D205" w14:textId="77777777" w:rsidR="004C0A79" w:rsidRPr="00E07233" w:rsidRDefault="004C0A79" w:rsidP="004C0A79">
      <w:pPr>
        <w:pStyle w:val="GvdeMetni"/>
        <w:spacing w:line="276" w:lineRule="auto"/>
        <w:ind w:left="1576" w:right="135"/>
        <w:rPr>
          <w:rFonts w:cs="Times New Roman"/>
          <w:sz w:val="22"/>
          <w:szCs w:val="22"/>
        </w:rPr>
      </w:pPr>
      <w:r w:rsidRPr="00E07233">
        <w:rPr>
          <w:rFonts w:cs="Times New Roman"/>
          <w:sz w:val="22"/>
          <w:szCs w:val="22"/>
        </w:rPr>
        <w:t>“d) Obtaining the opinion of TEİAŞ on the compliance of the said electricity storage unit with the necessary technical criteria,”</w:t>
      </w:r>
    </w:p>
    <w:p w14:paraId="7D49C17C" w14:textId="77777777" w:rsidR="004C0A79" w:rsidRPr="00E07233" w:rsidRDefault="004C0A79" w:rsidP="004C0A79">
      <w:pPr>
        <w:pStyle w:val="GvdeMetni"/>
        <w:spacing w:before="40"/>
        <w:rPr>
          <w:rFonts w:cs="Times New Roman"/>
          <w:sz w:val="22"/>
          <w:szCs w:val="22"/>
        </w:rPr>
      </w:pPr>
    </w:p>
    <w:p w14:paraId="1190B0AE" w14:textId="77777777" w:rsidR="004C0A79" w:rsidRPr="00E07233" w:rsidRDefault="004C0A79" w:rsidP="004C0A79">
      <w:pPr>
        <w:pStyle w:val="GvdeMetni"/>
        <w:spacing w:line="276" w:lineRule="auto"/>
        <w:ind w:left="1576" w:right="134"/>
        <w:rPr>
          <w:rFonts w:cs="Times New Roman"/>
          <w:sz w:val="22"/>
          <w:szCs w:val="22"/>
        </w:rPr>
      </w:pPr>
      <w:r w:rsidRPr="00E07233">
        <w:rPr>
          <w:rFonts w:cs="Times New Roman"/>
          <w:sz w:val="22"/>
          <w:szCs w:val="22"/>
        </w:rPr>
        <w:t>"(20) In the license amendment applications made within the scope of adding a stand-alone electricity storage facility to the existing supply license, an opinion is requested from TEIAS on the compliance of the storage facility with the necessary technical criteria."</w:t>
      </w:r>
    </w:p>
    <w:p w14:paraId="76D6B5C9" w14:textId="77777777" w:rsidR="004C0A79" w:rsidRPr="00731F8E" w:rsidRDefault="004C0A79" w:rsidP="004C0A79">
      <w:pPr>
        <w:pStyle w:val="GvdeMetni"/>
        <w:spacing w:before="41"/>
        <w:rPr>
          <w:rFonts w:cs="Times New Roman"/>
          <w:szCs w:val="22"/>
        </w:rPr>
      </w:pPr>
    </w:p>
    <w:p w14:paraId="2608D12A"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Clause (b) of the first paragraph of Article 26 has been amended as follows.</w:t>
      </w:r>
    </w:p>
    <w:p w14:paraId="3B4CF686" w14:textId="77777777" w:rsidR="004C0A79" w:rsidRPr="00E07233" w:rsidRDefault="004C0A79" w:rsidP="004C0A79">
      <w:pPr>
        <w:pStyle w:val="GvdeMetni"/>
        <w:spacing w:before="79"/>
        <w:rPr>
          <w:rFonts w:cs="Times New Roman"/>
          <w:i/>
          <w:sz w:val="22"/>
          <w:szCs w:val="22"/>
        </w:rPr>
      </w:pPr>
    </w:p>
    <w:p w14:paraId="129A4A59" w14:textId="77777777" w:rsidR="004C0A79" w:rsidRPr="00E07233" w:rsidRDefault="004C0A79" w:rsidP="004C0A79">
      <w:pPr>
        <w:pStyle w:val="GvdeMetni"/>
        <w:spacing w:line="276" w:lineRule="auto"/>
        <w:ind w:left="1576" w:right="134"/>
        <w:rPr>
          <w:rFonts w:cs="Times New Roman"/>
          <w:sz w:val="22"/>
          <w:szCs w:val="22"/>
        </w:rPr>
      </w:pPr>
      <w:r w:rsidRPr="00E07233">
        <w:rPr>
          <w:rFonts w:cs="Times New Roman"/>
          <w:sz w:val="22"/>
          <w:szCs w:val="22"/>
        </w:rPr>
        <w:t>"b) In the event that it is determined that the sale of the generation facility has been finalized as a result of the bankruptcy or enforcement proceedings of the licensee legal person, and in the event that the licensee's request or the conditions for granting the license are lost, by the decision of the Board,"</w:t>
      </w:r>
    </w:p>
    <w:p w14:paraId="4422FFBD" w14:textId="77777777" w:rsidR="004C0A79" w:rsidRPr="00731F8E" w:rsidRDefault="004C0A79" w:rsidP="004C0A79">
      <w:pPr>
        <w:pStyle w:val="GvdeMetni"/>
        <w:spacing w:before="41"/>
        <w:rPr>
          <w:rFonts w:cs="Times New Roman"/>
          <w:szCs w:val="22"/>
        </w:rPr>
      </w:pPr>
    </w:p>
    <w:p w14:paraId="0DB9D379"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4" w:hanging="360"/>
        <w:contextualSpacing w:val="0"/>
        <w:rPr>
          <w:rFonts w:ascii="Times New Roman" w:hAnsi="Times New Roman"/>
        </w:rPr>
      </w:pPr>
      <w:r w:rsidRPr="00731F8E">
        <w:rPr>
          <w:rFonts w:ascii="Times New Roman" w:hAnsi="Times New Roman"/>
        </w:rPr>
        <w:t>The phrase "total installed capacity of the facility included in the license</w:t>
      </w:r>
      <w:r w:rsidRPr="00731F8E">
        <w:rPr>
          <w:rFonts w:ascii="Times New Roman" w:hAnsi="Times New Roman"/>
          <w:i/>
        </w:rPr>
        <w:t xml:space="preserve">" has been added after the phrase "Generation facility" </w:t>
      </w:r>
      <w:r w:rsidRPr="00731F8E">
        <w:rPr>
          <w:rFonts w:ascii="Times New Roman" w:hAnsi="Times New Roman"/>
        </w:rPr>
        <w:t xml:space="preserve"> </w:t>
      </w:r>
      <w:r w:rsidRPr="00731F8E">
        <w:rPr>
          <w:rFonts w:ascii="Times New Roman" w:hAnsi="Times New Roman"/>
          <w:i/>
        </w:rPr>
        <w:t>in clause (ç) of the second paragraph of Article 30, the phrase "</w:t>
      </w:r>
      <w:r w:rsidRPr="00731F8E">
        <w:rPr>
          <w:rFonts w:ascii="Times New Roman" w:hAnsi="Times New Roman"/>
        </w:rPr>
        <w:t xml:space="preserve"> </w:t>
      </w:r>
      <w:r w:rsidRPr="00731F8E">
        <w:rPr>
          <w:rFonts w:ascii="Times New Roman" w:hAnsi="Times New Roman"/>
          <w:i/>
        </w:rPr>
        <w:t xml:space="preserve">temporary" </w:t>
      </w:r>
      <w:r w:rsidRPr="00731F8E">
        <w:rPr>
          <w:rFonts w:ascii="Times New Roman" w:hAnsi="Times New Roman"/>
        </w:rPr>
        <w:t>in the same paragraph has been repealed, and clause (e) of the same paragraph has been amended as follows and the following clauses have been added to the same paragraph.</w:t>
      </w:r>
    </w:p>
    <w:p w14:paraId="2CF28C52" w14:textId="77777777" w:rsidR="004C0A79" w:rsidRPr="00731F8E" w:rsidRDefault="004C0A79" w:rsidP="004C0A79">
      <w:pPr>
        <w:pStyle w:val="GvdeMetni"/>
        <w:spacing w:before="40"/>
        <w:rPr>
          <w:rFonts w:cs="Times New Roman"/>
          <w:i/>
          <w:szCs w:val="22"/>
        </w:rPr>
      </w:pPr>
    </w:p>
    <w:p w14:paraId="6FFDE494" w14:textId="77777777" w:rsidR="004C0A79" w:rsidRPr="00E07233" w:rsidRDefault="004C0A79" w:rsidP="004C0A79">
      <w:pPr>
        <w:pStyle w:val="GvdeMetni"/>
        <w:spacing w:line="276" w:lineRule="auto"/>
        <w:ind w:left="1576" w:right="131"/>
        <w:rPr>
          <w:rFonts w:cs="Times New Roman"/>
          <w:sz w:val="22"/>
          <w:szCs w:val="22"/>
        </w:rPr>
      </w:pPr>
      <w:r w:rsidRPr="00E07233">
        <w:rPr>
          <w:rFonts w:cs="Times New Roman"/>
          <w:sz w:val="22"/>
          <w:szCs w:val="22"/>
        </w:rPr>
        <w:t>"e) Legal entities holding a wind energy generation license; when requested by the Ministry of National Defense and/or the Ministry of Interior and/or MIT Presidency in cases of crisis, tension and war; To fulfill the requested measures regarding the systems operated under the responsibility of the Ministry of National Defense and/or the Ministry of Interior and/or the MIT Presidency, and wind turbines that have been found to have an impact on the Communication, Navigation and Radar Systems.”</w:t>
      </w:r>
    </w:p>
    <w:p w14:paraId="7A36E3D8" w14:textId="77777777" w:rsidR="004C0A79" w:rsidRPr="00E07233" w:rsidRDefault="004C0A79" w:rsidP="004C0A79">
      <w:pPr>
        <w:pStyle w:val="GvdeMetni"/>
        <w:spacing w:before="40"/>
        <w:rPr>
          <w:rFonts w:cs="Times New Roman"/>
          <w:sz w:val="22"/>
          <w:szCs w:val="22"/>
        </w:rPr>
      </w:pPr>
    </w:p>
    <w:p w14:paraId="26CFCCD5" w14:textId="77777777" w:rsidR="004C0A79" w:rsidRPr="00E07233" w:rsidRDefault="004C0A79" w:rsidP="004C0A79">
      <w:pPr>
        <w:pStyle w:val="GvdeMetni"/>
        <w:spacing w:line="276" w:lineRule="auto"/>
        <w:ind w:left="1576" w:right="133"/>
        <w:rPr>
          <w:rFonts w:cs="Times New Roman"/>
          <w:sz w:val="22"/>
          <w:szCs w:val="22"/>
        </w:rPr>
      </w:pPr>
      <w:r w:rsidRPr="00E07233">
        <w:rPr>
          <w:rFonts w:cs="Times New Roman"/>
          <w:sz w:val="22"/>
          <w:szCs w:val="22"/>
        </w:rPr>
        <w:t>"h) Legal entities holding licenses for biomass-based electricity generation facilities that have been accepted and put into operation, to submit the document required to be obtained from the Ministry of Environment, Urbanization and Climate Change within the scope of the Environmental Permit and License Regulation published in the Official Gazette dated 10/9/2014 and numbered 29115 to the Authority within twenty-four months from the date of acceptance,</w:t>
      </w:r>
    </w:p>
    <w:p w14:paraId="0CF1C87F" w14:textId="77777777" w:rsidR="004C0A79" w:rsidRPr="00E07233" w:rsidRDefault="004C0A79" w:rsidP="004C0A79">
      <w:pPr>
        <w:pStyle w:val="GvdeMetni"/>
        <w:spacing w:before="40"/>
        <w:rPr>
          <w:rFonts w:cs="Times New Roman"/>
          <w:sz w:val="22"/>
          <w:szCs w:val="22"/>
        </w:rPr>
      </w:pPr>
    </w:p>
    <w:p w14:paraId="32A55DB2" w14:textId="77777777" w:rsidR="004C0A79" w:rsidRPr="00E07233" w:rsidRDefault="004C0A79" w:rsidP="004C0A79">
      <w:pPr>
        <w:pStyle w:val="GvdeMetni"/>
        <w:spacing w:line="276" w:lineRule="auto"/>
        <w:ind w:left="1576" w:right="132"/>
        <w:rPr>
          <w:rFonts w:cs="Times New Roman"/>
          <w:sz w:val="22"/>
          <w:szCs w:val="22"/>
        </w:rPr>
      </w:pPr>
      <w:r w:rsidRPr="00E07233">
        <w:rPr>
          <w:rFonts w:cs="Times New Roman"/>
          <w:sz w:val="22"/>
          <w:szCs w:val="22"/>
        </w:rPr>
        <w:t>ı) To notify the Authority within one month at the latest of the withdrawal, removal, termination, suspension or cancellation of the necessary permits, approvals, licenses and the like, which are the basis for granting a license,</w:t>
      </w:r>
    </w:p>
    <w:p w14:paraId="0D0839ED" w14:textId="77777777" w:rsidR="004C0A79" w:rsidRPr="00731F8E" w:rsidRDefault="004C0A79" w:rsidP="004C0A79">
      <w:pPr>
        <w:pStyle w:val="GvdeMetni"/>
        <w:spacing w:before="38"/>
        <w:rPr>
          <w:rFonts w:cs="Times New Roman"/>
          <w:szCs w:val="22"/>
        </w:rPr>
      </w:pPr>
    </w:p>
    <w:p w14:paraId="0FA2FEC9" w14:textId="77777777" w:rsidR="004C0A79" w:rsidRPr="00731F8E" w:rsidRDefault="004C0A79" w:rsidP="00A86526">
      <w:pPr>
        <w:pStyle w:val="ListeParagraf"/>
        <w:widowControl w:val="0"/>
        <w:numPr>
          <w:ilvl w:val="4"/>
          <w:numId w:val="42"/>
        </w:numPr>
        <w:tabs>
          <w:tab w:val="left" w:pos="1576"/>
        </w:tabs>
        <w:autoSpaceDE w:val="0"/>
        <w:autoSpaceDN w:val="0"/>
        <w:spacing w:before="1" w:after="0"/>
        <w:ind w:right="133" w:hanging="360"/>
        <w:contextualSpacing w:val="0"/>
        <w:rPr>
          <w:rFonts w:ascii="Times New Roman" w:hAnsi="Times New Roman"/>
        </w:rPr>
      </w:pPr>
      <w:r w:rsidRPr="00731F8E">
        <w:rPr>
          <w:rFonts w:ascii="Times New Roman" w:hAnsi="Times New Roman"/>
        </w:rPr>
        <w:t>The phrase “</w:t>
      </w:r>
      <w:r w:rsidRPr="00731F8E">
        <w:rPr>
          <w:rFonts w:ascii="Times New Roman" w:hAnsi="Times New Roman"/>
          <w:i/>
        </w:rPr>
        <w:t xml:space="preserve">supply” </w:t>
      </w:r>
      <w:r w:rsidRPr="00731F8E">
        <w:rPr>
          <w:rFonts w:ascii="Times New Roman" w:hAnsi="Times New Roman"/>
        </w:rPr>
        <w:t xml:space="preserve">has been added after the phrase “The distribution company has the same control </w:t>
      </w:r>
      <w:r w:rsidRPr="00731F8E">
        <w:rPr>
          <w:rFonts w:ascii="Times New Roman" w:hAnsi="Times New Roman"/>
          <w:i/>
        </w:rPr>
        <w:t xml:space="preserve">relationship with the distribution company” in the fifth paragraph of </w:t>
      </w:r>
      <w:r w:rsidRPr="00731F8E">
        <w:rPr>
          <w:rFonts w:ascii="Times New Roman" w:hAnsi="Times New Roman"/>
          <w:i/>
        </w:rPr>
        <w:lastRenderedPageBreak/>
        <w:t xml:space="preserve">Article 33, and the following paragraphs have </w:t>
      </w:r>
      <w:r w:rsidRPr="00731F8E">
        <w:rPr>
          <w:rFonts w:ascii="Times New Roman" w:hAnsi="Times New Roman"/>
        </w:rPr>
        <w:t>been added to the same article.</w:t>
      </w:r>
    </w:p>
    <w:p w14:paraId="7B1515A5" w14:textId="77777777" w:rsidR="004C0A79" w:rsidRPr="00E07233" w:rsidRDefault="004C0A79" w:rsidP="004C0A79">
      <w:pPr>
        <w:pStyle w:val="GvdeMetni"/>
        <w:spacing w:before="37" w:line="276" w:lineRule="auto"/>
        <w:ind w:left="1576" w:right="132"/>
        <w:rPr>
          <w:rFonts w:cs="Times New Roman"/>
          <w:sz w:val="22"/>
          <w:szCs w:val="22"/>
        </w:rPr>
      </w:pPr>
      <w:r w:rsidRPr="00E07233">
        <w:rPr>
          <w:rFonts w:cs="Times New Roman"/>
          <w:sz w:val="22"/>
          <w:szCs w:val="22"/>
        </w:rPr>
        <w:t>"(6) Even if they are employed with the titles of general manager and deputy general manager of the distribution company and with other titles, other managers who have the authority to sign in the equivalent or higher authorities of the deputy general manager in terms of their powers and duties cannot work simultaneously in other companies providing services related to the electricity market, except for other electricity distribution companies with the same shareholding structure.</w:t>
      </w:r>
    </w:p>
    <w:p w14:paraId="72EC56B8" w14:textId="77777777" w:rsidR="004C0A79" w:rsidRPr="00731F8E" w:rsidRDefault="004C0A79" w:rsidP="004C0A79">
      <w:pPr>
        <w:pStyle w:val="GvdeMetni"/>
        <w:spacing w:before="42"/>
        <w:rPr>
          <w:rFonts w:cs="Times New Roman"/>
          <w:szCs w:val="22"/>
        </w:rPr>
      </w:pPr>
    </w:p>
    <w:p w14:paraId="6FC7D3BE" w14:textId="77777777" w:rsidR="004C0A79" w:rsidRPr="00731F8E" w:rsidRDefault="004C0A79" w:rsidP="00A86526">
      <w:pPr>
        <w:pStyle w:val="P68B1DB1-ListParagraph3"/>
        <w:numPr>
          <w:ilvl w:val="0"/>
          <w:numId w:val="40"/>
        </w:numPr>
        <w:tabs>
          <w:tab w:val="left" w:pos="1859"/>
        </w:tabs>
        <w:spacing w:line="273" w:lineRule="auto"/>
        <w:ind w:right="134" w:firstLine="0"/>
        <w:rPr>
          <w:rFonts w:ascii="Times New Roman" w:hAnsi="Times New Roman" w:cs="Times New Roman"/>
          <w:szCs w:val="22"/>
        </w:rPr>
      </w:pPr>
      <w:r w:rsidRPr="00731F8E">
        <w:rPr>
          <w:rFonts w:ascii="Times New Roman" w:hAnsi="Times New Roman" w:cs="Times New Roman"/>
          <w:szCs w:val="22"/>
        </w:rPr>
        <w:t>The notification address registered in the license of the distribution company cannot be outside the distribution region where it operates."</w:t>
      </w:r>
    </w:p>
    <w:p w14:paraId="60130673" w14:textId="77777777" w:rsidR="004C0A79" w:rsidRPr="00731F8E" w:rsidRDefault="004C0A79" w:rsidP="004C0A79">
      <w:pPr>
        <w:pStyle w:val="GvdeMetni"/>
        <w:spacing w:before="45"/>
        <w:rPr>
          <w:rFonts w:cs="Times New Roman"/>
          <w:szCs w:val="22"/>
        </w:rPr>
      </w:pPr>
    </w:p>
    <w:p w14:paraId="54EB4F4E"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following paragraphs have been added to Article 34.</w:t>
      </w:r>
    </w:p>
    <w:p w14:paraId="624E41E5" w14:textId="77777777" w:rsidR="004C0A79" w:rsidRPr="00731F8E" w:rsidRDefault="004C0A79" w:rsidP="004C0A79">
      <w:pPr>
        <w:pStyle w:val="GvdeMetni"/>
        <w:spacing w:before="80"/>
        <w:rPr>
          <w:rFonts w:cs="Times New Roman"/>
          <w:i/>
          <w:szCs w:val="22"/>
        </w:rPr>
      </w:pPr>
    </w:p>
    <w:p w14:paraId="6F42D0DF" w14:textId="77777777" w:rsidR="004C0A79" w:rsidRPr="00E07233" w:rsidRDefault="004C0A79" w:rsidP="004C0A79">
      <w:pPr>
        <w:pStyle w:val="GvdeMetni"/>
        <w:spacing w:line="276" w:lineRule="auto"/>
        <w:ind w:left="1576" w:right="133"/>
        <w:rPr>
          <w:rFonts w:cs="Times New Roman"/>
          <w:sz w:val="22"/>
          <w:szCs w:val="22"/>
        </w:rPr>
      </w:pPr>
      <w:r w:rsidRPr="00E07233">
        <w:rPr>
          <w:rFonts w:cs="Times New Roman"/>
          <w:sz w:val="22"/>
          <w:szCs w:val="22"/>
        </w:rPr>
        <w:t>"(9) It is obligatory that the members of the board of directors, general manager and deputy general manager titles of the legal entities holding a supply license with the same control relationship with the assigned supply company and other managers who have the equivalent or higher authority to sign in the deputy general manager in terms of their powers and duties, even if they are employed with other titles, be composed of different persons.</w:t>
      </w:r>
    </w:p>
    <w:p w14:paraId="7153DD51" w14:textId="77777777" w:rsidR="004C0A79" w:rsidRPr="00731F8E" w:rsidRDefault="004C0A79" w:rsidP="004C0A79">
      <w:pPr>
        <w:pStyle w:val="GvdeMetni"/>
        <w:spacing w:before="39"/>
        <w:rPr>
          <w:rFonts w:cs="Times New Roman"/>
          <w:szCs w:val="22"/>
        </w:rPr>
      </w:pPr>
    </w:p>
    <w:p w14:paraId="395E5241" w14:textId="77777777" w:rsidR="004C0A79" w:rsidRPr="00731F8E" w:rsidRDefault="004C0A79" w:rsidP="00A86526">
      <w:pPr>
        <w:pStyle w:val="P68B1DB1-ListParagraph3"/>
        <w:numPr>
          <w:ilvl w:val="0"/>
          <w:numId w:val="39"/>
        </w:numPr>
        <w:tabs>
          <w:tab w:val="left" w:pos="2012"/>
        </w:tabs>
        <w:spacing w:before="1" w:line="276" w:lineRule="auto"/>
        <w:ind w:right="132" w:firstLine="0"/>
        <w:rPr>
          <w:rFonts w:ascii="Times New Roman" w:hAnsi="Times New Roman" w:cs="Times New Roman"/>
          <w:szCs w:val="22"/>
        </w:rPr>
      </w:pPr>
      <w:r w:rsidRPr="00731F8E">
        <w:rPr>
          <w:rFonts w:ascii="Times New Roman" w:hAnsi="Times New Roman" w:cs="Times New Roman"/>
          <w:szCs w:val="22"/>
        </w:rPr>
        <w:t>(10) Even if they are employed with the titles of general manager and deputy general manager of the assigned supplier company and with other titles, other managers who have the authority to sign in the equivalent or higher authorities of the deputy general manager in terms of their powers and duties cannot work simultaneously in other companies providing services related to the electricity market, except for other electricity distribution companies with the same shareholding structure.</w:t>
      </w:r>
    </w:p>
    <w:p w14:paraId="72865BC1" w14:textId="77777777" w:rsidR="004C0A79" w:rsidRPr="00731F8E" w:rsidRDefault="004C0A79" w:rsidP="004C0A79">
      <w:pPr>
        <w:pStyle w:val="GvdeMetni"/>
        <w:spacing w:before="39"/>
        <w:rPr>
          <w:rFonts w:cs="Times New Roman"/>
          <w:szCs w:val="22"/>
        </w:rPr>
      </w:pPr>
    </w:p>
    <w:p w14:paraId="277AFAA5" w14:textId="77777777" w:rsidR="004C0A79" w:rsidRPr="00731F8E" w:rsidRDefault="004C0A79" w:rsidP="00A86526">
      <w:pPr>
        <w:pStyle w:val="P68B1DB1-ListParagraph3"/>
        <w:numPr>
          <w:ilvl w:val="0"/>
          <w:numId w:val="39"/>
        </w:numPr>
        <w:tabs>
          <w:tab w:val="left" w:pos="2012"/>
        </w:tabs>
        <w:spacing w:line="276" w:lineRule="auto"/>
        <w:ind w:right="130" w:firstLine="0"/>
        <w:rPr>
          <w:rFonts w:ascii="Times New Roman" w:hAnsi="Times New Roman" w:cs="Times New Roman"/>
          <w:szCs w:val="22"/>
        </w:rPr>
      </w:pPr>
      <w:r w:rsidRPr="00731F8E">
        <w:rPr>
          <w:rFonts w:ascii="Times New Roman" w:hAnsi="Times New Roman" w:cs="Times New Roman"/>
          <w:szCs w:val="22"/>
        </w:rPr>
        <w:t>The assigned supplier company is obliged to establish and operate a separate website from other companies, including the parent company, for its activities, especially its activities subject to tariff regulation within the scope of the license."</w:t>
      </w:r>
    </w:p>
    <w:p w14:paraId="33EE456A" w14:textId="77777777" w:rsidR="004C0A79" w:rsidRPr="00731F8E" w:rsidRDefault="004C0A79" w:rsidP="004C0A79">
      <w:pPr>
        <w:pStyle w:val="GvdeMetni"/>
        <w:spacing w:before="41"/>
        <w:rPr>
          <w:rFonts w:cs="Times New Roman"/>
          <w:szCs w:val="22"/>
        </w:rPr>
      </w:pPr>
    </w:p>
    <w:p w14:paraId="56E9B332"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3" w:hanging="360"/>
        <w:contextualSpacing w:val="0"/>
        <w:rPr>
          <w:rFonts w:ascii="Times New Roman" w:hAnsi="Times New Roman"/>
        </w:rPr>
      </w:pPr>
      <w:r w:rsidRPr="00731F8E">
        <w:rPr>
          <w:rFonts w:ascii="Times New Roman" w:hAnsi="Times New Roman"/>
        </w:rPr>
        <w:t xml:space="preserve">The third paragraph of Article 43 has been amended as follows, the phrase </w:t>
      </w:r>
      <w:r w:rsidRPr="00731F8E">
        <w:rPr>
          <w:rFonts w:ascii="Times New Roman" w:hAnsi="Times New Roman"/>
          <w:i/>
        </w:rPr>
        <w:t xml:space="preserve">"from the date of first provisional acceptance" </w:t>
      </w:r>
      <w:r w:rsidRPr="00731F8E">
        <w:rPr>
          <w:rFonts w:ascii="Times New Roman" w:hAnsi="Times New Roman"/>
        </w:rPr>
        <w:t xml:space="preserve">in the fourth paragraph of the same article has been changed to </w:t>
      </w:r>
      <w:r w:rsidRPr="00731F8E">
        <w:rPr>
          <w:rFonts w:ascii="Times New Roman" w:hAnsi="Times New Roman"/>
          <w:i/>
        </w:rPr>
        <w:t>"from the first date of partial or complete acceptance</w:t>
      </w:r>
      <w:r w:rsidRPr="00731F8E">
        <w:rPr>
          <w:rFonts w:ascii="Times New Roman" w:hAnsi="Times New Roman"/>
        </w:rPr>
        <w:t>" and the phrase "</w:t>
      </w:r>
      <w:r w:rsidRPr="00731F8E">
        <w:rPr>
          <w:rFonts w:ascii="Times New Roman" w:hAnsi="Times New Roman"/>
          <w:i/>
        </w:rPr>
        <w:t xml:space="preserve">first provisional" </w:t>
      </w:r>
      <w:r w:rsidRPr="00731F8E">
        <w:rPr>
          <w:rFonts w:ascii="Times New Roman" w:hAnsi="Times New Roman"/>
        </w:rPr>
        <w:t xml:space="preserve">in clause (a) of the fifth paragraph of the same article Changed to </w:t>
      </w:r>
      <w:r w:rsidRPr="00731F8E">
        <w:rPr>
          <w:rFonts w:ascii="Times New Roman" w:hAnsi="Times New Roman"/>
          <w:i/>
        </w:rPr>
        <w:t>“partially or completely"</w:t>
      </w:r>
      <w:r w:rsidRPr="00731F8E">
        <w:rPr>
          <w:rFonts w:ascii="Times New Roman" w:hAnsi="Times New Roman"/>
        </w:rPr>
        <w:t>.</w:t>
      </w:r>
    </w:p>
    <w:p w14:paraId="5E8C6E23" w14:textId="77777777" w:rsidR="004C0A79" w:rsidRPr="00731F8E" w:rsidRDefault="004C0A79" w:rsidP="004C0A79">
      <w:pPr>
        <w:pStyle w:val="GvdeMetni"/>
        <w:spacing w:before="40"/>
        <w:rPr>
          <w:rFonts w:cs="Times New Roman"/>
          <w:i/>
          <w:szCs w:val="22"/>
        </w:rPr>
      </w:pPr>
    </w:p>
    <w:p w14:paraId="4C6A20E9"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"(3) Preliminary license and license acquisition, license renewal, preliminary license and license copy issuance, preliminary license and license amendment fees are paid in advance. In the event that there are different issues in the applications made with the same petition or electronically on the same day, separate amendment fees shall be charged for the amendments to be concluded separately by the Board and the relevant main service unit within the scope of the said application."</w:t>
      </w:r>
    </w:p>
    <w:p w14:paraId="1E7D6F93" w14:textId="77777777" w:rsidR="004C0A79" w:rsidRPr="00731F8E" w:rsidRDefault="004C0A79" w:rsidP="004C0A79">
      <w:pPr>
        <w:pStyle w:val="GvdeMetni"/>
        <w:spacing w:before="39"/>
        <w:rPr>
          <w:rFonts w:cs="Times New Roman"/>
          <w:szCs w:val="22"/>
        </w:rPr>
      </w:pPr>
    </w:p>
    <w:p w14:paraId="4D2E2794" w14:textId="77777777" w:rsidR="004C0A79" w:rsidRPr="00731F8E" w:rsidRDefault="004C0A79" w:rsidP="00A86526">
      <w:pPr>
        <w:pStyle w:val="ListeParagraf"/>
        <w:widowControl w:val="0"/>
        <w:numPr>
          <w:ilvl w:val="4"/>
          <w:numId w:val="42"/>
        </w:numPr>
        <w:tabs>
          <w:tab w:val="left" w:pos="1576"/>
        </w:tabs>
        <w:autoSpaceDE w:val="0"/>
        <w:autoSpaceDN w:val="0"/>
        <w:spacing w:before="1" w:after="0"/>
        <w:ind w:right="133" w:hanging="360"/>
        <w:contextualSpacing w:val="0"/>
        <w:rPr>
          <w:rFonts w:ascii="Times New Roman" w:hAnsi="Times New Roman"/>
        </w:rPr>
      </w:pPr>
      <w:r w:rsidRPr="00731F8E">
        <w:rPr>
          <w:rFonts w:ascii="Times New Roman" w:hAnsi="Times New Roman"/>
        </w:rPr>
        <w:t>The phrase "</w:t>
      </w:r>
      <w:r w:rsidRPr="00731F8E">
        <w:rPr>
          <w:rFonts w:ascii="Times New Roman" w:hAnsi="Times New Roman"/>
          <w:i/>
        </w:rPr>
        <w:t>and collection transactions</w:t>
      </w:r>
      <w:r w:rsidRPr="00731F8E">
        <w:rPr>
          <w:rFonts w:ascii="Times New Roman" w:hAnsi="Times New Roman"/>
        </w:rPr>
        <w:t xml:space="preserve">" has been added to come after the phrase </w:t>
      </w:r>
      <w:r w:rsidRPr="00731F8E">
        <w:rPr>
          <w:rFonts w:ascii="Times New Roman" w:hAnsi="Times New Roman"/>
          <w:i/>
        </w:rPr>
        <w:t xml:space="preserve">"Call services for consumers" </w:t>
      </w:r>
      <w:r w:rsidRPr="00731F8E">
        <w:rPr>
          <w:rFonts w:ascii="Times New Roman" w:hAnsi="Times New Roman"/>
        </w:rPr>
        <w:t>in clause (ç) of the second paragraph of Article 48 and the phrase</w:t>
      </w:r>
      <w:r w:rsidRPr="00731F8E">
        <w:rPr>
          <w:rFonts w:ascii="Times New Roman" w:hAnsi="Times New Roman"/>
          <w:i/>
        </w:rPr>
        <w:t xml:space="preserve"> "consumer" </w:t>
      </w:r>
      <w:r w:rsidRPr="00731F8E">
        <w:rPr>
          <w:rFonts w:ascii="Times New Roman" w:hAnsi="Times New Roman"/>
        </w:rPr>
        <w:t xml:space="preserve">in the same clause has been changed to </w:t>
      </w:r>
      <w:r w:rsidRPr="00731F8E">
        <w:rPr>
          <w:rFonts w:ascii="Times New Roman" w:hAnsi="Times New Roman"/>
          <w:i/>
        </w:rPr>
        <w:t>"user"</w:t>
      </w:r>
      <w:r w:rsidRPr="00731F8E">
        <w:rPr>
          <w:rFonts w:ascii="Times New Roman" w:hAnsi="Times New Roman"/>
        </w:rPr>
        <w:t>.</w:t>
      </w:r>
    </w:p>
    <w:p w14:paraId="7EB1360C" w14:textId="77777777" w:rsidR="004C0A79" w:rsidRPr="00731F8E" w:rsidRDefault="004C0A79" w:rsidP="004C0A79">
      <w:pPr>
        <w:pStyle w:val="GvdeMetni"/>
        <w:spacing w:before="40"/>
        <w:rPr>
          <w:rFonts w:cs="Times New Roman"/>
          <w:i/>
          <w:szCs w:val="22"/>
        </w:rPr>
      </w:pPr>
    </w:p>
    <w:p w14:paraId="6F737007" w14:textId="77777777" w:rsidR="004C0A79" w:rsidRPr="00731F8E" w:rsidRDefault="004C0A79" w:rsidP="00A86526">
      <w:pPr>
        <w:pStyle w:val="ListeParagraf"/>
        <w:widowControl w:val="0"/>
        <w:numPr>
          <w:ilvl w:val="4"/>
          <w:numId w:val="42"/>
        </w:numPr>
        <w:tabs>
          <w:tab w:val="left" w:pos="1576"/>
        </w:tabs>
        <w:autoSpaceDE w:val="0"/>
        <w:autoSpaceDN w:val="0"/>
        <w:spacing w:after="0" w:line="273" w:lineRule="auto"/>
        <w:ind w:right="132" w:hanging="360"/>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 xml:space="preserve">"Generation license" in the second paragraph of Article 57 has been </w:t>
      </w:r>
      <w:r w:rsidRPr="00731F8E">
        <w:rPr>
          <w:rFonts w:ascii="Times New Roman" w:hAnsi="Times New Roman"/>
          <w:i/>
        </w:rPr>
        <w:lastRenderedPageBreak/>
        <w:t xml:space="preserve">changed to "License </w:t>
      </w:r>
      <w:r w:rsidRPr="00731F8E">
        <w:rPr>
          <w:rFonts w:ascii="Times New Roman" w:hAnsi="Times New Roman"/>
        </w:rPr>
        <w:t xml:space="preserve">whose </w:t>
      </w:r>
      <w:r w:rsidRPr="00731F8E">
        <w:rPr>
          <w:rFonts w:ascii="Times New Roman" w:hAnsi="Times New Roman"/>
          <w:i/>
        </w:rPr>
        <w:t>tariff is not subject to regulation"</w:t>
      </w:r>
      <w:r w:rsidRPr="00731F8E">
        <w:rPr>
          <w:rFonts w:ascii="Times New Roman" w:hAnsi="Times New Roman"/>
        </w:rPr>
        <w:t>.</w:t>
      </w:r>
    </w:p>
    <w:p w14:paraId="3A9DBE8B"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66"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seventh paragraph of Article 59 has been amended as follows.</w:t>
      </w:r>
    </w:p>
    <w:p w14:paraId="50A3BA07" w14:textId="77777777" w:rsidR="004C0A79" w:rsidRPr="00731F8E" w:rsidRDefault="004C0A79" w:rsidP="004C0A79">
      <w:pPr>
        <w:pStyle w:val="GvdeMetni"/>
        <w:spacing w:before="80"/>
        <w:rPr>
          <w:rFonts w:cs="Times New Roman"/>
          <w:i/>
          <w:szCs w:val="22"/>
        </w:rPr>
      </w:pPr>
    </w:p>
    <w:p w14:paraId="34248F16" w14:textId="77777777" w:rsidR="004C0A79" w:rsidRPr="00731F8E" w:rsidRDefault="004C0A79" w:rsidP="004C0A79">
      <w:pPr>
        <w:pStyle w:val="GvdeMetni"/>
        <w:spacing w:line="276" w:lineRule="auto"/>
        <w:ind w:left="1575" w:right="130"/>
        <w:rPr>
          <w:rFonts w:cs="Times New Roman"/>
          <w:szCs w:val="22"/>
        </w:rPr>
      </w:pPr>
      <w:r w:rsidRPr="00731F8E">
        <w:rPr>
          <w:rFonts w:cs="Times New Roman"/>
          <w:szCs w:val="22"/>
        </w:rPr>
        <w:t>“(7) If the merger or division is not completed within the period determined by the Board, which shall not be less than six months from the date of authorization, the authorization granted shall be invalid. In this case, merger and division transactions cannot be continued without obtaining permission again with the decision of the Board."</w:t>
      </w:r>
    </w:p>
    <w:p w14:paraId="79921216" w14:textId="77777777" w:rsidR="004C0A79" w:rsidRPr="00731F8E" w:rsidRDefault="004C0A79" w:rsidP="004C0A79">
      <w:pPr>
        <w:pStyle w:val="GvdeMetni"/>
        <w:spacing w:before="41"/>
        <w:rPr>
          <w:rFonts w:cs="Times New Roman"/>
          <w:szCs w:val="22"/>
        </w:rPr>
      </w:pPr>
    </w:p>
    <w:p w14:paraId="73CCC0B0"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following provisional articles have been added to the same Regulation.</w:t>
      </w:r>
    </w:p>
    <w:p w14:paraId="110912F5" w14:textId="77777777" w:rsidR="004C0A79" w:rsidRPr="00731F8E" w:rsidRDefault="004C0A79" w:rsidP="004C0A79">
      <w:pPr>
        <w:pStyle w:val="GvdeMetni"/>
        <w:spacing w:before="80"/>
        <w:rPr>
          <w:rFonts w:cs="Times New Roman"/>
          <w:i/>
          <w:szCs w:val="22"/>
        </w:rPr>
      </w:pPr>
    </w:p>
    <w:p w14:paraId="2428ED97" w14:textId="77777777" w:rsidR="004C0A79" w:rsidRPr="00E07233" w:rsidRDefault="004C0A79" w:rsidP="004C0A79">
      <w:pPr>
        <w:pStyle w:val="GvdeMetni"/>
        <w:spacing w:line="276" w:lineRule="auto"/>
        <w:ind w:left="1575" w:right="133"/>
        <w:rPr>
          <w:rFonts w:cs="Times New Roman"/>
          <w:sz w:val="22"/>
          <w:szCs w:val="22"/>
        </w:rPr>
      </w:pPr>
      <w:r w:rsidRPr="00E07233">
        <w:rPr>
          <w:rFonts w:cs="Times New Roman"/>
          <w:sz w:val="22"/>
          <w:szCs w:val="22"/>
        </w:rPr>
        <w:t>“Rights and obligations of the distribution licensee and rights and obligations of the supply licensee</w:t>
      </w:r>
    </w:p>
    <w:p w14:paraId="512F7041" w14:textId="77777777" w:rsidR="004C0A79" w:rsidRPr="00E07233" w:rsidRDefault="004C0A79" w:rsidP="004C0A79">
      <w:pPr>
        <w:pStyle w:val="GvdeMetni"/>
        <w:spacing w:before="40"/>
        <w:rPr>
          <w:rFonts w:cs="Times New Roman"/>
          <w:sz w:val="22"/>
          <w:szCs w:val="22"/>
        </w:rPr>
      </w:pPr>
    </w:p>
    <w:p w14:paraId="23F24282" w14:textId="77777777" w:rsidR="004C0A79" w:rsidRPr="00E07233" w:rsidRDefault="004C0A79" w:rsidP="004C0A79">
      <w:pPr>
        <w:pStyle w:val="GvdeMetni"/>
        <w:spacing w:line="276" w:lineRule="auto"/>
        <w:ind w:left="1575" w:right="133"/>
        <w:rPr>
          <w:rFonts w:cs="Times New Roman"/>
          <w:sz w:val="22"/>
          <w:szCs w:val="22"/>
        </w:rPr>
      </w:pPr>
      <w:r w:rsidRPr="00E07233">
        <w:rPr>
          <w:rFonts w:cs="Times New Roman"/>
          <w:sz w:val="22"/>
          <w:szCs w:val="22"/>
        </w:rPr>
        <w:t>PROVISIONAL ARTICLE 33- (1) Necessary actions shall be taken until 1/7/2022 for the issues contrary to the regulations in the sixth and seventh paragraphs of Article 33 and the ninth, tenth and eleventh paragraphs of Article 34 of this Regulation.</w:t>
      </w:r>
    </w:p>
    <w:p w14:paraId="1FEE475A" w14:textId="77777777" w:rsidR="004C0A79" w:rsidRPr="00E07233" w:rsidRDefault="004C0A79" w:rsidP="004C0A79">
      <w:pPr>
        <w:pStyle w:val="GvdeMetni"/>
        <w:spacing w:before="40"/>
        <w:rPr>
          <w:rFonts w:cs="Times New Roman"/>
          <w:sz w:val="22"/>
          <w:szCs w:val="22"/>
        </w:rPr>
      </w:pPr>
    </w:p>
    <w:p w14:paraId="1333FE2C" w14:textId="77777777" w:rsidR="004C0A79" w:rsidRPr="00E07233" w:rsidRDefault="004C0A79" w:rsidP="004C0A79">
      <w:pPr>
        <w:pStyle w:val="GvdeMetni"/>
        <w:ind w:left="1575"/>
        <w:rPr>
          <w:rFonts w:cs="Times New Roman"/>
          <w:sz w:val="22"/>
          <w:szCs w:val="22"/>
        </w:rPr>
      </w:pPr>
      <w:r w:rsidRPr="00E07233">
        <w:rPr>
          <w:rFonts w:cs="Times New Roman"/>
          <w:sz w:val="22"/>
          <w:szCs w:val="22"/>
        </w:rPr>
        <w:t>Environmental permit and license documents</w:t>
      </w:r>
    </w:p>
    <w:p w14:paraId="4CAA937C" w14:textId="77777777" w:rsidR="004C0A79" w:rsidRPr="00E07233" w:rsidRDefault="004C0A79" w:rsidP="004C0A79">
      <w:pPr>
        <w:pStyle w:val="GvdeMetni"/>
        <w:spacing w:before="79"/>
        <w:rPr>
          <w:rFonts w:cs="Times New Roman"/>
          <w:sz w:val="22"/>
          <w:szCs w:val="22"/>
        </w:rPr>
      </w:pPr>
    </w:p>
    <w:p w14:paraId="46E8CA0C" w14:textId="77777777" w:rsidR="004C0A79" w:rsidRPr="00E07233" w:rsidRDefault="004C0A79" w:rsidP="004C0A79">
      <w:pPr>
        <w:pStyle w:val="GvdeMetni"/>
        <w:spacing w:line="276" w:lineRule="auto"/>
        <w:ind w:left="1575" w:right="131"/>
        <w:rPr>
          <w:rFonts w:cs="Times New Roman"/>
          <w:sz w:val="22"/>
          <w:szCs w:val="22"/>
        </w:rPr>
      </w:pPr>
      <w:r w:rsidRPr="00E07233">
        <w:rPr>
          <w:rFonts w:cs="Times New Roman"/>
          <w:sz w:val="22"/>
          <w:szCs w:val="22"/>
        </w:rPr>
        <w:t>PROVISIONAL ARTICLE 34- (1) Legal entities holding a license for electricity generation facilities based on biomass, which are partially or completely put into operation by accepting this article as of the date of entry into force, must submit the document to be obtained from the Ministry of Environment, Urbanization and Climate Change within the scope of the Environmental Permit and License Regulation to the Authority within twenty-four months from the date of entry into force of this article. "</w:t>
      </w:r>
    </w:p>
    <w:p w14:paraId="6B9C0B91" w14:textId="77777777" w:rsidR="004C0A79" w:rsidRPr="00731F8E" w:rsidRDefault="004C0A79" w:rsidP="004C0A79">
      <w:pPr>
        <w:pStyle w:val="GvdeMetni"/>
        <w:spacing w:before="40"/>
        <w:rPr>
          <w:rFonts w:cs="Times New Roman"/>
          <w:szCs w:val="22"/>
        </w:rPr>
      </w:pPr>
    </w:p>
    <w:p w14:paraId="5C74B861" w14:textId="77777777" w:rsidR="004C0A79" w:rsidRPr="00731F8E" w:rsidRDefault="004C0A79" w:rsidP="00A86526">
      <w:pPr>
        <w:pStyle w:val="ListeParagraf"/>
        <w:widowControl w:val="0"/>
        <w:numPr>
          <w:ilvl w:val="3"/>
          <w:numId w:val="42"/>
        </w:numPr>
        <w:tabs>
          <w:tab w:val="left" w:pos="855"/>
        </w:tabs>
        <w:autoSpaceDE w:val="0"/>
        <w:autoSpaceDN w:val="0"/>
        <w:spacing w:after="0" w:line="240" w:lineRule="auto"/>
        <w:ind w:left="855" w:hanging="360"/>
        <w:contextualSpacing w:val="0"/>
        <w:jc w:val="left"/>
        <w:rPr>
          <w:rFonts w:ascii="Times New Roman" w:hAnsi="Times New Roman"/>
        </w:rPr>
      </w:pPr>
      <w:r w:rsidRPr="00731F8E">
        <w:rPr>
          <w:rFonts w:ascii="Times New Roman" w:hAnsi="Times New Roman"/>
        </w:rPr>
        <w:t>• The first paragraph of Article 7 of the Amendment Regulation and the Electricity Market License Regulation published in the Official Gazette dated 22.03.2022 and numbered 31786 has been amended as follows.</w:t>
      </w:r>
    </w:p>
    <w:p w14:paraId="04D24113" w14:textId="77777777" w:rsidR="004C0A79" w:rsidRPr="00731F8E" w:rsidRDefault="004C0A79" w:rsidP="004C0A79">
      <w:pPr>
        <w:pStyle w:val="GvdeMetni"/>
        <w:spacing w:before="82"/>
        <w:rPr>
          <w:rFonts w:cs="Times New Roman"/>
          <w:i/>
          <w:szCs w:val="22"/>
        </w:rPr>
      </w:pPr>
    </w:p>
    <w:p w14:paraId="11173598" w14:textId="77777777" w:rsidR="004C0A79" w:rsidRPr="00E07233" w:rsidRDefault="004C0A79" w:rsidP="004C0A79">
      <w:pPr>
        <w:pStyle w:val="GvdeMetni"/>
        <w:spacing w:line="276" w:lineRule="auto"/>
        <w:ind w:left="1576" w:right="131"/>
        <w:rPr>
          <w:rFonts w:cs="Times New Roman"/>
          <w:sz w:val="22"/>
          <w:szCs w:val="22"/>
        </w:rPr>
      </w:pPr>
      <w:r w:rsidRPr="00E07233">
        <w:rPr>
          <w:rFonts w:cs="Times New Roman"/>
          <w:sz w:val="22"/>
          <w:szCs w:val="22"/>
        </w:rPr>
        <w:t>“(1) The capacity allocated to the user in connection and system usage agreements constitutes the agreement power of the user. The maximum value of the electrical energy capacity received or supplied to the transmission system from the connection point cannot exceed the agreement power specified in the connection and system usage agreements. However, if requested by the Ministry on the grounds of supply security, electrical energy may be supplied to the system by the generation facilities above the agreement power for the period to be determined by the Board and within the framework of the principles specified in the relevant Board decision. In this context, the energy given to the system above the agreement power is not considered as power overrun. "</w:t>
      </w:r>
    </w:p>
    <w:p w14:paraId="426FCAD5" w14:textId="77777777" w:rsidR="004C0A79" w:rsidRPr="00731F8E" w:rsidRDefault="004C0A79" w:rsidP="004C0A79">
      <w:pPr>
        <w:pStyle w:val="GvdeMetni"/>
        <w:spacing w:before="39"/>
        <w:rPr>
          <w:rFonts w:cs="Times New Roman"/>
          <w:szCs w:val="22"/>
        </w:rPr>
      </w:pPr>
    </w:p>
    <w:p w14:paraId="55C51336"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1"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first paragraph of Article 14 has been amended as follows.</w:t>
      </w:r>
    </w:p>
    <w:p w14:paraId="047EE38D" w14:textId="77777777" w:rsidR="004C0A79" w:rsidRPr="00731F8E" w:rsidRDefault="004C0A79" w:rsidP="004C0A79">
      <w:pPr>
        <w:pStyle w:val="GvdeMetni"/>
        <w:spacing w:before="79"/>
        <w:rPr>
          <w:rFonts w:cs="Times New Roman"/>
          <w:i/>
          <w:szCs w:val="22"/>
        </w:rPr>
      </w:pPr>
    </w:p>
    <w:p w14:paraId="12EC3F0A"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 xml:space="preserve">“(1) The capacity allocated to the user in the connection agreement constitutes the agreement power of the user. It is essential that the maximum value of the electrical energy capacity received or supplied from the connection point to the distribution system, measured by the meter, does not exceed the agreement power. However, if requested by the Ministry on the grounds of supply security, electrical energy may be supplied to the system by the generation facilities for a period to be determined by the </w:t>
      </w:r>
      <w:r w:rsidRPr="009E20AD">
        <w:rPr>
          <w:rFonts w:cs="Times New Roman"/>
          <w:sz w:val="22"/>
          <w:szCs w:val="22"/>
        </w:rPr>
        <w:lastRenderedPageBreak/>
        <w:t>Board and within the framework of the principles specified in the relevant Board decision.</w:t>
      </w:r>
    </w:p>
    <w:p w14:paraId="0C3B198F" w14:textId="77777777" w:rsidR="004C0A79" w:rsidRPr="009E20AD" w:rsidRDefault="004C0A79" w:rsidP="004C0A79">
      <w:pPr>
        <w:pStyle w:val="GvdeMetni"/>
        <w:spacing w:before="37" w:line="276" w:lineRule="auto"/>
        <w:ind w:left="1575" w:right="133"/>
        <w:rPr>
          <w:rFonts w:cs="Times New Roman"/>
          <w:sz w:val="22"/>
          <w:szCs w:val="22"/>
        </w:rPr>
      </w:pPr>
      <w:r w:rsidRPr="009E20AD">
        <w:rPr>
          <w:rFonts w:cs="Times New Roman"/>
          <w:sz w:val="22"/>
          <w:szCs w:val="22"/>
        </w:rPr>
        <w:t>In this context, the energy supplied to the system above the agreement power is not considered as power overrun."</w:t>
      </w:r>
    </w:p>
    <w:p w14:paraId="52503BE5" w14:textId="77777777" w:rsidR="004C0A79" w:rsidRPr="00731F8E" w:rsidRDefault="004C0A79" w:rsidP="004C0A79">
      <w:pPr>
        <w:pStyle w:val="GvdeMetni"/>
        <w:spacing w:before="41"/>
        <w:rPr>
          <w:rFonts w:cs="Times New Roman"/>
          <w:szCs w:val="22"/>
        </w:rPr>
      </w:pPr>
    </w:p>
    <w:p w14:paraId="6B169BD4" w14:textId="77777777" w:rsidR="004C0A79" w:rsidRPr="00731F8E" w:rsidRDefault="004C0A79" w:rsidP="00A86526">
      <w:pPr>
        <w:pStyle w:val="Balk2"/>
        <w:keepNext w:val="0"/>
        <w:keepLines w:val="0"/>
        <w:widowControl w:val="0"/>
        <w:numPr>
          <w:ilvl w:val="3"/>
          <w:numId w:val="42"/>
        </w:numPr>
        <w:tabs>
          <w:tab w:val="left" w:pos="854"/>
          <w:tab w:val="left" w:pos="856"/>
        </w:tabs>
        <w:autoSpaceDE w:val="0"/>
        <w:autoSpaceDN w:val="0"/>
        <w:spacing w:before="1" w:after="0"/>
        <w:ind w:right="132" w:hanging="361"/>
        <w:rPr>
          <w:rFonts w:ascii="Times New Roman" w:hAnsi="Times New Roman" w:cs="Times New Roman"/>
          <w:szCs w:val="22"/>
        </w:rPr>
      </w:pPr>
      <w:r w:rsidRPr="00731F8E">
        <w:rPr>
          <w:rFonts w:ascii="Times New Roman" w:hAnsi="Times New Roman" w:cs="Times New Roman"/>
          <w:szCs w:val="22"/>
        </w:rPr>
        <w:t xml:space="preserve">In the Official Gazette dated 02.04.2022 and numbered 31797, the </w:t>
      </w:r>
      <w:r w:rsidRPr="00731F8E">
        <w:rPr>
          <w:rFonts w:ascii="Times New Roman" w:hAnsi="Times New Roman" w:cs="Times New Roman"/>
          <w:b w:val="0"/>
          <w:szCs w:val="22"/>
        </w:rPr>
        <w:t xml:space="preserve">Charging Service Regulation </w:t>
      </w:r>
      <w:r w:rsidRPr="00731F8E">
        <w:rPr>
          <w:rFonts w:ascii="Times New Roman" w:hAnsi="Times New Roman" w:cs="Times New Roman"/>
          <w:szCs w:val="22"/>
        </w:rPr>
        <w:t>has been published, the purpose of which is to determine the procedures and principles regarding the installation of the charging unit and stations where electric energy is supplied to electric vehicles, the operation of the charging network and the charging stations connected to the charging network, and the provision of charging service.</w:t>
      </w:r>
    </w:p>
    <w:p w14:paraId="5D64F379" w14:textId="77777777" w:rsidR="004C0A79" w:rsidRPr="00731F8E" w:rsidRDefault="004C0A79" w:rsidP="004C0A79">
      <w:pPr>
        <w:pStyle w:val="GvdeMetni"/>
        <w:spacing w:before="39"/>
        <w:rPr>
          <w:rFonts w:cs="Times New Roman"/>
          <w:i/>
          <w:szCs w:val="22"/>
        </w:rPr>
      </w:pPr>
    </w:p>
    <w:p w14:paraId="04DD52AF" w14:textId="77777777" w:rsidR="004C0A79" w:rsidRPr="00731F8E" w:rsidRDefault="004C0A79" w:rsidP="00A86526">
      <w:pPr>
        <w:pStyle w:val="ListeParagraf"/>
        <w:widowControl w:val="0"/>
        <w:numPr>
          <w:ilvl w:val="3"/>
          <w:numId w:val="42"/>
        </w:numPr>
        <w:tabs>
          <w:tab w:val="left" w:pos="854"/>
          <w:tab w:val="left" w:pos="856"/>
        </w:tabs>
        <w:autoSpaceDE w:val="0"/>
        <w:autoSpaceDN w:val="0"/>
        <w:spacing w:after="0" w:line="273" w:lineRule="auto"/>
        <w:ind w:right="133" w:hanging="361"/>
        <w:contextualSpacing w:val="0"/>
        <w:rPr>
          <w:rFonts w:ascii="Times New Roman" w:hAnsi="Times New Roman"/>
        </w:rPr>
      </w:pPr>
      <w:r w:rsidRPr="00731F8E">
        <w:rPr>
          <w:rFonts w:ascii="Times New Roman" w:hAnsi="Times New Roman"/>
        </w:rPr>
        <w:t xml:space="preserve">The fourth paragraph of Article 43 of the </w:t>
      </w:r>
      <w:r w:rsidRPr="00731F8E">
        <w:rPr>
          <w:rFonts w:ascii="Times New Roman" w:hAnsi="Times New Roman"/>
          <w:b/>
        </w:rPr>
        <w:t xml:space="preserve">Electricity Market Consumer Services </w:t>
      </w:r>
      <w:r w:rsidRPr="00731F8E">
        <w:rPr>
          <w:rFonts w:ascii="Times New Roman" w:hAnsi="Times New Roman"/>
        </w:rPr>
        <w:t>Regulation has been amended as follows with the Amendment Regulation published in the Official Gazette dated 08.04.2022 and numbered 31803.</w:t>
      </w:r>
    </w:p>
    <w:p w14:paraId="39B9C25D" w14:textId="77777777" w:rsidR="004C0A79" w:rsidRPr="00731F8E" w:rsidRDefault="004C0A79" w:rsidP="004C0A79">
      <w:pPr>
        <w:pStyle w:val="GvdeMetni"/>
        <w:spacing w:before="48"/>
        <w:rPr>
          <w:rFonts w:cs="Times New Roman"/>
          <w:i/>
          <w:szCs w:val="22"/>
        </w:rPr>
      </w:pPr>
    </w:p>
    <w:p w14:paraId="26624BDE"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"(4) For all determinations within the scope of clauses (b) and (c) of the first paragraph of Article 42, if it is determined that the correct determination of consumption is prevented within the scope of clauses (a) and (ç), the legal entity holding the distribution license may file a criminal complaint to the Public Prosecutor's Office against natural or legal persons whose illegal electricity consumption is detected."</w:t>
      </w:r>
    </w:p>
    <w:p w14:paraId="24055493" w14:textId="77777777" w:rsidR="004C0A79" w:rsidRPr="00731F8E" w:rsidRDefault="004C0A79" w:rsidP="004C0A79">
      <w:pPr>
        <w:pStyle w:val="GvdeMetni"/>
        <w:spacing w:before="40"/>
        <w:rPr>
          <w:rFonts w:cs="Times New Roman"/>
          <w:szCs w:val="22"/>
        </w:rPr>
      </w:pPr>
    </w:p>
    <w:p w14:paraId="7B8A4578" w14:textId="77777777" w:rsidR="004C0A79" w:rsidRPr="00731F8E" w:rsidRDefault="004C0A79" w:rsidP="00A86526">
      <w:pPr>
        <w:pStyle w:val="Balk2"/>
        <w:keepNext w:val="0"/>
        <w:keepLines w:val="0"/>
        <w:widowControl w:val="0"/>
        <w:numPr>
          <w:ilvl w:val="3"/>
          <w:numId w:val="42"/>
        </w:numPr>
        <w:tabs>
          <w:tab w:val="left" w:pos="854"/>
          <w:tab w:val="left" w:pos="856"/>
        </w:tabs>
        <w:autoSpaceDE w:val="0"/>
        <w:autoSpaceDN w:val="0"/>
        <w:spacing w:before="0" w:after="0" w:line="259" w:lineRule="auto"/>
        <w:ind w:right="130" w:hanging="361"/>
        <w:rPr>
          <w:rFonts w:ascii="Times New Roman" w:hAnsi="Times New Roman" w:cs="Times New Roman"/>
          <w:szCs w:val="22"/>
        </w:rPr>
      </w:pPr>
      <w:r w:rsidRPr="00731F8E">
        <w:rPr>
          <w:rFonts w:ascii="Times New Roman" w:hAnsi="Times New Roman" w:cs="Times New Roman"/>
          <w:szCs w:val="22"/>
        </w:rPr>
        <w:t xml:space="preserve">In the Official Gazette dated 15.04.2022 and numbered 31810, the </w:t>
      </w:r>
      <w:r w:rsidRPr="00731F8E">
        <w:rPr>
          <w:rFonts w:ascii="Times New Roman" w:hAnsi="Times New Roman" w:cs="Times New Roman"/>
          <w:b w:val="0"/>
          <w:szCs w:val="22"/>
        </w:rPr>
        <w:t>Electricity Distribution System Regulation</w:t>
      </w:r>
      <w:r w:rsidRPr="00731F8E">
        <w:rPr>
          <w:rFonts w:ascii="Times New Roman" w:hAnsi="Times New Roman" w:cs="Times New Roman"/>
          <w:szCs w:val="22"/>
        </w:rPr>
        <w:t>, the purpose of which is to provide quality, safe and continuous electricity to users, has been published, and the Electricity Market Distribution Regulation published in the Official Gazette dated 02.01.2014 and numbered 28870 has been repealed.</w:t>
      </w:r>
    </w:p>
    <w:p w14:paraId="02980409" w14:textId="77777777" w:rsidR="004C0A79" w:rsidRPr="00731F8E" w:rsidRDefault="004C0A79" w:rsidP="004C0A79">
      <w:pPr>
        <w:pStyle w:val="GvdeMetni"/>
        <w:spacing w:before="18"/>
        <w:rPr>
          <w:rFonts w:cs="Times New Roman"/>
          <w:i/>
          <w:szCs w:val="22"/>
        </w:rPr>
      </w:pPr>
    </w:p>
    <w:p w14:paraId="1CDF6F11" w14:textId="77777777" w:rsidR="004C0A79" w:rsidRPr="00731F8E" w:rsidRDefault="004C0A79" w:rsidP="00A86526">
      <w:pPr>
        <w:pStyle w:val="ListeParagraf"/>
        <w:widowControl w:val="0"/>
        <w:numPr>
          <w:ilvl w:val="3"/>
          <w:numId w:val="42"/>
        </w:numPr>
        <w:tabs>
          <w:tab w:val="left" w:pos="855"/>
          <w:tab w:val="left" w:pos="857"/>
        </w:tabs>
        <w:autoSpaceDE w:val="0"/>
        <w:autoSpaceDN w:val="0"/>
        <w:spacing w:after="0"/>
        <w:ind w:left="857" w:right="132" w:hanging="361"/>
        <w:contextualSpacing w:val="0"/>
        <w:rPr>
          <w:rFonts w:ascii="Times New Roman" w:hAnsi="Times New Roman"/>
        </w:rPr>
      </w:pPr>
      <w:r w:rsidRPr="00731F8E">
        <w:rPr>
          <w:rFonts w:ascii="Times New Roman" w:hAnsi="Times New Roman"/>
        </w:rPr>
        <w:t xml:space="preserve">The following paragraph has been added to Article 132/Ç of the Amendment Regulation and the </w:t>
      </w:r>
      <w:r w:rsidRPr="00731F8E">
        <w:rPr>
          <w:rFonts w:ascii="Times New Roman" w:hAnsi="Times New Roman"/>
          <w:b/>
        </w:rPr>
        <w:t xml:space="preserve">Electricity Market Balancing and Settlement Regulation </w:t>
      </w:r>
      <w:r w:rsidRPr="00731F8E">
        <w:rPr>
          <w:rFonts w:ascii="Times New Roman" w:hAnsi="Times New Roman"/>
        </w:rPr>
        <w:t>published in the Official Gazette dated 15.06.2022 and numbered 31867.</w:t>
      </w:r>
    </w:p>
    <w:p w14:paraId="42B48F95" w14:textId="77777777" w:rsidR="004C0A79" w:rsidRPr="00731F8E" w:rsidRDefault="004C0A79" w:rsidP="004C0A79">
      <w:pPr>
        <w:pStyle w:val="GvdeMetni"/>
        <w:spacing w:before="41"/>
        <w:rPr>
          <w:rFonts w:cs="Times New Roman"/>
          <w:i/>
          <w:szCs w:val="22"/>
        </w:rPr>
      </w:pPr>
    </w:p>
    <w:p w14:paraId="23F51EA6" w14:textId="77777777" w:rsidR="004C0A79" w:rsidRPr="009E20AD" w:rsidRDefault="004C0A79" w:rsidP="004C0A79">
      <w:pPr>
        <w:pStyle w:val="GvdeMetni"/>
        <w:spacing w:line="276" w:lineRule="auto"/>
        <w:ind w:left="1577" w:right="133"/>
        <w:rPr>
          <w:rFonts w:cs="Times New Roman"/>
          <w:sz w:val="22"/>
          <w:szCs w:val="22"/>
        </w:rPr>
      </w:pPr>
      <w:r w:rsidRPr="009E20AD">
        <w:rPr>
          <w:rFonts w:cs="Times New Roman"/>
          <w:sz w:val="22"/>
          <w:szCs w:val="22"/>
        </w:rPr>
        <w:t>"(17) If it is determined that the supply companies assigned within the scope of the Unlicensed Electricity Generation Regulation in the Electricity Market published in the Official Gazette dated 12/5/2019 and numbered 30772 do not fulfill the payments to be made to unlicensed generators on time and/or partially or completely, the procedures and principles regarding other measures to be applied, including the blocking of advance receivables in order to make the said payments on time, shall be determined by the Board."</w:t>
      </w:r>
    </w:p>
    <w:p w14:paraId="0DA57FC7" w14:textId="77777777" w:rsidR="004C0A79" w:rsidRPr="00731F8E" w:rsidRDefault="004C0A79" w:rsidP="004C0A79">
      <w:pPr>
        <w:pStyle w:val="GvdeMetni"/>
        <w:spacing w:before="41"/>
        <w:rPr>
          <w:rFonts w:cs="Times New Roman"/>
          <w:szCs w:val="22"/>
        </w:rPr>
      </w:pPr>
    </w:p>
    <w:p w14:paraId="2123B4FC" w14:textId="77777777" w:rsidR="004C0A79" w:rsidRPr="00731F8E" w:rsidRDefault="004C0A79" w:rsidP="00A86526">
      <w:pPr>
        <w:pStyle w:val="ListeParagraf"/>
        <w:widowControl w:val="0"/>
        <w:numPr>
          <w:ilvl w:val="3"/>
          <w:numId w:val="42"/>
        </w:numPr>
        <w:tabs>
          <w:tab w:val="left" w:pos="855"/>
          <w:tab w:val="left" w:pos="857"/>
        </w:tabs>
        <w:autoSpaceDE w:val="0"/>
        <w:autoSpaceDN w:val="0"/>
        <w:spacing w:after="0"/>
        <w:ind w:left="857" w:right="131" w:hanging="361"/>
        <w:contextualSpacing w:val="0"/>
        <w:rPr>
          <w:rFonts w:ascii="Times New Roman" w:hAnsi="Times New Roman"/>
        </w:rPr>
      </w:pPr>
      <w:r w:rsidRPr="00731F8E">
        <w:rPr>
          <w:rFonts w:ascii="Times New Roman" w:hAnsi="Times New Roman"/>
        </w:rPr>
        <w:t xml:space="preserve">The following paragraph has been added to Article 132/D of the Amendment Regulation and the </w:t>
      </w:r>
      <w:r w:rsidRPr="00731F8E">
        <w:rPr>
          <w:rFonts w:ascii="Times New Roman" w:hAnsi="Times New Roman"/>
          <w:b/>
        </w:rPr>
        <w:t xml:space="preserve">Electricity Market Balancing and Settlement Regulation </w:t>
      </w:r>
      <w:r w:rsidRPr="00731F8E">
        <w:rPr>
          <w:rFonts w:ascii="Times New Roman" w:hAnsi="Times New Roman"/>
        </w:rPr>
        <w:t>published in the Official Gazette dated 01.07.2022 and numbered 31883.</w:t>
      </w:r>
    </w:p>
    <w:p w14:paraId="71E2EA28" w14:textId="77777777" w:rsidR="004C0A79" w:rsidRPr="00731F8E" w:rsidRDefault="004C0A79" w:rsidP="004C0A79">
      <w:pPr>
        <w:pStyle w:val="GvdeMetni"/>
        <w:spacing w:before="38"/>
        <w:rPr>
          <w:rFonts w:cs="Times New Roman"/>
          <w:i/>
          <w:szCs w:val="22"/>
        </w:rPr>
      </w:pPr>
    </w:p>
    <w:p w14:paraId="293DECBB" w14:textId="77777777" w:rsidR="004C0A79" w:rsidRPr="00731F8E" w:rsidRDefault="004C0A79" w:rsidP="004C0A79">
      <w:pPr>
        <w:pStyle w:val="GvdeMetni"/>
        <w:spacing w:line="276" w:lineRule="auto"/>
        <w:ind w:left="1578" w:right="130"/>
        <w:rPr>
          <w:rFonts w:cs="Times New Roman"/>
          <w:szCs w:val="22"/>
        </w:rPr>
      </w:pPr>
      <w:r w:rsidRPr="00731F8E">
        <w:rPr>
          <w:rFonts w:cs="Times New Roman"/>
          <w:szCs w:val="22"/>
        </w:rPr>
        <w:t>"(11) For the category created within the scope of clauses (a), (b), (c) and (ç) of the second paragraph of Article 17, assigned supply companies, if deemed necessary by the Board and for the period determined by the Board; may not pay the amounts partially or completely included in the advance payment notifications specified in the first paragraph of Article 132/Ç shall be paid for the period in question.</w:t>
      </w:r>
    </w:p>
    <w:p w14:paraId="47AF8080" w14:textId="77777777" w:rsidR="004C0A79" w:rsidRPr="00731F8E" w:rsidRDefault="004C0A79" w:rsidP="004C0A79">
      <w:pPr>
        <w:pStyle w:val="GvdeMetni"/>
        <w:spacing w:before="37" w:line="276" w:lineRule="auto"/>
        <w:ind w:left="1576"/>
        <w:rPr>
          <w:rFonts w:cs="Times New Roman"/>
          <w:szCs w:val="22"/>
        </w:rPr>
      </w:pPr>
      <w:r w:rsidRPr="00731F8E">
        <w:rPr>
          <w:rFonts w:cs="Times New Roman"/>
          <w:szCs w:val="22"/>
        </w:rPr>
        <w:lastRenderedPageBreak/>
        <w:t>Regarding the advance payments not made within this scope;</w:t>
      </w:r>
    </w:p>
    <w:p w14:paraId="32E17BAD" w14:textId="77777777" w:rsidR="004C0A79" w:rsidRPr="00731F8E" w:rsidRDefault="004C0A79" w:rsidP="00A86526">
      <w:pPr>
        <w:pStyle w:val="P68B1DB1-ListParagraph3"/>
        <w:numPr>
          <w:ilvl w:val="0"/>
          <w:numId w:val="38"/>
        </w:numPr>
        <w:tabs>
          <w:tab w:val="left" w:pos="1800"/>
        </w:tabs>
        <w:spacing w:before="1" w:line="273" w:lineRule="auto"/>
        <w:ind w:left="1575" w:right="133" w:firstLine="0"/>
        <w:rPr>
          <w:rFonts w:ascii="Times New Roman" w:hAnsi="Times New Roman" w:cs="Times New Roman"/>
          <w:szCs w:val="22"/>
        </w:rPr>
      </w:pPr>
      <w:r w:rsidRPr="00731F8E">
        <w:rPr>
          <w:rFonts w:ascii="Times New Roman" w:hAnsi="Times New Roman" w:cs="Times New Roman"/>
          <w:szCs w:val="22"/>
        </w:rPr>
        <w:t>Payment of the balance amounts for the relevant invoice period shall be made until the invoice due date.</w:t>
      </w:r>
    </w:p>
    <w:p w14:paraId="0F527923" w14:textId="77777777" w:rsidR="004C0A79" w:rsidRPr="00731F8E" w:rsidRDefault="004C0A79" w:rsidP="00A86526">
      <w:pPr>
        <w:pStyle w:val="P68B1DB1-ListParagraph3"/>
        <w:numPr>
          <w:ilvl w:val="0"/>
          <w:numId w:val="38"/>
        </w:numPr>
        <w:tabs>
          <w:tab w:val="left" w:pos="1864"/>
        </w:tabs>
        <w:spacing w:before="4" w:line="276" w:lineRule="auto"/>
        <w:ind w:left="1575" w:right="133" w:firstLine="0"/>
        <w:rPr>
          <w:rFonts w:ascii="Times New Roman" w:hAnsi="Times New Roman" w:cs="Times New Roman"/>
          <w:szCs w:val="22"/>
        </w:rPr>
      </w:pPr>
      <w:r w:rsidRPr="00731F8E">
        <w:rPr>
          <w:rFonts w:ascii="Times New Roman" w:hAnsi="Times New Roman" w:cs="Times New Roman"/>
          <w:szCs w:val="22"/>
        </w:rPr>
        <w:t>Default interest is applied for balance amounts. Default interest rate is the interest rate determined according to Article 51 of the Law No. 6183.</w:t>
      </w:r>
    </w:p>
    <w:p w14:paraId="69FDECA8" w14:textId="77777777" w:rsidR="004C0A79" w:rsidRPr="00731F8E" w:rsidRDefault="004C0A79" w:rsidP="00A86526">
      <w:pPr>
        <w:pStyle w:val="P68B1DB1-ListParagraph3"/>
        <w:numPr>
          <w:ilvl w:val="0"/>
          <w:numId w:val="38"/>
        </w:numPr>
        <w:tabs>
          <w:tab w:val="left" w:pos="1874"/>
        </w:tabs>
        <w:spacing w:before="2" w:line="273" w:lineRule="auto"/>
        <w:ind w:left="1575" w:right="132" w:firstLine="0"/>
        <w:rPr>
          <w:rFonts w:ascii="Times New Roman" w:hAnsi="Times New Roman" w:cs="Times New Roman"/>
          <w:szCs w:val="22"/>
        </w:rPr>
      </w:pPr>
      <w:r w:rsidRPr="00731F8E">
        <w:rPr>
          <w:rFonts w:ascii="Times New Roman" w:hAnsi="Times New Roman" w:cs="Times New Roman"/>
          <w:szCs w:val="22"/>
        </w:rPr>
        <w:t>The sixth paragraph of this article shall not apply until the due date of the relevant invoice period. "</w:t>
      </w:r>
    </w:p>
    <w:p w14:paraId="4D6CEB08" w14:textId="77777777" w:rsidR="004C0A79" w:rsidRPr="00731F8E" w:rsidRDefault="004C0A79" w:rsidP="004C0A79">
      <w:pPr>
        <w:pStyle w:val="GvdeMetni"/>
        <w:spacing w:before="46"/>
        <w:rPr>
          <w:rFonts w:cs="Times New Roman"/>
          <w:szCs w:val="22"/>
        </w:rPr>
      </w:pPr>
    </w:p>
    <w:p w14:paraId="6681715D" w14:textId="77777777" w:rsidR="004C0A79" w:rsidRPr="00731F8E" w:rsidRDefault="004C0A79" w:rsidP="00A86526">
      <w:pPr>
        <w:pStyle w:val="ListeParagraf"/>
        <w:widowControl w:val="0"/>
        <w:numPr>
          <w:ilvl w:val="3"/>
          <w:numId w:val="42"/>
        </w:numPr>
        <w:tabs>
          <w:tab w:val="left" w:pos="856"/>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The phrase "closest to the consumption point" after the phrase "electricity needs of consumers" and the phrase "and reducing the amount of losses occurring in the electricity network with" after the phrase "effective use of small-scale generation resources" in the first paragraph of the 1st article of the Amendment Regulation and the Regulation on Unlicensed Electricity Production in the Electricity Market published in the Official Gazette dated 11.08.2022 and numbered 31920, have been abolished.</w:t>
      </w:r>
    </w:p>
    <w:p w14:paraId="0EE6E65D" w14:textId="77777777" w:rsidR="004C0A79" w:rsidRPr="00731F8E" w:rsidRDefault="004C0A79" w:rsidP="004C0A79">
      <w:pPr>
        <w:pStyle w:val="GvdeMetni"/>
        <w:spacing w:before="42"/>
        <w:rPr>
          <w:rFonts w:cs="Times New Roman"/>
          <w:i/>
          <w:szCs w:val="22"/>
        </w:rPr>
      </w:pPr>
    </w:p>
    <w:p w14:paraId="4B202EA3"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3" w:hanging="360"/>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 xml:space="preserve">"the power requested for users subject to the double term tariff class or the power value in the connection agreement for users subject to the double term tariff class calculated by taking cos φ=1, which is 0.60 times the installed power for users subject to the single term tariff class for customers with special transformers, to come after the phrase" multiplied by the utilization factor </w:t>
      </w:r>
      <w:r w:rsidRPr="00731F8E">
        <w:rPr>
          <w:rFonts w:ascii="Times New Roman" w:hAnsi="Times New Roman"/>
        </w:rPr>
        <w:t xml:space="preserve">of the </w:t>
      </w:r>
      <w:r w:rsidRPr="00731F8E">
        <w:rPr>
          <w:rFonts w:ascii="Times New Roman" w:hAnsi="Times New Roman"/>
          <w:i/>
        </w:rPr>
        <w:t xml:space="preserve">installed power "in clause (c) of the first paragraph of Article 4, the phrase" </w:t>
      </w:r>
      <w:r w:rsidRPr="00731F8E">
        <w:rPr>
          <w:rFonts w:ascii="Times New Roman" w:hAnsi="Times New Roman"/>
        </w:rPr>
        <w:t xml:space="preserve"> </w:t>
      </w:r>
      <w:r w:rsidRPr="00731F8E">
        <w:rPr>
          <w:rFonts w:ascii="Times New Roman" w:hAnsi="Times New Roman"/>
          <w:i/>
        </w:rPr>
        <w:t>Presidential decree, Presidential decision</w:t>
      </w:r>
      <w:r w:rsidRPr="00731F8E">
        <w:rPr>
          <w:rFonts w:ascii="Times New Roman" w:hAnsi="Times New Roman"/>
        </w:rPr>
        <w:t xml:space="preserve">, </w:t>
      </w:r>
      <w:r w:rsidRPr="00731F8E">
        <w:rPr>
          <w:rFonts w:ascii="Times New Roman" w:hAnsi="Times New Roman"/>
          <w:i/>
        </w:rPr>
        <w:t>"to come after the phrase" Law on the electricity market</w:t>
      </w:r>
      <w:r w:rsidRPr="00731F8E">
        <w:rPr>
          <w:rFonts w:ascii="Times New Roman" w:hAnsi="Times New Roman"/>
        </w:rPr>
        <w:t xml:space="preserve">, "in clause (i), the phrase" gas obtained from the </w:t>
      </w:r>
      <w:r w:rsidRPr="00731F8E">
        <w:rPr>
          <w:rFonts w:ascii="Times New Roman" w:hAnsi="Times New Roman"/>
          <w:i/>
        </w:rPr>
        <w:t>biomass (including landfill gas), "</w:t>
      </w:r>
      <w:r w:rsidRPr="00731F8E">
        <w:rPr>
          <w:rFonts w:ascii="Times New Roman" w:hAnsi="Times New Roman"/>
        </w:rPr>
        <w:t>following the phrase</w:t>
      </w:r>
      <w:r w:rsidRPr="00731F8E">
        <w:rPr>
          <w:rFonts w:ascii="Times New Roman" w:hAnsi="Times New Roman"/>
          <w:i/>
        </w:rPr>
        <w:t>" geothermal, biomass, "in clause (</w:t>
      </w:r>
      <w:r w:rsidRPr="00731F8E">
        <w:rPr>
          <w:rFonts w:ascii="Times New Roman" w:hAnsi="Times New Roman"/>
        </w:rPr>
        <w:t xml:space="preserve">v), and the phrase" energy </w:t>
      </w:r>
      <w:r w:rsidRPr="00731F8E">
        <w:rPr>
          <w:rFonts w:ascii="Times New Roman" w:hAnsi="Times New Roman"/>
          <w:i/>
        </w:rPr>
        <w:t xml:space="preserve">"following after the phrase" wave, current </w:t>
      </w:r>
      <w:r w:rsidRPr="00731F8E">
        <w:rPr>
          <w:rFonts w:ascii="Times New Roman" w:hAnsi="Times New Roman"/>
        </w:rPr>
        <w:t xml:space="preserve"> </w:t>
      </w:r>
      <w:r w:rsidRPr="00731F8E">
        <w:rPr>
          <w:rFonts w:ascii="Times New Roman" w:hAnsi="Times New Roman"/>
          <w:i/>
        </w:rPr>
        <w:t>"</w:t>
      </w:r>
      <w:r w:rsidRPr="00731F8E">
        <w:rPr>
          <w:rFonts w:ascii="Times New Roman" w:hAnsi="Times New Roman"/>
        </w:rPr>
        <w:t>have been repealed and the following paragraphs have been added to the same paragraph.</w:t>
      </w:r>
    </w:p>
    <w:p w14:paraId="2CAA0D8A" w14:textId="77777777" w:rsidR="004C0A79" w:rsidRPr="00731F8E" w:rsidRDefault="004C0A79" w:rsidP="004C0A79">
      <w:pPr>
        <w:pStyle w:val="GvdeMetni"/>
        <w:spacing w:before="38"/>
        <w:rPr>
          <w:rFonts w:cs="Times New Roman"/>
          <w:i/>
          <w:szCs w:val="22"/>
        </w:rPr>
      </w:pPr>
    </w:p>
    <w:p w14:paraId="12D6374F" w14:textId="77777777" w:rsidR="004C0A79" w:rsidRPr="009E20AD" w:rsidRDefault="004C0A79" w:rsidP="004C0A79">
      <w:pPr>
        <w:pStyle w:val="GvdeMetni"/>
        <w:spacing w:line="276" w:lineRule="auto"/>
        <w:ind w:left="1577"/>
        <w:rPr>
          <w:rFonts w:cs="Times New Roman"/>
          <w:sz w:val="22"/>
          <w:szCs w:val="22"/>
        </w:rPr>
      </w:pPr>
      <w:r w:rsidRPr="009E20AD">
        <w:rPr>
          <w:rFonts w:cs="Times New Roman"/>
          <w:sz w:val="22"/>
          <w:szCs w:val="22"/>
        </w:rPr>
        <w:t>“aa) Relevant period: The period elapsed, including the dates on which the violation defined in the Regulation started and ended,</w:t>
      </w:r>
    </w:p>
    <w:p w14:paraId="3F1492D0" w14:textId="77777777" w:rsidR="004C0A79" w:rsidRPr="009E20AD" w:rsidRDefault="004C0A79" w:rsidP="004C0A79">
      <w:pPr>
        <w:pStyle w:val="GvdeMetni"/>
        <w:spacing w:before="39"/>
        <w:rPr>
          <w:rFonts w:cs="Times New Roman"/>
          <w:sz w:val="22"/>
          <w:szCs w:val="22"/>
        </w:rPr>
      </w:pPr>
    </w:p>
    <w:p w14:paraId="1351097C" w14:textId="77777777" w:rsidR="004C0A79" w:rsidRPr="009E20AD" w:rsidRDefault="004C0A79" w:rsidP="004C0A79">
      <w:pPr>
        <w:pStyle w:val="GvdeMetni"/>
        <w:spacing w:line="276" w:lineRule="auto"/>
        <w:ind w:left="1577"/>
        <w:rPr>
          <w:rFonts w:cs="Times New Roman"/>
          <w:sz w:val="22"/>
          <w:szCs w:val="22"/>
        </w:rPr>
      </w:pPr>
      <w:r w:rsidRPr="009E20AD">
        <w:rPr>
          <w:rFonts w:cs="Times New Roman"/>
          <w:sz w:val="22"/>
          <w:szCs w:val="22"/>
        </w:rPr>
        <w:t>bb) YEPDIS: The Renewable Energy Resources Evaluation and Monitoring System, which includes and operates the information requested by EIGM,</w:t>
      </w:r>
    </w:p>
    <w:p w14:paraId="26E59E4F" w14:textId="77777777" w:rsidR="004C0A79" w:rsidRPr="00731F8E" w:rsidRDefault="004C0A79" w:rsidP="004C0A79">
      <w:pPr>
        <w:pStyle w:val="GvdeMetni"/>
        <w:spacing w:before="39"/>
        <w:rPr>
          <w:rFonts w:cs="Times New Roman"/>
          <w:szCs w:val="22"/>
        </w:rPr>
      </w:pPr>
    </w:p>
    <w:p w14:paraId="51F70262" w14:textId="77777777" w:rsidR="004C0A79" w:rsidRPr="00731F8E" w:rsidRDefault="004C0A79" w:rsidP="00A86526">
      <w:pPr>
        <w:pStyle w:val="ListeParagraf"/>
        <w:widowControl w:val="0"/>
        <w:numPr>
          <w:ilvl w:val="4"/>
          <w:numId w:val="42"/>
        </w:numPr>
        <w:tabs>
          <w:tab w:val="left" w:pos="1576"/>
        </w:tabs>
        <w:autoSpaceDE w:val="0"/>
        <w:autoSpaceDN w:val="0"/>
        <w:spacing w:before="1" w:after="0"/>
        <w:ind w:right="130" w:hanging="360"/>
        <w:contextualSpacing w:val="0"/>
        <w:rPr>
          <w:rFonts w:ascii="Times New Roman" w:hAnsi="Times New Roman"/>
          <w:i/>
        </w:rPr>
      </w:pPr>
      <w:r w:rsidRPr="00731F8E">
        <w:rPr>
          <w:rFonts w:ascii="Times New Roman" w:hAnsi="Times New Roman"/>
        </w:rPr>
        <w:t>The phrase "or irrigation associations," to come after the phrase "</w:t>
      </w:r>
      <w:r w:rsidRPr="00731F8E">
        <w:rPr>
          <w:rFonts w:ascii="Times New Roman" w:hAnsi="Times New Roman"/>
          <w:i/>
        </w:rPr>
        <w:t xml:space="preserve">Electricity subscription to the General Directorate of State Hydraulic Works" in clause (ğ) of the first paragraph of Article 5, the phrase "or irrigation associations," to come after the phrase "by the General Directorate </w:t>
      </w:r>
      <w:r w:rsidRPr="00731F8E">
        <w:rPr>
          <w:rFonts w:ascii="Times New Roman" w:hAnsi="Times New Roman"/>
        </w:rPr>
        <w:t>of State Hydraulic Works", the phrase "</w:t>
      </w:r>
      <w:r w:rsidRPr="00731F8E">
        <w:rPr>
          <w:rFonts w:ascii="Times New Roman" w:hAnsi="Times New Roman"/>
          <w:i/>
        </w:rPr>
        <w:t xml:space="preserve">or by irrigation associations </w:t>
      </w:r>
      <w:r w:rsidRPr="00731F8E">
        <w:rPr>
          <w:rFonts w:ascii="Times New Roman" w:hAnsi="Times New Roman"/>
        </w:rPr>
        <w:t xml:space="preserve">with the </w:t>
      </w:r>
      <w:r w:rsidRPr="00731F8E">
        <w:rPr>
          <w:rFonts w:ascii="Times New Roman" w:hAnsi="Times New Roman"/>
          <w:i/>
        </w:rPr>
        <w:t>permission of DSI</w:t>
      </w:r>
      <w:r w:rsidRPr="00731F8E">
        <w:rPr>
          <w:rFonts w:ascii="Times New Roman" w:hAnsi="Times New Roman"/>
        </w:rPr>
        <w:t xml:space="preserve">" has been added, the phrase "facilities" at the end of the paragraph has been changed to "facility", the clause (h) has been amended as follows, the following clauses have been added to the end of the same paragraph, the phrase </w:t>
      </w:r>
      <w:r w:rsidRPr="00731F8E">
        <w:rPr>
          <w:rFonts w:ascii="Times New Roman" w:hAnsi="Times New Roman"/>
          <w:i/>
        </w:rPr>
        <w:t>"</w:t>
      </w:r>
      <w:r w:rsidRPr="00731F8E">
        <w:rPr>
          <w:rFonts w:ascii="Times New Roman" w:hAnsi="Times New Roman"/>
        </w:rPr>
        <w:t xml:space="preserve">and/or </w:t>
      </w:r>
      <w:r w:rsidRPr="00731F8E">
        <w:rPr>
          <w:rFonts w:ascii="Times New Roman" w:hAnsi="Times New Roman"/>
          <w:i/>
        </w:rPr>
        <w:t>transmission</w:t>
      </w:r>
      <w:r w:rsidRPr="00731F8E">
        <w:rPr>
          <w:rFonts w:ascii="Times New Roman" w:hAnsi="Times New Roman"/>
        </w:rPr>
        <w:t xml:space="preserve">" has been added after the phrase "In the </w:t>
      </w:r>
      <w:r w:rsidRPr="00731F8E">
        <w:rPr>
          <w:rFonts w:ascii="Times New Roman" w:hAnsi="Times New Roman"/>
          <w:i/>
        </w:rPr>
        <w:t xml:space="preserve">framework </w:t>
      </w:r>
      <w:r w:rsidRPr="00731F8E">
        <w:rPr>
          <w:rFonts w:ascii="Times New Roman" w:hAnsi="Times New Roman"/>
        </w:rPr>
        <w:t>of this Regulation, distribution" in the fourth paragraph of the same article, the phrase "and support" has been added after the phrase "same</w:t>
      </w:r>
      <w:r w:rsidRPr="00731F8E">
        <w:rPr>
          <w:rFonts w:ascii="Times New Roman" w:hAnsi="Times New Roman"/>
          <w:i/>
        </w:rPr>
        <w:t xml:space="preserve"> offset</w:t>
      </w:r>
      <w:r w:rsidRPr="00731F8E">
        <w:rPr>
          <w:rFonts w:ascii="Times New Roman" w:hAnsi="Times New Roman"/>
        </w:rPr>
        <w:t xml:space="preserve">", the phrase "source-based generation facility or more than one cogeneration </w:t>
      </w:r>
      <w:r w:rsidRPr="00731F8E">
        <w:rPr>
          <w:rFonts w:ascii="Times New Roman" w:hAnsi="Times New Roman"/>
          <w:i/>
        </w:rPr>
        <w:t>facility at the same measurement point" has been amended as "</w:t>
      </w:r>
      <w:r w:rsidRPr="00731F8E">
        <w:rPr>
          <w:rFonts w:ascii="Times New Roman" w:hAnsi="Times New Roman"/>
        </w:rPr>
        <w:t xml:space="preserve">source-based generation facility and/or or more than one cogeneration facility at the same measurement point”, in the fifth paragraph of the same article the sentence “It is obligatory that the generation </w:t>
      </w:r>
      <w:r w:rsidRPr="00731F8E">
        <w:rPr>
          <w:rFonts w:ascii="Times New Roman" w:hAnsi="Times New Roman"/>
          <w:i/>
        </w:rPr>
        <w:t xml:space="preserve">facilities </w:t>
      </w:r>
      <w:r w:rsidRPr="00731F8E">
        <w:rPr>
          <w:rFonts w:ascii="Times New Roman" w:hAnsi="Times New Roman"/>
        </w:rPr>
        <w:t xml:space="preserve">and consumption facilities of real or legal persons who will establish a generation facility within the scope of this Regulation must be in the same distribution region.” to </w:t>
      </w:r>
      <w:r w:rsidRPr="00731F8E">
        <w:rPr>
          <w:rFonts w:ascii="Times New Roman" w:hAnsi="Times New Roman"/>
        </w:rPr>
        <w:lastRenderedPageBreak/>
        <w:t xml:space="preserve">come after the sentence "However, within the scope of subparagraph (h) of the first paragraph of Article 5, a generation facility may also be established outside the distribution license area where the consumption facility is located." has been added and the phrase "clauses of (a), (b), (ç), (d), (f), (g), (ğ) </w:t>
      </w:r>
      <w:r w:rsidRPr="00731F8E">
        <w:rPr>
          <w:rFonts w:ascii="Times New Roman" w:hAnsi="Times New Roman"/>
          <w:i/>
        </w:rPr>
        <w:t xml:space="preserve">and (h)" </w:t>
      </w:r>
      <w:r w:rsidRPr="00731F8E">
        <w:rPr>
          <w:rFonts w:ascii="Times New Roman" w:hAnsi="Times New Roman"/>
        </w:rPr>
        <w:t xml:space="preserve">in the sixth paragraph of the </w:t>
      </w:r>
      <w:r w:rsidRPr="00731F8E">
        <w:rPr>
          <w:rFonts w:ascii="Times New Roman" w:hAnsi="Times New Roman"/>
          <w:i/>
        </w:rPr>
        <w:t xml:space="preserve">same article has been amended as "(a), (b), (ç), (d), (f), (g), (ğ), (h), (ı) and (i) clauses” </w:t>
      </w:r>
      <w:r w:rsidRPr="00731F8E">
        <w:rPr>
          <w:rFonts w:ascii="Times New Roman" w:hAnsi="Times New Roman"/>
        </w:rPr>
        <w:t>and the following paragraphs have been added to the same article.</w:t>
      </w:r>
    </w:p>
    <w:p w14:paraId="0C234099" w14:textId="77777777" w:rsidR="004C0A79" w:rsidRPr="009E20AD" w:rsidRDefault="004C0A79" w:rsidP="004C0A79">
      <w:pPr>
        <w:ind w:left="1576" w:right="137" w:hanging="1"/>
        <w:rPr>
          <w:rFonts w:ascii="Times New Roman" w:hAnsi="Times New Roman"/>
        </w:rPr>
      </w:pPr>
    </w:p>
    <w:p w14:paraId="3F71DCA3" w14:textId="77777777" w:rsidR="004C0A79" w:rsidRPr="009E20AD" w:rsidRDefault="004C0A79" w:rsidP="00A86526">
      <w:pPr>
        <w:pStyle w:val="GvdeMetni"/>
        <w:numPr>
          <w:ilvl w:val="0"/>
          <w:numId w:val="44"/>
        </w:numPr>
        <w:autoSpaceDE w:val="0"/>
        <w:autoSpaceDN w:val="0"/>
        <w:spacing w:before="40"/>
        <w:ind w:left="1560" w:hanging="426"/>
        <w:rPr>
          <w:rFonts w:cs="Times New Roman"/>
          <w:sz w:val="22"/>
          <w:szCs w:val="22"/>
        </w:rPr>
      </w:pPr>
      <w:r w:rsidRPr="009E20AD">
        <w:rPr>
          <w:rFonts w:cs="Times New Roman"/>
          <w:sz w:val="22"/>
          <w:szCs w:val="22"/>
        </w:rPr>
        <w:t>The phrase "or irrigation associations," to come after the phrase "Electricity subscription to the General Directorate of State Hydraulic Works" in clause (ğ) of the first paragraph of Article 5, the phrase "or irrigation associations," to come after the phrase "by the General Directorate of State Hydraulic Works", the phrase "or by irrigation associations with the permission of DSI" has been added, the phrase "facilities" at the end of the paragraph has been changed to "facility", the clause (h) has been amended as follows, the following clauses have been added to the end of the same paragraph, the phrase "and/or transmission" has been added after the phrase "In the framework of this Regulation, distribution" in the fourth paragraph of the same article, the phrase "and support" has been added after the phrase "same offset", the phrase "source-based generation facility or more than one cogeneration facility at the same measurement point" has been amended as "source-based generation facility and/or or more than one cogeneration facility at the same measurement point”, in the fifth paragraph of the same article the sentence “It is obligatory that the generation facilities and consumption facilities of real or legal persons who will establish a generation facility within the scope of this Regulation must be in the same distribution region.” to come after the sentence "However, within the scope of subparagraph (h) of the first paragraph of Article 5, a generation facility may also be established outside the distribution license area where the consumption facility is located." has been added and the phrase "clauses of (a), (b), (ç), (d), (f), (g), (ğ) and (h)" in the sixth paragraph of the same article has been amended as "(a), (b), (ç), (d), (f), (g), (ğ), (h), (ı) and (i) clauses” and the following paragraphs have been added to the same article.</w:t>
      </w:r>
    </w:p>
    <w:p w14:paraId="0E2A35C1" w14:textId="77777777" w:rsidR="004C0A79" w:rsidRPr="00731F8E" w:rsidRDefault="004C0A79" w:rsidP="004C0A79">
      <w:pPr>
        <w:pStyle w:val="GvdeMetni"/>
        <w:spacing w:before="40"/>
        <w:rPr>
          <w:rFonts w:cs="Times New Roman"/>
          <w:i/>
          <w:szCs w:val="22"/>
        </w:rPr>
      </w:pPr>
    </w:p>
    <w:p w14:paraId="045CED1B"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"h) A generation facility based on renewable energy resources established at the same or different measurement point as the consumption facility, provided that it is twice the contractual power in the connection agreement and other persons are limited to the contractual power in the connection agreement, by the municipalities and their subsidiaries, industrial facilities and agricultural irrigation facilities,"</w:t>
      </w:r>
    </w:p>
    <w:p w14:paraId="7C00DCED" w14:textId="77777777" w:rsidR="004C0A79" w:rsidRPr="009E20AD" w:rsidRDefault="004C0A79" w:rsidP="004C0A79">
      <w:pPr>
        <w:pStyle w:val="GvdeMetni"/>
        <w:spacing w:before="39"/>
        <w:rPr>
          <w:rFonts w:cs="Times New Roman"/>
          <w:sz w:val="22"/>
          <w:szCs w:val="22"/>
        </w:rPr>
      </w:pPr>
    </w:p>
    <w:p w14:paraId="4828722C"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Generation facilities, based on renewable energy resources established upon the positive opinion of the General Directorate of State Hydraulic Works (DSI), and operated by irrigation associations on immovables, the responsibility of which belongs to irrigation associations for the operation, maintenance, repair and management as well as other immovables which are owned by or at the disposal of irrigation associations and the DSI, provided that they are established limited to the contractual power defined in the connection agreement,</w:t>
      </w:r>
    </w:p>
    <w:p w14:paraId="52B0E869" w14:textId="77777777" w:rsidR="004C0A79" w:rsidRPr="009E20AD" w:rsidRDefault="004C0A79" w:rsidP="004C0A79">
      <w:pPr>
        <w:pStyle w:val="GvdeMetni"/>
        <w:spacing w:before="40"/>
        <w:rPr>
          <w:rFonts w:cs="Times New Roman"/>
          <w:sz w:val="22"/>
          <w:szCs w:val="22"/>
        </w:rPr>
      </w:pPr>
    </w:p>
    <w:p w14:paraId="67D0E998"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i) Generation facilities to be established if the legal entities established by special provincial administrations have technical means on the water source of the pressure piped irrigation network or classical canalized networks operated by the special provincial administrations and the network that serves only the purpose of irrigation and if deemed appropriate by DSI.</w:t>
      </w:r>
    </w:p>
    <w:p w14:paraId="549E6A2C" w14:textId="77777777" w:rsidR="004C0A79" w:rsidRPr="009E20AD" w:rsidRDefault="004C0A79" w:rsidP="004C0A79">
      <w:pPr>
        <w:pStyle w:val="GvdeMetni"/>
        <w:spacing w:before="41"/>
        <w:rPr>
          <w:rFonts w:cs="Times New Roman"/>
          <w:sz w:val="22"/>
          <w:szCs w:val="22"/>
        </w:rPr>
      </w:pPr>
    </w:p>
    <w:p w14:paraId="5C5C00C9" w14:textId="77777777" w:rsidR="004C0A79" w:rsidRPr="009E20AD" w:rsidRDefault="004C0A79" w:rsidP="004C0A79">
      <w:pPr>
        <w:pStyle w:val="GvdeMetni"/>
        <w:spacing w:line="276" w:lineRule="auto"/>
        <w:ind w:left="1576" w:right="134"/>
        <w:rPr>
          <w:rFonts w:cs="Times New Roman"/>
          <w:sz w:val="22"/>
          <w:szCs w:val="22"/>
        </w:rPr>
      </w:pPr>
      <w:r w:rsidRPr="009E20AD">
        <w:rPr>
          <w:rFonts w:cs="Times New Roman"/>
          <w:sz w:val="22"/>
          <w:szCs w:val="22"/>
        </w:rPr>
        <w:lastRenderedPageBreak/>
        <w:t>“(9) Set-off transactions carried out pursuant to Article 26 and within the scope of clause (c) of the first paragraph; Provided that the existing consumption facilities associated with the generation facilities for which a call letter is drawn up to the connection agreement, the connection agreement is signed or the acceptance procedures are completed, the consumption facilities located at different measurement points can be associated, and a transition to the scope of clause (h) of the first paragraph can be achieved.</w:t>
      </w:r>
    </w:p>
    <w:p w14:paraId="509700F3" w14:textId="77777777" w:rsidR="004C0A79" w:rsidRPr="009E20AD" w:rsidRDefault="004C0A79" w:rsidP="004C0A79">
      <w:pPr>
        <w:pStyle w:val="GvdeMetni"/>
        <w:spacing w:before="37"/>
        <w:rPr>
          <w:rFonts w:cs="Times New Roman"/>
          <w:sz w:val="22"/>
          <w:szCs w:val="22"/>
        </w:rPr>
      </w:pPr>
    </w:p>
    <w:p w14:paraId="4C0C53A0" w14:textId="77777777" w:rsidR="004C0A79" w:rsidRPr="009E20AD" w:rsidRDefault="004C0A79" w:rsidP="004C0A79">
      <w:pPr>
        <w:pStyle w:val="GvdeMetni"/>
        <w:spacing w:line="276" w:lineRule="auto"/>
        <w:ind w:left="1576" w:right="132"/>
        <w:rPr>
          <w:rFonts w:cs="Times New Roman"/>
          <w:sz w:val="22"/>
          <w:szCs w:val="22"/>
        </w:rPr>
      </w:pPr>
      <w:r w:rsidRPr="009E20AD">
        <w:rPr>
          <w:rFonts w:cs="Times New Roman"/>
          <w:sz w:val="22"/>
          <w:szCs w:val="22"/>
        </w:rPr>
        <w:t>(10) Within the scope of the provisions of provisional Article 1 and provisional Article 4 and within the scope of clause (ç) of the first paragraph, an increase in installed power may be requested within the scope of clause (ç) of the first paragraph for the generation facilities whose settlement procedures are carried out in accordance with Article 26 and for which a letter of invitation is issued to the connection agreement, connection agreement is signed or acceptance procedures are completed. "</w:t>
      </w:r>
    </w:p>
    <w:p w14:paraId="0FF109CE" w14:textId="77777777" w:rsidR="004C0A79" w:rsidRPr="00731F8E" w:rsidRDefault="004C0A79" w:rsidP="004C0A79">
      <w:pPr>
        <w:pStyle w:val="GvdeMetni"/>
        <w:spacing w:before="39"/>
        <w:rPr>
          <w:rFonts w:cs="Times New Roman"/>
          <w:szCs w:val="22"/>
        </w:rPr>
      </w:pPr>
    </w:p>
    <w:p w14:paraId="2D11CDCC"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2" w:hanging="360"/>
        <w:contextualSpacing w:val="0"/>
        <w:rPr>
          <w:rFonts w:ascii="Times New Roman" w:hAnsi="Times New Roman"/>
          <w:i/>
        </w:rPr>
      </w:pPr>
      <w:r w:rsidRPr="00731F8E">
        <w:rPr>
          <w:rFonts w:ascii="Times New Roman" w:hAnsi="Times New Roman"/>
        </w:rPr>
        <w:t>In the second paragraph of Article 7</w:t>
      </w:r>
      <w:r w:rsidRPr="00731F8E">
        <w:rPr>
          <w:rFonts w:ascii="Times New Roman" w:hAnsi="Times New Roman"/>
          <w:i/>
        </w:rPr>
        <w:t xml:space="preserve">, the sentence “For distribution transformers, which are established only for consumption facilities belonging to persons operating in a certain business field and where it is not possible for any outside real or legal person to benefit, or for industrial zones, a generation facility application </w:t>
      </w:r>
      <w:r w:rsidRPr="00731F8E">
        <w:rPr>
          <w:rFonts w:ascii="Times New Roman" w:hAnsi="Times New Roman"/>
        </w:rPr>
        <w:t>can be made up to the maximum transformer power.” to come after the sentence “In case the transformer</w:t>
      </w:r>
      <w:r w:rsidRPr="00731F8E">
        <w:rPr>
          <w:rFonts w:ascii="Times New Roman" w:hAnsi="Times New Roman"/>
          <w:i/>
        </w:rPr>
        <w:t xml:space="preserve"> belongs to the applicant, the said capacity shall be as much as the maximum transformer power.” has been</w:t>
      </w:r>
      <w:r w:rsidRPr="00731F8E">
        <w:rPr>
          <w:rFonts w:ascii="Times New Roman" w:hAnsi="Times New Roman"/>
        </w:rPr>
        <w:t xml:space="preserve"> added, the phrase "</w:t>
      </w:r>
      <w:r w:rsidRPr="00731F8E">
        <w:rPr>
          <w:rFonts w:ascii="Times New Roman" w:hAnsi="Times New Roman"/>
          <w:i/>
        </w:rPr>
        <w:t xml:space="preserve">established for consumption facilities belonging to persons and only persons operating in a certain business area and it is not possible for any real or legal entity to benefit from outside or connected to the system from distribution transformers belonging </w:t>
      </w:r>
      <w:r w:rsidRPr="00731F8E">
        <w:rPr>
          <w:rFonts w:ascii="Times New Roman" w:hAnsi="Times New Roman"/>
        </w:rPr>
        <w:t>to industrial zones</w:t>
      </w:r>
      <w:r w:rsidRPr="00731F8E">
        <w:rPr>
          <w:rFonts w:ascii="Times New Roman" w:hAnsi="Times New Roman"/>
          <w:i/>
        </w:rPr>
        <w:t xml:space="preserve">" has been added after the phrase "within the scope of the first paragraph of Article 11" in the third paragraph of the same article, the following paragraph has been added to the fourth paragraph of the same article, in the sixth paragraph of the same article, the phrase "and/or the nominal apparent power of the transformer </w:t>
      </w:r>
      <w:r w:rsidRPr="00731F8E">
        <w:rPr>
          <w:rFonts w:ascii="Times New Roman" w:hAnsi="Times New Roman"/>
        </w:rPr>
        <w:t xml:space="preserve"> </w:t>
      </w:r>
      <w:r w:rsidRPr="00731F8E">
        <w:rPr>
          <w:rFonts w:ascii="Times New Roman" w:hAnsi="Times New Roman"/>
          <w:i/>
        </w:rPr>
        <w:t xml:space="preserve">without forced cooling in the relevant substation is exceeded" has been added after the phrase "The fault current limit for the relevant </w:t>
      </w:r>
      <w:r w:rsidRPr="00731F8E">
        <w:rPr>
          <w:rFonts w:ascii="Times New Roman" w:hAnsi="Times New Roman"/>
        </w:rPr>
        <w:t xml:space="preserve">substation has been </w:t>
      </w:r>
      <w:r w:rsidRPr="00731F8E">
        <w:rPr>
          <w:rFonts w:ascii="Times New Roman" w:hAnsi="Times New Roman"/>
          <w:i/>
        </w:rPr>
        <w:t>exceeded by TEIAS</w:t>
      </w:r>
      <w:r w:rsidRPr="00731F8E">
        <w:rPr>
          <w:rFonts w:ascii="Times New Roman" w:hAnsi="Times New Roman"/>
        </w:rPr>
        <w:t xml:space="preserve">", in the seventh paragraph of the same article, the phrase "for persons with </w:t>
      </w:r>
      <w:r w:rsidRPr="00731F8E">
        <w:rPr>
          <w:rFonts w:ascii="Times New Roman" w:hAnsi="Times New Roman"/>
          <w:i/>
        </w:rPr>
        <w:t xml:space="preserve">private </w:t>
      </w:r>
      <w:r w:rsidRPr="00731F8E">
        <w:rPr>
          <w:rFonts w:ascii="Times New Roman" w:hAnsi="Times New Roman"/>
        </w:rPr>
        <w:t xml:space="preserve">transformers" has been added to come after the phrase "with the distribution center </w:t>
      </w:r>
      <w:r w:rsidRPr="00731F8E">
        <w:rPr>
          <w:rFonts w:ascii="Times New Roman" w:hAnsi="Times New Roman"/>
          <w:i/>
        </w:rPr>
        <w:t>and energy transmission line</w:t>
      </w:r>
      <w:r w:rsidRPr="00731F8E">
        <w:rPr>
          <w:rFonts w:ascii="Times New Roman" w:hAnsi="Times New Roman"/>
        </w:rPr>
        <w:t xml:space="preserve">", and the phrase "containing the transformer" has been added after the phrase </w:t>
      </w:r>
      <w:r w:rsidRPr="00731F8E">
        <w:rPr>
          <w:rFonts w:ascii="Times New Roman" w:hAnsi="Times New Roman"/>
          <w:i/>
        </w:rPr>
        <w:t>"belonging to the consumption facility</w:t>
      </w:r>
      <w:r w:rsidRPr="00731F8E">
        <w:rPr>
          <w:rFonts w:ascii="Times New Roman" w:hAnsi="Times New Roman"/>
        </w:rPr>
        <w:t xml:space="preserve">", the eighth paragraph of the same article was amended as follows, the phrase </w:t>
      </w:r>
      <w:r w:rsidRPr="00731F8E">
        <w:rPr>
          <w:rFonts w:ascii="Times New Roman" w:hAnsi="Times New Roman"/>
          <w:i/>
        </w:rPr>
        <w:t>“</w:t>
      </w:r>
      <w:r w:rsidRPr="00731F8E">
        <w:rPr>
          <w:rFonts w:ascii="Times New Roman" w:hAnsi="Times New Roman"/>
        </w:rPr>
        <w:t>clauses (</w:t>
      </w:r>
      <w:r w:rsidRPr="00731F8E">
        <w:rPr>
          <w:rFonts w:ascii="Times New Roman" w:hAnsi="Times New Roman"/>
          <w:i/>
        </w:rPr>
        <w:t>c), (f), (ğ) and (h)” in the tenth paragraph of the same article has been changed as “(c)</w:t>
      </w:r>
      <w:r w:rsidRPr="00731F8E">
        <w:rPr>
          <w:rFonts w:ascii="Times New Roman" w:hAnsi="Times New Roman"/>
        </w:rPr>
        <w:t xml:space="preserve">, </w:t>
      </w:r>
      <w:r w:rsidRPr="00731F8E">
        <w:rPr>
          <w:rFonts w:ascii="Times New Roman" w:hAnsi="Times New Roman"/>
          <w:i/>
        </w:rPr>
        <w:t>(f), (ğ) and (ı) clauses”</w:t>
      </w:r>
      <w:r w:rsidRPr="00731F8E">
        <w:rPr>
          <w:rFonts w:ascii="Times New Roman" w:hAnsi="Times New Roman"/>
        </w:rPr>
        <w:t xml:space="preserve">, and in the fourteenth paragraph of the same article, the phrase </w:t>
      </w:r>
      <w:r w:rsidRPr="00731F8E">
        <w:rPr>
          <w:rFonts w:ascii="Times New Roman" w:hAnsi="Times New Roman"/>
          <w:i/>
        </w:rPr>
        <w:t xml:space="preserve">“by entering YEPDIS” </w:t>
      </w:r>
      <w:r w:rsidRPr="00731F8E">
        <w:rPr>
          <w:rFonts w:ascii="Times New Roman" w:hAnsi="Times New Roman"/>
        </w:rPr>
        <w:t>has been added after the phrase “information in the technical evaluation form to be submitted regarding the change for technical evaluation</w:t>
      </w:r>
      <w:r w:rsidRPr="00731F8E">
        <w:rPr>
          <w:rFonts w:ascii="Times New Roman" w:hAnsi="Times New Roman"/>
          <w:i/>
        </w:rPr>
        <w:t xml:space="preserve">” </w:t>
      </w:r>
      <w:r w:rsidRPr="00731F8E">
        <w:rPr>
          <w:rFonts w:ascii="Times New Roman" w:hAnsi="Times New Roman"/>
        </w:rPr>
        <w:t>and the following paragraph has been added to the same article.</w:t>
      </w:r>
    </w:p>
    <w:p w14:paraId="1F10DA29" w14:textId="77777777" w:rsidR="004C0A79" w:rsidRPr="00731F8E" w:rsidRDefault="004C0A79" w:rsidP="004C0A79">
      <w:pPr>
        <w:pStyle w:val="GvdeMetni"/>
        <w:spacing w:before="40"/>
        <w:rPr>
          <w:rFonts w:cs="Times New Roman"/>
          <w:i/>
          <w:szCs w:val="22"/>
        </w:rPr>
      </w:pPr>
    </w:p>
    <w:p w14:paraId="648E2292" w14:textId="77777777" w:rsidR="004C0A79" w:rsidRPr="00731F8E" w:rsidRDefault="004C0A79" w:rsidP="004C0A79">
      <w:pPr>
        <w:pStyle w:val="GvdeMetni"/>
        <w:spacing w:line="276" w:lineRule="auto"/>
        <w:ind w:left="1576" w:right="130"/>
        <w:rPr>
          <w:rFonts w:cs="Times New Roman"/>
          <w:szCs w:val="22"/>
        </w:rPr>
      </w:pPr>
      <w:r w:rsidRPr="00731F8E">
        <w:rPr>
          <w:rFonts w:cs="Times New Roman"/>
          <w:szCs w:val="22"/>
        </w:rPr>
        <w:t>"c) If the facilities based on renewable energy sources to be established within the scope of clause (h) are connected to the system from the transmission level of the consumption facility depending on its installed power or in installations at the same measurement point,"</w:t>
      </w:r>
    </w:p>
    <w:p w14:paraId="3BD12669" w14:textId="77777777" w:rsidR="004C0A79" w:rsidRPr="00731F8E" w:rsidRDefault="004C0A79" w:rsidP="004C0A79">
      <w:pPr>
        <w:pStyle w:val="GvdeMetni"/>
        <w:spacing w:before="38"/>
        <w:rPr>
          <w:rFonts w:cs="Times New Roman"/>
          <w:szCs w:val="22"/>
        </w:rPr>
      </w:pPr>
    </w:p>
    <w:p w14:paraId="61BB6F25"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 xml:space="preserve">"(8) Except for the generation facilities to be established within the scope of clause (h) of the first paragraph of Article 5 with an installed power of 10 MW or more from the transmission or distribution level, no direct connection and feeder allocation shall be made to the substations except </w:t>
      </w:r>
      <w:r w:rsidRPr="00731F8E">
        <w:rPr>
          <w:rFonts w:cs="Times New Roman"/>
          <w:szCs w:val="22"/>
        </w:rPr>
        <w:lastRenderedPageBreak/>
        <w:t>for the exceptions defined in the fourth paragraph for the generation facilities to be established within the scope of this Regulation."</w:t>
      </w:r>
    </w:p>
    <w:p w14:paraId="6EA3D8F2" w14:textId="77777777" w:rsidR="004C0A79" w:rsidRPr="00731F8E" w:rsidRDefault="004C0A79" w:rsidP="004C0A79">
      <w:pPr>
        <w:pStyle w:val="GvdeMetni"/>
        <w:spacing w:before="42"/>
        <w:rPr>
          <w:rFonts w:cs="Times New Roman"/>
          <w:szCs w:val="22"/>
        </w:rPr>
      </w:pPr>
    </w:p>
    <w:p w14:paraId="1EC6BB72"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"(18) In the event that the persons defined in clause (h) of the first paragraph of Article 5 wish to establish a generation facility at the same measurement point and up to twice the contract power in the connection agreement, an increase in power can be requested in the transformers, provided that the contract power in the traction directional connection agreement remains constant for persons with private transformers."</w:t>
      </w:r>
    </w:p>
    <w:p w14:paraId="4911BDE2" w14:textId="77777777" w:rsidR="004C0A79" w:rsidRPr="00731F8E" w:rsidRDefault="004C0A79" w:rsidP="004C0A79">
      <w:pPr>
        <w:pStyle w:val="GvdeMetni"/>
        <w:spacing w:before="40"/>
        <w:rPr>
          <w:rFonts w:cs="Times New Roman"/>
          <w:szCs w:val="22"/>
        </w:rPr>
      </w:pPr>
    </w:p>
    <w:p w14:paraId="48AE6D27" w14:textId="77777777" w:rsidR="004C0A79" w:rsidRPr="00731F8E" w:rsidRDefault="004C0A79" w:rsidP="00A86526">
      <w:pPr>
        <w:pStyle w:val="Balk2"/>
        <w:keepNext w:val="0"/>
        <w:keepLines w:val="0"/>
        <w:widowControl w:val="0"/>
        <w:numPr>
          <w:ilvl w:val="4"/>
          <w:numId w:val="42"/>
        </w:numPr>
        <w:tabs>
          <w:tab w:val="left" w:pos="1576"/>
        </w:tabs>
        <w:autoSpaceDE w:val="0"/>
        <w:autoSpaceDN w:val="0"/>
        <w:spacing w:before="0" w:after="0" w:line="240" w:lineRule="auto"/>
        <w:ind w:hanging="360"/>
        <w:jc w:val="left"/>
        <w:rPr>
          <w:rFonts w:ascii="Times New Roman" w:hAnsi="Times New Roman" w:cs="Times New Roman"/>
          <w:szCs w:val="22"/>
        </w:rPr>
      </w:pPr>
      <w:r w:rsidRPr="00731F8E">
        <w:rPr>
          <w:rFonts w:ascii="Times New Roman" w:hAnsi="Times New Roman" w:cs="Times New Roman"/>
          <w:szCs w:val="22"/>
        </w:rPr>
        <w:t>The first paragraph of Article 10 has been amended as follows.</w:t>
      </w:r>
    </w:p>
    <w:p w14:paraId="669E5A24" w14:textId="77777777" w:rsidR="004C0A79" w:rsidRPr="00731F8E" w:rsidRDefault="004C0A79" w:rsidP="004C0A79">
      <w:pPr>
        <w:pStyle w:val="GvdeMetni"/>
        <w:spacing w:before="79"/>
        <w:rPr>
          <w:rFonts w:cs="Times New Roman"/>
          <w:i/>
          <w:szCs w:val="22"/>
        </w:rPr>
      </w:pPr>
    </w:p>
    <w:p w14:paraId="63F50346"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"(1) Real or legal persons who want to produce within the scope of clauses (c), (ç), (d), (e), (f), (g), (ğ), (h), (ı) and (i) of the first paragraph of Article 5 shall apply to the relevant network operator with the information and documents determined by the decision of the Board."</w:t>
      </w:r>
    </w:p>
    <w:p w14:paraId="498B795C" w14:textId="77777777" w:rsidR="004C0A79" w:rsidRPr="00731F8E" w:rsidRDefault="004C0A79" w:rsidP="004C0A79">
      <w:pPr>
        <w:pStyle w:val="GvdeMetni"/>
        <w:spacing w:before="41"/>
        <w:rPr>
          <w:rFonts w:cs="Times New Roman"/>
          <w:szCs w:val="22"/>
        </w:rPr>
      </w:pPr>
    </w:p>
    <w:p w14:paraId="06BB8B9A" w14:textId="77777777" w:rsidR="004C0A79" w:rsidRPr="00731F8E" w:rsidRDefault="004C0A79" w:rsidP="00A86526">
      <w:pPr>
        <w:pStyle w:val="ListeParagraf"/>
        <w:widowControl w:val="0"/>
        <w:numPr>
          <w:ilvl w:val="4"/>
          <w:numId w:val="42"/>
        </w:numPr>
        <w:tabs>
          <w:tab w:val="left" w:pos="1576"/>
        </w:tabs>
        <w:autoSpaceDE w:val="0"/>
        <w:autoSpaceDN w:val="0"/>
        <w:spacing w:after="0" w:line="273" w:lineRule="auto"/>
        <w:ind w:right="132" w:hanging="360"/>
        <w:contextualSpacing w:val="0"/>
        <w:jc w:val="left"/>
        <w:rPr>
          <w:rFonts w:ascii="Times New Roman" w:hAnsi="Times New Roman"/>
        </w:rPr>
      </w:pPr>
      <w:r w:rsidRPr="00731F8E">
        <w:rPr>
          <w:rFonts w:ascii="Times New Roman" w:hAnsi="Times New Roman"/>
        </w:rPr>
        <w:t xml:space="preserve">The phrase "to 10 kW </w:t>
      </w:r>
      <w:r w:rsidRPr="00731F8E">
        <w:rPr>
          <w:rFonts w:ascii="Times New Roman" w:hAnsi="Times New Roman"/>
          <w:i/>
        </w:rPr>
        <w:t xml:space="preserve">(including 10 kW)" </w:t>
      </w:r>
      <w:r w:rsidRPr="00731F8E">
        <w:rPr>
          <w:rFonts w:ascii="Times New Roman" w:hAnsi="Times New Roman"/>
        </w:rPr>
        <w:t xml:space="preserve">in the first paragraph of Article 11 has been changed to </w:t>
      </w:r>
      <w:r w:rsidRPr="00731F8E">
        <w:rPr>
          <w:rFonts w:ascii="Times New Roman" w:hAnsi="Times New Roman"/>
          <w:i/>
        </w:rPr>
        <w:t>"to 25 kW (including 25 kW)</w:t>
      </w:r>
      <w:r w:rsidRPr="00731F8E">
        <w:rPr>
          <w:rFonts w:ascii="Times New Roman" w:hAnsi="Times New Roman"/>
        </w:rPr>
        <w:t>" and the following paragraph has been added to the same article.</w:t>
      </w:r>
    </w:p>
    <w:p w14:paraId="63E749DE" w14:textId="77777777" w:rsidR="004C0A79" w:rsidRPr="00731F8E" w:rsidRDefault="004C0A79" w:rsidP="004C0A79">
      <w:pPr>
        <w:pStyle w:val="GvdeMetni"/>
        <w:spacing w:before="26" w:line="276" w:lineRule="auto"/>
        <w:ind w:left="1576" w:right="131"/>
        <w:rPr>
          <w:rFonts w:cs="Times New Roman"/>
          <w:szCs w:val="22"/>
        </w:rPr>
      </w:pPr>
      <w:r w:rsidRPr="00731F8E">
        <w:rPr>
          <w:rFonts w:cs="Times New Roman"/>
          <w:szCs w:val="22"/>
        </w:rPr>
        <w:t>"(5) In unlicensed generation applications where pyrolytic oil and pyrolytic gas, which are by-products resulting from the processing of waste tires, are planned to be used as fuel, the fuel in question should be produced at the relevant electricity generation facility and no other sources other than these sources should be used."</w:t>
      </w:r>
    </w:p>
    <w:p w14:paraId="3B09A8F5" w14:textId="77777777" w:rsidR="004C0A79" w:rsidRPr="00731F8E" w:rsidRDefault="004C0A79" w:rsidP="004C0A79">
      <w:pPr>
        <w:pStyle w:val="GvdeMetni"/>
        <w:spacing w:before="41"/>
        <w:rPr>
          <w:rFonts w:cs="Times New Roman"/>
          <w:szCs w:val="22"/>
        </w:rPr>
      </w:pPr>
    </w:p>
    <w:p w14:paraId="7CA39AA3" w14:textId="77777777" w:rsidR="004C0A79" w:rsidRPr="00731F8E" w:rsidRDefault="004C0A79" w:rsidP="00A86526">
      <w:pPr>
        <w:pStyle w:val="Balk2"/>
        <w:keepNext w:val="0"/>
        <w:keepLines w:val="0"/>
        <w:widowControl w:val="0"/>
        <w:numPr>
          <w:ilvl w:val="4"/>
          <w:numId w:val="42"/>
        </w:numPr>
        <w:tabs>
          <w:tab w:val="left" w:pos="1574"/>
          <w:tab w:val="left" w:pos="1576"/>
        </w:tabs>
        <w:autoSpaceDE w:val="0"/>
        <w:autoSpaceDN w:val="0"/>
        <w:spacing w:before="1" w:after="0"/>
        <w:ind w:right="133" w:hanging="361"/>
        <w:rPr>
          <w:rFonts w:ascii="Times New Roman" w:hAnsi="Times New Roman" w:cs="Times New Roman"/>
          <w:szCs w:val="22"/>
        </w:rPr>
      </w:pPr>
      <w:r w:rsidRPr="00731F8E">
        <w:rPr>
          <w:rFonts w:ascii="Times New Roman" w:hAnsi="Times New Roman" w:cs="Times New Roman"/>
          <w:szCs w:val="22"/>
        </w:rPr>
        <w:t xml:space="preserve">The phrase </w:t>
      </w:r>
      <w:r w:rsidRPr="00731F8E">
        <w:rPr>
          <w:rFonts w:ascii="Times New Roman" w:hAnsi="Times New Roman" w:cs="Times New Roman"/>
          <w:i/>
          <w:szCs w:val="22"/>
        </w:rPr>
        <w:t xml:space="preserve">"fifteen" </w:t>
      </w:r>
      <w:r w:rsidRPr="00731F8E">
        <w:rPr>
          <w:rFonts w:ascii="Times New Roman" w:hAnsi="Times New Roman" w:cs="Times New Roman"/>
          <w:szCs w:val="22"/>
        </w:rPr>
        <w:t xml:space="preserve">in the first paragraph of Article 13 has been changed to </w:t>
      </w:r>
      <w:r w:rsidRPr="00731F8E">
        <w:rPr>
          <w:rFonts w:ascii="Times New Roman" w:hAnsi="Times New Roman" w:cs="Times New Roman"/>
          <w:i/>
          <w:szCs w:val="22"/>
        </w:rPr>
        <w:t xml:space="preserve">"twenty" </w:t>
      </w:r>
      <w:r w:rsidRPr="00731F8E">
        <w:rPr>
          <w:rFonts w:ascii="Times New Roman" w:hAnsi="Times New Roman" w:cs="Times New Roman"/>
          <w:szCs w:val="22"/>
        </w:rPr>
        <w:t>and the phrase "</w:t>
      </w:r>
      <w:r w:rsidRPr="00731F8E">
        <w:rPr>
          <w:rFonts w:ascii="Times New Roman" w:hAnsi="Times New Roman" w:cs="Times New Roman"/>
          <w:i/>
          <w:szCs w:val="22"/>
        </w:rPr>
        <w:t xml:space="preserve">fifteen" </w:t>
      </w:r>
      <w:r w:rsidRPr="00731F8E">
        <w:rPr>
          <w:rFonts w:ascii="Times New Roman" w:hAnsi="Times New Roman" w:cs="Times New Roman"/>
          <w:szCs w:val="22"/>
        </w:rPr>
        <w:t xml:space="preserve">in the fourth paragraph of the same article has been changed to </w:t>
      </w:r>
      <w:r w:rsidRPr="00731F8E">
        <w:rPr>
          <w:rFonts w:ascii="Times New Roman" w:hAnsi="Times New Roman" w:cs="Times New Roman"/>
          <w:i/>
          <w:szCs w:val="22"/>
        </w:rPr>
        <w:t>"twenty"</w:t>
      </w:r>
      <w:r w:rsidRPr="00731F8E">
        <w:rPr>
          <w:rFonts w:ascii="Times New Roman" w:hAnsi="Times New Roman" w:cs="Times New Roman"/>
          <w:szCs w:val="22"/>
        </w:rPr>
        <w:t>.</w:t>
      </w:r>
    </w:p>
    <w:p w14:paraId="2B70650A" w14:textId="77777777" w:rsidR="004C0A79" w:rsidRPr="00731F8E" w:rsidRDefault="004C0A79" w:rsidP="004C0A79">
      <w:pPr>
        <w:pStyle w:val="GvdeMetni"/>
        <w:spacing w:before="38"/>
        <w:rPr>
          <w:rFonts w:cs="Times New Roman"/>
          <w:i/>
          <w:szCs w:val="22"/>
        </w:rPr>
      </w:pPr>
    </w:p>
    <w:p w14:paraId="11E0F3FF"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1" w:hanging="360"/>
        <w:contextualSpacing w:val="0"/>
        <w:rPr>
          <w:rFonts w:ascii="Times New Roman" w:hAnsi="Times New Roman"/>
        </w:rPr>
      </w:pPr>
      <w:r w:rsidRPr="00731F8E">
        <w:rPr>
          <w:rFonts w:ascii="Times New Roman" w:hAnsi="Times New Roman"/>
        </w:rPr>
        <w:t xml:space="preserve">The first paragraph of Article 14 has been amended </w:t>
      </w:r>
      <w:r w:rsidRPr="00731F8E">
        <w:rPr>
          <w:rFonts w:ascii="Times New Roman" w:hAnsi="Times New Roman"/>
          <w:i/>
        </w:rPr>
        <w:t xml:space="preserve">as follows, the phrase "taking into account the transmission or distribution network constraints as of the connection </w:t>
      </w:r>
      <w:r w:rsidRPr="00731F8E">
        <w:rPr>
          <w:rFonts w:ascii="Times New Roman" w:hAnsi="Times New Roman"/>
        </w:rPr>
        <w:t xml:space="preserve">point" has been added to come after the phrase </w:t>
      </w:r>
      <w:r w:rsidRPr="00731F8E">
        <w:rPr>
          <w:rFonts w:ascii="Times New Roman" w:hAnsi="Times New Roman"/>
          <w:i/>
        </w:rPr>
        <w:t>"evaluation of the facility planned to be established in terms of measurement and protection system</w:t>
      </w:r>
      <w:r w:rsidRPr="00731F8E">
        <w:rPr>
          <w:rFonts w:ascii="Times New Roman" w:hAnsi="Times New Roman"/>
        </w:rPr>
        <w:t>" in the third paragraph of the same article, the phrase "</w:t>
      </w:r>
      <w:r w:rsidRPr="00731F8E">
        <w:rPr>
          <w:rFonts w:ascii="Times New Roman" w:hAnsi="Times New Roman"/>
          <w:i/>
        </w:rPr>
        <w:t>if any</w:t>
      </w:r>
      <w:r w:rsidRPr="00731F8E">
        <w:rPr>
          <w:rFonts w:ascii="Times New Roman" w:hAnsi="Times New Roman"/>
        </w:rPr>
        <w:t xml:space="preserve"> </w:t>
      </w:r>
      <w:r w:rsidRPr="00731F8E">
        <w:rPr>
          <w:rFonts w:ascii="Times New Roman" w:hAnsi="Times New Roman"/>
          <w:i/>
        </w:rPr>
        <w:t>" has been added to come after the phrase "Applications after technical evaluation results</w:t>
      </w:r>
      <w:r w:rsidRPr="00731F8E">
        <w:rPr>
          <w:rFonts w:ascii="Times New Roman" w:hAnsi="Times New Roman"/>
        </w:rPr>
        <w:t xml:space="preserve">" in the fourth paragraph of the same article, the phrase </w:t>
      </w:r>
      <w:r w:rsidRPr="00731F8E">
        <w:rPr>
          <w:rFonts w:ascii="Times New Roman" w:hAnsi="Times New Roman"/>
          <w:i/>
        </w:rPr>
        <w:t xml:space="preserve">"fifteen" </w:t>
      </w:r>
      <w:r w:rsidRPr="00731F8E">
        <w:rPr>
          <w:rFonts w:ascii="Times New Roman" w:hAnsi="Times New Roman"/>
        </w:rPr>
        <w:t xml:space="preserve">in the eighth paragraph of the same article has been changed to </w:t>
      </w:r>
      <w:r w:rsidRPr="00731F8E">
        <w:rPr>
          <w:rFonts w:ascii="Times New Roman" w:hAnsi="Times New Roman"/>
          <w:i/>
        </w:rPr>
        <w:t>"twenty"</w:t>
      </w:r>
      <w:r w:rsidRPr="00731F8E">
        <w:rPr>
          <w:rFonts w:ascii="Times New Roman" w:hAnsi="Times New Roman"/>
        </w:rPr>
        <w:t>.</w:t>
      </w:r>
    </w:p>
    <w:p w14:paraId="7DFD3C6C" w14:textId="77777777" w:rsidR="004C0A79" w:rsidRPr="00731F8E" w:rsidRDefault="004C0A79" w:rsidP="004C0A79">
      <w:pPr>
        <w:pStyle w:val="GvdeMetni"/>
        <w:spacing w:before="39"/>
        <w:rPr>
          <w:rFonts w:cs="Times New Roman"/>
          <w:i/>
          <w:szCs w:val="22"/>
        </w:rPr>
      </w:pPr>
    </w:p>
    <w:p w14:paraId="770403AD"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"(1) Applications that are found to be made in complete shall be evaluated technically by the commission within twenty days of the month following the month in which the evaluation is made in terms of documents. Applications notified by TEİAŞ that the fault current limit and/or the nominal apparent power of the transformer in the relevant substation without forced cooling are exceeded are rejected without technical evaluation."</w:t>
      </w:r>
    </w:p>
    <w:p w14:paraId="700DFB35" w14:textId="77777777" w:rsidR="004C0A79" w:rsidRPr="00731F8E" w:rsidRDefault="004C0A79" w:rsidP="004C0A79">
      <w:pPr>
        <w:pStyle w:val="GvdeMetni"/>
        <w:spacing w:before="40"/>
        <w:rPr>
          <w:rFonts w:cs="Times New Roman"/>
          <w:szCs w:val="22"/>
        </w:rPr>
      </w:pPr>
    </w:p>
    <w:p w14:paraId="636B07BA" w14:textId="77777777" w:rsidR="004C0A79" w:rsidRPr="00731F8E" w:rsidRDefault="004C0A79" w:rsidP="00A86526">
      <w:pPr>
        <w:pStyle w:val="ListeParagraf"/>
        <w:widowControl w:val="0"/>
        <w:numPr>
          <w:ilvl w:val="4"/>
          <w:numId w:val="42"/>
        </w:numPr>
        <w:tabs>
          <w:tab w:val="left" w:pos="1576"/>
        </w:tabs>
        <w:autoSpaceDE w:val="0"/>
        <w:autoSpaceDN w:val="0"/>
        <w:spacing w:after="0"/>
        <w:ind w:right="133" w:hanging="360"/>
        <w:contextualSpacing w:val="0"/>
        <w:rPr>
          <w:rFonts w:ascii="Times New Roman" w:hAnsi="Times New Roman"/>
        </w:rPr>
      </w:pPr>
      <w:r w:rsidRPr="00731F8E">
        <w:rPr>
          <w:rFonts w:ascii="Times New Roman" w:hAnsi="Times New Roman"/>
        </w:rPr>
        <w:t xml:space="preserve">In the first paragraph of Article 16, the phrase </w:t>
      </w:r>
      <w:r w:rsidRPr="00731F8E">
        <w:rPr>
          <w:rFonts w:ascii="Times New Roman" w:hAnsi="Times New Roman"/>
          <w:i/>
        </w:rPr>
        <w:t>"by entering YEPDIS" has been added to come after the phrase "</w:t>
      </w:r>
      <w:r w:rsidRPr="00731F8E">
        <w:rPr>
          <w:rFonts w:ascii="Times New Roman" w:hAnsi="Times New Roman"/>
        </w:rPr>
        <w:t>for technical evaluation within ten working days from the date of approval of the application</w:t>
      </w:r>
      <w:r w:rsidRPr="00731F8E">
        <w:rPr>
          <w:rFonts w:ascii="Times New Roman" w:hAnsi="Times New Roman"/>
          <w:i/>
        </w:rPr>
        <w:t>"</w:t>
      </w:r>
      <w:r w:rsidRPr="00731F8E">
        <w:rPr>
          <w:rFonts w:ascii="Times New Roman" w:hAnsi="Times New Roman"/>
        </w:rPr>
        <w:t>.</w:t>
      </w:r>
    </w:p>
    <w:p w14:paraId="1C1464EE" w14:textId="77777777" w:rsidR="004C0A79" w:rsidRPr="00731F8E" w:rsidRDefault="004C0A79" w:rsidP="004C0A79">
      <w:pPr>
        <w:pStyle w:val="GvdeMetni"/>
        <w:spacing w:before="41"/>
        <w:rPr>
          <w:rFonts w:cs="Times New Roman"/>
          <w:i/>
          <w:szCs w:val="22"/>
        </w:rPr>
      </w:pPr>
    </w:p>
    <w:p w14:paraId="5570C9B0" w14:textId="77777777" w:rsidR="004C0A79" w:rsidRPr="00731F8E" w:rsidRDefault="004C0A79" w:rsidP="00A86526">
      <w:pPr>
        <w:pStyle w:val="Balk2"/>
        <w:keepNext w:val="0"/>
        <w:keepLines w:val="0"/>
        <w:widowControl w:val="0"/>
        <w:numPr>
          <w:ilvl w:val="4"/>
          <w:numId w:val="42"/>
        </w:numPr>
        <w:tabs>
          <w:tab w:val="left" w:pos="1576"/>
        </w:tabs>
        <w:autoSpaceDE w:val="0"/>
        <w:autoSpaceDN w:val="0"/>
        <w:spacing w:before="0" w:after="0"/>
        <w:ind w:right="132" w:hanging="360"/>
        <w:rPr>
          <w:rFonts w:ascii="Times New Roman" w:hAnsi="Times New Roman" w:cs="Times New Roman"/>
          <w:szCs w:val="22"/>
        </w:rPr>
      </w:pPr>
      <w:r w:rsidRPr="00731F8E">
        <w:rPr>
          <w:rFonts w:ascii="Times New Roman" w:hAnsi="Times New Roman" w:cs="Times New Roman"/>
          <w:szCs w:val="22"/>
        </w:rPr>
        <w:t>The first paragraph of Article 17 has been amended as follows, the following clause has been added to the second paragraph of the same article, and the third paragraph has been amended as follows.</w:t>
      </w:r>
    </w:p>
    <w:p w14:paraId="62F64CDC" w14:textId="77777777" w:rsidR="004C0A79" w:rsidRPr="00731F8E" w:rsidRDefault="004C0A79" w:rsidP="004C0A79">
      <w:pPr>
        <w:pStyle w:val="GvdeMetni"/>
        <w:spacing w:before="40"/>
        <w:rPr>
          <w:rFonts w:cs="Times New Roman"/>
          <w:i/>
          <w:szCs w:val="22"/>
        </w:rPr>
      </w:pPr>
    </w:p>
    <w:p w14:paraId="1DEF91A7"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 xml:space="preserve">"(1) Those to whom a call letter has been notified to the connection agreement shall be given a period of one hundred and eighty days from the date of notification of the call letter to the connection </w:t>
      </w:r>
      <w:r w:rsidRPr="00731F8E">
        <w:rPr>
          <w:rFonts w:cs="Times New Roman"/>
          <w:szCs w:val="22"/>
        </w:rPr>
        <w:lastRenderedPageBreak/>
        <w:t>agreement. The owners of the call letter to the connection agreement apply to the relevant administration for the projects subject to the Annex-1 List of the Environmental Impact Assessment Regulation and the projects for which the ‘EIA is Required’ decision is made within the first thirty days of the said period and within the first ninety days, submit the generation facility and the connection line project, if any, to the approval of the Ministry or the institutions and/or legal entities authorized by the Ministry. The connection applications of real or legal entities who do not apply within the periods specified above are deemed invalid and the documents submitted by them are returned to them."</w:t>
      </w:r>
    </w:p>
    <w:p w14:paraId="0AB38591" w14:textId="77777777" w:rsidR="004C0A79" w:rsidRPr="00731F8E" w:rsidRDefault="004C0A79" w:rsidP="004C0A79">
      <w:pPr>
        <w:pStyle w:val="GvdeMetni"/>
        <w:spacing w:before="40"/>
        <w:rPr>
          <w:rFonts w:cs="Times New Roman"/>
          <w:szCs w:val="22"/>
        </w:rPr>
      </w:pPr>
    </w:p>
    <w:p w14:paraId="2417D39C" w14:textId="77777777" w:rsidR="004C0A79" w:rsidRPr="00731F8E" w:rsidRDefault="004C0A79" w:rsidP="004C0A79">
      <w:pPr>
        <w:pStyle w:val="GvdeMetni"/>
        <w:spacing w:line="276" w:lineRule="auto"/>
        <w:ind w:left="1576" w:right="134"/>
        <w:rPr>
          <w:rFonts w:cs="Times New Roman"/>
          <w:szCs w:val="22"/>
        </w:rPr>
      </w:pPr>
      <w:r w:rsidRPr="00731F8E">
        <w:rPr>
          <w:rFonts w:cs="Times New Roman"/>
          <w:szCs w:val="22"/>
        </w:rPr>
        <w:t>"c) Document issued by the relevant administration for the projects subject to Annex-1 List of the Environmental Impact Assessment Regulation and the projects for which the ‘EIA is Required’ decision is made."</w:t>
      </w:r>
    </w:p>
    <w:p w14:paraId="411DC989" w14:textId="77777777" w:rsidR="004C0A79" w:rsidRPr="00731F8E" w:rsidRDefault="004C0A79" w:rsidP="004C0A79">
      <w:pPr>
        <w:pStyle w:val="GvdeMetni"/>
        <w:spacing w:before="37" w:line="276" w:lineRule="auto"/>
        <w:ind w:left="1576" w:right="132"/>
        <w:rPr>
          <w:rFonts w:cs="Times New Roman"/>
          <w:szCs w:val="22"/>
        </w:rPr>
      </w:pPr>
      <w:r w:rsidRPr="00731F8E">
        <w:rPr>
          <w:rFonts w:cs="Times New Roman"/>
          <w:szCs w:val="22"/>
        </w:rPr>
        <w:t>"(3) Applicants who cannot obtain the documents specified in the second paragraph in a timely manner shall be given an additional period of one hundred and eighty days by the relevant network operator, provided that they apply to the relevant network operator in writing within the periods specified in the first paragraph and certify with documents that they have made the relevant applications within the period defined in the first paragraph in this application."</w:t>
      </w:r>
    </w:p>
    <w:p w14:paraId="2EC959A6" w14:textId="77777777" w:rsidR="004C0A79" w:rsidRPr="00731F8E" w:rsidRDefault="004C0A79" w:rsidP="004C0A79">
      <w:pPr>
        <w:pStyle w:val="GvdeMetni"/>
        <w:spacing w:before="42"/>
        <w:rPr>
          <w:rFonts w:cs="Times New Roman"/>
          <w:szCs w:val="22"/>
        </w:rPr>
      </w:pPr>
    </w:p>
    <w:p w14:paraId="7D80F6B7"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first paragraph of Article 19 has been amended as follows.</w:t>
      </w:r>
    </w:p>
    <w:p w14:paraId="5785BA46" w14:textId="77777777" w:rsidR="004C0A79" w:rsidRPr="00731F8E" w:rsidRDefault="004C0A79" w:rsidP="004C0A79">
      <w:pPr>
        <w:pStyle w:val="GvdeMetni"/>
        <w:spacing w:before="79"/>
        <w:rPr>
          <w:rFonts w:cs="Times New Roman"/>
          <w:i/>
          <w:szCs w:val="22"/>
        </w:rPr>
      </w:pPr>
    </w:p>
    <w:p w14:paraId="4047E992"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"(1) Without prejudice to the provision of the seventh paragraph of Article 30, as of the date of signature of the connection agreement, the acceptance procedures of the generation facilities to be connected to the network in accordance with the provisions of this Regulation;</w:t>
      </w:r>
    </w:p>
    <w:p w14:paraId="21D84D39" w14:textId="77777777" w:rsidR="004C0A79" w:rsidRPr="00731F8E" w:rsidRDefault="004C0A79" w:rsidP="00A86526">
      <w:pPr>
        <w:pStyle w:val="P68B1DB1-ListParagraph3"/>
        <w:numPr>
          <w:ilvl w:val="5"/>
          <w:numId w:val="42"/>
        </w:numPr>
        <w:tabs>
          <w:tab w:val="left" w:pos="1808"/>
        </w:tabs>
        <w:spacing w:line="276" w:lineRule="auto"/>
        <w:ind w:right="134" w:firstLine="0"/>
        <w:rPr>
          <w:rFonts w:ascii="Times New Roman" w:hAnsi="Times New Roman" w:cs="Times New Roman"/>
          <w:szCs w:val="22"/>
        </w:rPr>
      </w:pPr>
      <w:r w:rsidRPr="00731F8E">
        <w:rPr>
          <w:rFonts w:ascii="Times New Roman" w:hAnsi="Times New Roman" w:cs="Times New Roman"/>
          <w:szCs w:val="22"/>
        </w:rPr>
        <w:t xml:space="preserve">One year in all generation facilities using the distribution transformer of the relevant network operator, </w:t>
      </w:r>
    </w:p>
    <w:p w14:paraId="02174C9E" w14:textId="77777777" w:rsidR="004C0A79" w:rsidRPr="00731F8E" w:rsidRDefault="004C0A79" w:rsidP="00A86526">
      <w:pPr>
        <w:pStyle w:val="P68B1DB1-ListParagraph3"/>
        <w:numPr>
          <w:ilvl w:val="5"/>
          <w:numId w:val="42"/>
        </w:numPr>
        <w:tabs>
          <w:tab w:val="left" w:pos="1808"/>
        </w:tabs>
        <w:spacing w:line="276" w:lineRule="auto"/>
        <w:ind w:right="134" w:firstLine="0"/>
        <w:rPr>
          <w:rFonts w:ascii="Times New Roman" w:hAnsi="Times New Roman" w:cs="Times New Roman"/>
          <w:szCs w:val="22"/>
        </w:rPr>
      </w:pPr>
      <w:r w:rsidRPr="00731F8E">
        <w:rPr>
          <w:rFonts w:ascii="Times New Roman" w:hAnsi="Times New Roman" w:cs="Times New Roman"/>
          <w:szCs w:val="22"/>
        </w:rPr>
        <w:t xml:space="preserve">b) Does not use the distribution transformer belonging to the relevant network operator, </w:t>
      </w:r>
    </w:p>
    <w:p w14:paraId="52E2F2C2" w14:textId="77777777" w:rsidR="004C0A79" w:rsidRPr="00731F8E" w:rsidRDefault="004C0A79" w:rsidP="004C0A79">
      <w:pPr>
        <w:pStyle w:val="P68B1DB1-ListParagraph3"/>
        <w:tabs>
          <w:tab w:val="left" w:pos="1808"/>
        </w:tabs>
        <w:spacing w:line="276" w:lineRule="auto"/>
        <w:ind w:left="1576" w:right="134" w:firstLine="0"/>
        <w:jc w:val="left"/>
        <w:rPr>
          <w:rFonts w:ascii="Times New Roman" w:hAnsi="Times New Roman" w:cs="Times New Roman"/>
          <w:szCs w:val="22"/>
        </w:rPr>
      </w:pPr>
      <w:r w:rsidRPr="00731F8E">
        <w:rPr>
          <w:rFonts w:ascii="Times New Roman" w:hAnsi="Times New Roman" w:cs="Times New Roman"/>
          <w:szCs w:val="22"/>
        </w:rPr>
        <w:t xml:space="preserve">1) Three years in generation facilities based on hydraulic welding, </w:t>
      </w:r>
    </w:p>
    <w:p w14:paraId="6787E082" w14:textId="77777777" w:rsidR="004C0A79" w:rsidRPr="00731F8E" w:rsidRDefault="004C0A79" w:rsidP="004C0A79">
      <w:pPr>
        <w:pStyle w:val="P68B1DB1-ListParagraph3"/>
        <w:tabs>
          <w:tab w:val="left" w:pos="1808"/>
        </w:tabs>
        <w:spacing w:line="276" w:lineRule="auto"/>
        <w:ind w:left="1576" w:right="134" w:firstLine="0"/>
        <w:jc w:val="left"/>
        <w:rPr>
          <w:rFonts w:ascii="Times New Roman" w:hAnsi="Times New Roman" w:cs="Times New Roman"/>
          <w:szCs w:val="22"/>
        </w:rPr>
      </w:pPr>
      <w:r w:rsidRPr="00731F8E">
        <w:rPr>
          <w:rFonts w:ascii="Times New Roman" w:hAnsi="Times New Roman" w:cs="Times New Roman"/>
          <w:szCs w:val="22"/>
        </w:rPr>
        <w:t xml:space="preserve">2) Two years in generation facilities based on other sources. </w:t>
      </w:r>
    </w:p>
    <w:p w14:paraId="62BCB883" w14:textId="77777777" w:rsidR="004C0A79" w:rsidRPr="00731F8E" w:rsidRDefault="004C0A79" w:rsidP="004C0A79">
      <w:pPr>
        <w:pStyle w:val="P68B1DB1-ListParagraph3"/>
        <w:tabs>
          <w:tab w:val="left" w:pos="1808"/>
        </w:tabs>
        <w:spacing w:line="276" w:lineRule="auto"/>
        <w:ind w:left="1576" w:right="134" w:firstLine="0"/>
        <w:jc w:val="left"/>
        <w:rPr>
          <w:rFonts w:ascii="Times New Roman" w:hAnsi="Times New Roman" w:cs="Times New Roman"/>
          <w:szCs w:val="22"/>
        </w:rPr>
      </w:pPr>
      <w:r w:rsidRPr="00731F8E">
        <w:rPr>
          <w:rFonts w:ascii="Times New Roman" w:hAnsi="Times New Roman" w:cs="Times New Roman"/>
          <w:szCs w:val="22"/>
        </w:rPr>
        <w:t>c) The period stipulated for generation facilities with the same qualifications within the framework of the Electricity Market License Regulation published in the Official Gazette dated 2/11/2013 and numbered 28809, at the generation facilities to be connected to the transmission network, must be completed within the stipulated time.</w:t>
      </w:r>
    </w:p>
    <w:p w14:paraId="7CFF58E5" w14:textId="77777777" w:rsidR="004C0A79" w:rsidRPr="00731F8E" w:rsidRDefault="004C0A79" w:rsidP="004C0A79">
      <w:pPr>
        <w:pStyle w:val="GvdeMetni"/>
        <w:spacing w:line="276" w:lineRule="auto"/>
        <w:ind w:left="1576" w:right="130"/>
        <w:rPr>
          <w:rFonts w:cs="Times New Roman"/>
          <w:szCs w:val="22"/>
        </w:rPr>
      </w:pPr>
      <w:r w:rsidRPr="00731F8E">
        <w:rPr>
          <w:rFonts w:cs="Times New Roman"/>
          <w:szCs w:val="22"/>
        </w:rPr>
        <w:t>These periods are also included in the connection agreements to be signed after the entry into force of this article. Except for the force majeure specified in Article 35 of the Electricity Market License Regulation and the cases deemed appropriate by the Board, if the generation facility is not completed at the end of these periods, the connection agreement, the allocated capacity, the technical interaction permit and the permission documents regarding the water use rights automatically become invalid."</w:t>
      </w:r>
    </w:p>
    <w:p w14:paraId="6B024B31" w14:textId="77777777" w:rsidR="004C0A79" w:rsidRPr="00731F8E" w:rsidRDefault="004C0A79" w:rsidP="004C0A79">
      <w:pPr>
        <w:pStyle w:val="GvdeMetni"/>
        <w:spacing w:before="40"/>
        <w:rPr>
          <w:rFonts w:cs="Times New Roman"/>
          <w:szCs w:val="22"/>
        </w:rPr>
      </w:pPr>
    </w:p>
    <w:p w14:paraId="520B7655"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59"/>
        <w:jc w:val="left"/>
        <w:rPr>
          <w:rFonts w:ascii="Times New Roman" w:hAnsi="Times New Roman" w:cs="Times New Roman"/>
          <w:szCs w:val="22"/>
        </w:rPr>
      </w:pPr>
      <w:r w:rsidRPr="00731F8E">
        <w:rPr>
          <w:rFonts w:ascii="Times New Roman" w:hAnsi="Times New Roman" w:cs="Times New Roman"/>
          <w:szCs w:val="22"/>
        </w:rPr>
        <w:t>The fifth paragraph of Article 21 has been amended as follows.</w:t>
      </w:r>
    </w:p>
    <w:p w14:paraId="1CC78B80" w14:textId="77777777" w:rsidR="004C0A79" w:rsidRPr="00731F8E" w:rsidRDefault="004C0A79" w:rsidP="004C0A79">
      <w:pPr>
        <w:pStyle w:val="GvdeMetni"/>
        <w:spacing w:before="82"/>
        <w:rPr>
          <w:rFonts w:cs="Times New Roman"/>
          <w:i/>
          <w:szCs w:val="22"/>
        </w:rPr>
      </w:pPr>
    </w:p>
    <w:p w14:paraId="2E3F6134" w14:textId="77777777" w:rsidR="004C0A79" w:rsidRPr="00731F8E" w:rsidRDefault="004C0A79" w:rsidP="004C0A79">
      <w:pPr>
        <w:pStyle w:val="GvdeMetni"/>
        <w:spacing w:line="276" w:lineRule="auto"/>
        <w:ind w:left="1576" w:right="130"/>
        <w:rPr>
          <w:rFonts w:cs="Times New Roman"/>
          <w:szCs w:val="22"/>
        </w:rPr>
      </w:pPr>
      <w:r w:rsidRPr="00731F8E">
        <w:rPr>
          <w:rFonts w:cs="Times New Roman"/>
          <w:szCs w:val="22"/>
        </w:rPr>
        <w:t>"(5) The meters within the scope of this article shall be supplied and installed by the relevant distribution network operator for the generation facilities to be connected to the distribution system. For the generation facilities to be connected to the transmission system, the meters to be installed at the measurement points at the user's property limit are provided by the user and installed by TEİAŞ."</w:t>
      </w:r>
    </w:p>
    <w:p w14:paraId="5080C81A" w14:textId="77777777" w:rsidR="004C0A79" w:rsidRPr="00731F8E" w:rsidRDefault="004C0A79" w:rsidP="004C0A79">
      <w:pPr>
        <w:pStyle w:val="GvdeMetni"/>
        <w:spacing w:before="39"/>
        <w:rPr>
          <w:rFonts w:cs="Times New Roman"/>
          <w:szCs w:val="22"/>
        </w:rPr>
      </w:pPr>
    </w:p>
    <w:p w14:paraId="778980D5" w14:textId="77777777" w:rsidR="004C0A79" w:rsidRPr="00731F8E" w:rsidRDefault="004C0A79" w:rsidP="00A86526">
      <w:pPr>
        <w:pStyle w:val="ListeParagraf"/>
        <w:widowControl w:val="0"/>
        <w:numPr>
          <w:ilvl w:val="4"/>
          <w:numId w:val="42"/>
        </w:numPr>
        <w:tabs>
          <w:tab w:val="left" w:pos="1575"/>
        </w:tabs>
        <w:autoSpaceDE w:val="0"/>
        <w:autoSpaceDN w:val="0"/>
        <w:spacing w:after="0"/>
        <w:ind w:left="1575" w:right="133" w:hanging="360"/>
        <w:contextualSpacing w:val="0"/>
        <w:rPr>
          <w:rFonts w:ascii="Times New Roman" w:hAnsi="Times New Roman"/>
        </w:rPr>
      </w:pPr>
      <w:r w:rsidRPr="00731F8E">
        <w:rPr>
          <w:rFonts w:ascii="Times New Roman" w:hAnsi="Times New Roman"/>
        </w:rPr>
        <w:t>The phrase "and/or system use</w:t>
      </w:r>
      <w:r w:rsidRPr="00731F8E">
        <w:rPr>
          <w:rFonts w:ascii="Times New Roman" w:hAnsi="Times New Roman"/>
          <w:i/>
        </w:rPr>
        <w:t xml:space="preserve">" has been added after the phrase "Generation facility, connection" </w:t>
      </w:r>
      <w:r w:rsidRPr="00731F8E">
        <w:rPr>
          <w:rFonts w:ascii="Times New Roman" w:hAnsi="Times New Roman"/>
        </w:rPr>
        <w:t xml:space="preserve">in the first paragraph of Article 22, the phrase </w:t>
      </w:r>
      <w:r w:rsidRPr="00731F8E">
        <w:rPr>
          <w:rFonts w:ascii="Times New Roman" w:hAnsi="Times New Roman"/>
          <w:i/>
        </w:rPr>
        <w:t>"and/or system use</w:t>
      </w:r>
      <w:r w:rsidRPr="00731F8E">
        <w:rPr>
          <w:rFonts w:ascii="Times New Roman" w:hAnsi="Times New Roman"/>
        </w:rPr>
        <w:t xml:space="preserve"> </w:t>
      </w:r>
      <w:r w:rsidRPr="00731F8E">
        <w:rPr>
          <w:rFonts w:ascii="Times New Roman" w:hAnsi="Times New Roman"/>
          <w:i/>
        </w:rPr>
        <w:t xml:space="preserve">" has been added after the phrase "connection of the generation </w:t>
      </w:r>
      <w:r w:rsidRPr="00731F8E">
        <w:rPr>
          <w:rFonts w:ascii="Times New Roman" w:hAnsi="Times New Roman"/>
        </w:rPr>
        <w:t xml:space="preserve">facility", the phrase </w:t>
      </w:r>
      <w:r w:rsidRPr="00731F8E">
        <w:rPr>
          <w:rFonts w:ascii="Times New Roman" w:hAnsi="Times New Roman"/>
          <w:i/>
        </w:rPr>
        <w:t xml:space="preserve">"and/or system use" </w:t>
      </w:r>
      <w:r w:rsidRPr="00731F8E">
        <w:rPr>
          <w:rFonts w:ascii="Times New Roman" w:hAnsi="Times New Roman"/>
        </w:rPr>
        <w:t xml:space="preserve">has been added after the phrase </w:t>
      </w:r>
      <w:r w:rsidRPr="00731F8E">
        <w:rPr>
          <w:rFonts w:ascii="Times New Roman" w:hAnsi="Times New Roman"/>
          <w:i/>
        </w:rPr>
        <w:t>"in case of operation at a greater power</w:t>
      </w:r>
      <w:r w:rsidRPr="00731F8E">
        <w:rPr>
          <w:rFonts w:ascii="Times New Roman" w:hAnsi="Times New Roman"/>
        </w:rPr>
        <w:t xml:space="preserve"> </w:t>
      </w:r>
      <w:r w:rsidRPr="00731F8E">
        <w:rPr>
          <w:rFonts w:ascii="Times New Roman" w:hAnsi="Times New Roman"/>
          <w:i/>
        </w:rPr>
        <w:t>", the phrase "for producers connected to the distribution system</w:t>
      </w:r>
      <w:r w:rsidRPr="00731F8E">
        <w:rPr>
          <w:rFonts w:ascii="Times New Roman" w:hAnsi="Times New Roman"/>
        </w:rPr>
        <w:t xml:space="preserve"> </w:t>
      </w:r>
      <w:r w:rsidRPr="00731F8E">
        <w:rPr>
          <w:rFonts w:ascii="Times New Roman" w:hAnsi="Times New Roman"/>
          <w:i/>
        </w:rPr>
        <w:t>" has been added after the phrase "Penal clauses in the Connection Agreement</w:t>
      </w:r>
      <w:r w:rsidRPr="00731F8E">
        <w:rPr>
          <w:rFonts w:ascii="Times New Roman" w:hAnsi="Times New Roman"/>
        </w:rPr>
        <w:t xml:space="preserve"> </w:t>
      </w:r>
      <w:r w:rsidRPr="00731F8E">
        <w:rPr>
          <w:rFonts w:ascii="Times New Roman" w:hAnsi="Times New Roman"/>
          <w:i/>
        </w:rPr>
        <w:t xml:space="preserve">" has been added after the </w:t>
      </w:r>
      <w:r w:rsidRPr="00731F8E">
        <w:rPr>
          <w:rFonts w:ascii="Times New Roman" w:hAnsi="Times New Roman"/>
          <w:i/>
        </w:rPr>
        <w:lastRenderedPageBreak/>
        <w:t>phrase "Penal clauses in the Transmission System Use Agreement for producers connected to the transmission system"</w:t>
      </w:r>
      <w:r w:rsidRPr="00731F8E">
        <w:rPr>
          <w:rFonts w:ascii="Times New Roman" w:hAnsi="Times New Roman"/>
        </w:rPr>
        <w:t>.</w:t>
      </w:r>
    </w:p>
    <w:p w14:paraId="71206117" w14:textId="77777777" w:rsidR="004C0A79" w:rsidRPr="00731F8E" w:rsidRDefault="004C0A79" w:rsidP="004C0A79">
      <w:pPr>
        <w:pStyle w:val="GvdeMetni"/>
        <w:spacing w:before="39"/>
        <w:rPr>
          <w:rFonts w:cs="Times New Roman"/>
          <w:i/>
          <w:szCs w:val="22"/>
        </w:rPr>
      </w:pPr>
    </w:p>
    <w:p w14:paraId="023996FC"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following paragraph has been added to Article 24.</w:t>
      </w:r>
    </w:p>
    <w:p w14:paraId="7661FD1D" w14:textId="77777777" w:rsidR="004C0A79" w:rsidRPr="00731F8E" w:rsidRDefault="004C0A79" w:rsidP="004C0A79">
      <w:pPr>
        <w:pStyle w:val="GvdeMetni"/>
        <w:spacing w:before="82"/>
        <w:rPr>
          <w:rFonts w:cs="Times New Roman"/>
          <w:i/>
          <w:szCs w:val="22"/>
        </w:rPr>
      </w:pPr>
    </w:p>
    <w:p w14:paraId="28382AE3" w14:textId="77777777" w:rsidR="004C0A79" w:rsidRPr="00731F8E" w:rsidRDefault="004C0A79" w:rsidP="004C0A79">
      <w:pPr>
        <w:pStyle w:val="GvdeMetni"/>
        <w:spacing w:line="273" w:lineRule="auto"/>
        <w:ind w:left="1575" w:right="133"/>
        <w:rPr>
          <w:rFonts w:cs="Times New Roman"/>
          <w:szCs w:val="22"/>
        </w:rPr>
      </w:pPr>
      <w:r w:rsidRPr="00731F8E">
        <w:rPr>
          <w:rFonts w:cs="Times New Roman"/>
          <w:szCs w:val="22"/>
        </w:rPr>
        <w:t>"(8) With the production facilities established within the scope of clause (d) of the first paragraph of Article 5, provided that they are at different measurement points, within the scope of clause (h) of the same paragraph in the event that the generation facilities are established together, the surplus energy given to the network after the hourly offsetting to be made shall be evaluated within the scope of YEKDEM at the price determined for unlicensed generation facilities in Schedule I attached to the YEK Law in accordance with the relevant legislation. "</w:t>
      </w:r>
    </w:p>
    <w:p w14:paraId="0DD21FDC" w14:textId="77777777" w:rsidR="004C0A79" w:rsidRPr="00731F8E" w:rsidRDefault="004C0A79" w:rsidP="004C0A79">
      <w:pPr>
        <w:pStyle w:val="GvdeMetni"/>
        <w:spacing w:before="41"/>
        <w:rPr>
          <w:rFonts w:cs="Times New Roman"/>
          <w:szCs w:val="22"/>
        </w:rPr>
      </w:pPr>
    </w:p>
    <w:p w14:paraId="511CE2C8" w14:textId="77777777" w:rsidR="004C0A79" w:rsidRPr="00731F8E" w:rsidRDefault="004C0A79" w:rsidP="00A86526">
      <w:pPr>
        <w:pStyle w:val="ListeParagraf"/>
        <w:widowControl w:val="0"/>
        <w:numPr>
          <w:ilvl w:val="4"/>
          <w:numId w:val="42"/>
        </w:numPr>
        <w:tabs>
          <w:tab w:val="left" w:pos="1575"/>
        </w:tabs>
        <w:autoSpaceDE w:val="0"/>
        <w:autoSpaceDN w:val="0"/>
        <w:spacing w:after="0"/>
        <w:ind w:left="1575" w:right="132" w:hanging="360"/>
        <w:contextualSpacing w:val="0"/>
        <w:rPr>
          <w:rFonts w:ascii="Times New Roman" w:hAnsi="Times New Roman"/>
        </w:rPr>
      </w:pPr>
      <w:r w:rsidRPr="00731F8E">
        <w:rPr>
          <w:rFonts w:ascii="Times New Roman" w:hAnsi="Times New Roman"/>
        </w:rPr>
        <w:t xml:space="preserve">Following the sentence </w:t>
      </w:r>
      <w:r w:rsidRPr="00731F8E">
        <w:rPr>
          <w:rFonts w:ascii="Times New Roman" w:hAnsi="Times New Roman"/>
          <w:i/>
        </w:rPr>
        <w:t xml:space="preserve">"Pays the payment made to him by the market operator to the relevant producers until the fifth working day of the month following the calendar month </w:t>
      </w:r>
      <w:r w:rsidRPr="00731F8E">
        <w:rPr>
          <w:rFonts w:ascii="Times New Roman" w:hAnsi="Times New Roman"/>
        </w:rPr>
        <w:t xml:space="preserve">in </w:t>
      </w:r>
      <w:r w:rsidRPr="00731F8E">
        <w:rPr>
          <w:rFonts w:ascii="Times New Roman" w:hAnsi="Times New Roman"/>
          <w:i/>
        </w:rPr>
        <w:t xml:space="preserve">which the payment was made" in clause (e) of the first paragraph of Article 25, "and whether the payments have been completed or not, sahll notify the Authority within a week.” </w:t>
      </w:r>
      <w:r w:rsidRPr="00731F8E">
        <w:rPr>
          <w:rFonts w:ascii="Times New Roman" w:hAnsi="Times New Roman"/>
        </w:rPr>
        <w:t>phrase and the following paragraph have been added to the same paragraph.</w:t>
      </w:r>
    </w:p>
    <w:p w14:paraId="5C3504C5" w14:textId="77777777" w:rsidR="004C0A79" w:rsidRPr="00731F8E" w:rsidRDefault="004C0A79" w:rsidP="004C0A79">
      <w:pPr>
        <w:pStyle w:val="GvdeMetni"/>
        <w:spacing w:before="40"/>
        <w:rPr>
          <w:rFonts w:cs="Times New Roman"/>
          <w:i/>
          <w:szCs w:val="22"/>
        </w:rPr>
      </w:pPr>
    </w:p>
    <w:p w14:paraId="7904EBE7"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“f) In case of underpayment by the market operator, it pays the payment made to the relevant producers until the fifth working day of the month following the calendar month in which the payment was made, to the relevant producers in order from old to new, taking into account the invoice issuance date of the invoices issued by the producers. If there are invoices with the same invoice date in the order of the invoices, the invoices with the same date are placed in the order of the lowest price to the highest price, and payments are made from the lowest to the highest.</w:t>
      </w:r>
    </w:p>
    <w:p w14:paraId="4CDB042A" w14:textId="77777777" w:rsidR="004C0A79" w:rsidRPr="00731F8E" w:rsidRDefault="004C0A79" w:rsidP="004C0A79">
      <w:pPr>
        <w:pStyle w:val="GvdeMetni"/>
        <w:spacing w:before="38"/>
        <w:rPr>
          <w:rFonts w:cs="Times New Roman"/>
          <w:szCs w:val="22"/>
        </w:rPr>
      </w:pPr>
    </w:p>
    <w:p w14:paraId="093B93DB" w14:textId="77777777" w:rsidR="004C0A79" w:rsidRPr="00731F8E" w:rsidRDefault="004C0A79" w:rsidP="00A86526">
      <w:pPr>
        <w:pStyle w:val="ListeParagraf"/>
        <w:widowControl w:val="0"/>
        <w:numPr>
          <w:ilvl w:val="4"/>
          <w:numId w:val="42"/>
        </w:numPr>
        <w:tabs>
          <w:tab w:val="left" w:pos="1575"/>
        </w:tabs>
        <w:autoSpaceDE w:val="0"/>
        <w:autoSpaceDN w:val="0"/>
        <w:spacing w:before="41" w:after="0"/>
        <w:ind w:right="134"/>
        <w:contextualSpacing w:val="0"/>
        <w:rPr>
          <w:rFonts w:ascii="Times New Roman" w:hAnsi="Times New Roman"/>
        </w:rPr>
      </w:pPr>
      <w:r w:rsidRPr="00731F8E">
        <w:rPr>
          <w:rFonts w:ascii="Times New Roman" w:hAnsi="Times New Roman"/>
        </w:rPr>
        <w:t>The phrase "based on renewable energy sources" has been added after the phrase "entitled to receive a call letter" in the first paragraph of Article 26, the phrase "clause (c)" in the fourth paragraph of the same article has been amended as "​ clauses (c), (f), (g), (ğ), (h), (ı) and (i)", the phrase "and notifies the Authority whether the payments have been completed " has been added after the phrase "pays the relevant producers until the fifth working day at the latest"  in clause (e) of the sixth paragraph , and the following paragraphs have been added to the same article.</w:t>
      </w:r>
    </w:p>
    <w:p w14:paraId="4DA3EECE" w14:textId="77777777" w:rsidR="004C0A79" w:rsidRPr="00731F8E" w:rsidRDefault="004C0A79" w:rsidP="004C0A79">
      <w:pPr>
        <w:pStyle w:val="ListeParagraf"/>
        <w:tabs>
          <w:tab w:val="left" w:pos="1575"/>
        </w:tabs>
        <w:spacing w:before="41"/>
        <w:ind w:left="1576" w:right="134"/>
        <w:rPr>
          <w:rFonts w:ascii="Times New Roman" w:hAnsi="Times New Roman"/>
        </w:rPr>
      </w:pPr>
    </w:p>
    <w:p w14:paraId="250D4229"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“g) In case of underpayment by the market operator, it pays the payment made to the relevant producers until the fifth working day of the month following the calendar month in which the payment was made, to the relevant producers in order from old to new, taking into account the invoice issuance date of the invoices issued by the producers. If there are invoices with the same invoice date in the order of the invoices, the invoices with the same date are placed in the order of the lowest price to the highest price, and payments are made from the lowest to the highest.</w:t>
      </w:r>
    </w:p>
    <w:p w14:paraId="08AFD2E6" w14:textId="77777777" w:rsidR="004C0A79" w:rsidRPr="00731F8E" w:rsidRDefault="004C0A79" w:rsidP="004C0A79">
      <w:pPr>
        <w:pStyle w:val="GvdeMetni"/>
        <w:spacing w:before="38"/>
        <w:rPr>
          <w:rFonts w:cs="Times New Roman"/>
          <w:szCs w:val="22"/>
        </w:rPr>
      </w:pPr>
    </w:p>
    <w:p w14:paraId="5C3A7747" w14:textId="77777777" w:rsidR="004C0A79" w:rsidRPr="00731F8E" w:rsidRDefault="004C0A79" w:rsidP="004C0A79">
      <w:pPr>
        <w:pStyle w:val="GvdeMetni"/>
        <w:spacing w:line="276" w:lineRule="auto"/>
        <w:ind w:left="1575" w:right="131"/>
        <w:rPr>
          <w:rFonts w:cs="Times New Roman"/>
          <w:szCs w:val="22"/>
        </w:rPr>
      </w:pPr>
      <w:r w:rsidRPr="00731F8E">
        <w:rPr>
          <w:rFonts w:cs="Times New Roman"/>
          <w:szCs w:val="22"/>
        </w:rPr>
        <w:t>"(12) In the event that generation facility or facilities connected to the system from the transmission level are established within the scope of clause (h) of the first paragraph of Article 5 for consumption facilities connected to the system from the distribution level, the electrical energy delivery amounts of the generation facility shall be determined on an hourly basis from the meter data attached to the place specified in the connection agreement and notified to the relevant distribution company by TEİAŞ until the third working day of each month, and the works and transactions within the scope of this article shall be carried out by the relevant distribution company and the supply company in charge.</w:t>
      </w:r>
    </w:p>
    <w:p w14:paraId="49FEC1B3" w14:textId="77777777" w:rsidR="004C0A79" w:rsidRPr="00731F8E" w:rsidRDefault="004C0A79" w:rsidP="004C0A79">
      <w:pPr>
        <w:pStyle w:val="GvdeMetni"/>
        <w:spacing w:before="41"/>
        <w:rPr>
          <w:rFonts w:cs="Times New Roman"/>
          <w:szCs w:val="22"/>
        </w:rPr>
      </w:pPr>
    </w:p>
    <w:p w14:paraId="4D59C0E0" w14:textId="77777777" w:rsidR="004C0A79" w:rsidRPr="00731F8E" w:rsidRDefault="004C0A79" w:rsidP="00A86526">
      <w:pPr>
        <w:pStyle w:val="P68B1DB1-ListParagraph3"/>
        <w:numPr>
          <w:ilvl w:val="0"/>
          <w:numId w:val="37"/>
        </w:numPr>
        <w:tabs>
          <w:tab w:val="left" w:pos="2016"/>
        </w:tabs>
        <w:spacing w:line="273" w:lineRule="auto"/>
        <w:ind w:right="132" w:firstLine="0"/>
        <w:rPr>
          <w:rFonts w:ascii="Times New Roman" w:hAnsi="Times New Roman" w:cs="Times New Roman"/>
          <w:szCs w:val="22"/>
        </w:rPr>
      </w:pPr>
      <w:r w:rsidRPr="00731F8E">
        <w:rPr>
          <w:rFonts w:ascii="Times New Roman" w:hAnsi="Times New Roman" w:cs="Times New Roman"/>
          <w:szCs w:val="22"/>
        </w:rPr>
        <w:t xml:space="preserve">(13) In case a generation facility or facilities are established within the scope of </w:t>
      </w:r>
      <w:r w:rsidRPr="00731F8E">
        <w:rPr>
          <w:rFonts w:ascii="Times New Roman" w:hAnsi="Times New Roman" w:cs="Times New Roman"/>
          <w:szCs w:val="22"/>
        </w:rPr>
        <w:lastRenderedPageBreak/>
        <w:t>clause (h) of the first paragraph of Article 5, to be connected to the system within the borders of different distribution regions, the electrical energy withdrawal amounts of the consumption facility and, if any, delivery amounts of the generation facility at the same measurement point are determined on an hourly basis from the meter data installed at the location specified in the connection agreement, and are notified by the relevant network operator to the relevant supply company in the region where the production facility is located by the third business day of each month, and within the scope of this article Work and operations are carried out by the relevant network operator and the responsible supply company.</w:t>
      </w:r>
    </w:p>
    <w:p w14:paraId="07492AD8" w14:textId="77777777" w:rsidR="004C0A79" w:rsidRPr="00731F8E" w:rsidRDefault="004C0A79" w:rsidP="004C0A79">
      <w:pPr>
        <w:pStyle w:val="GvdeMetni"/>
        <w:spacing w:before="37" w:line="276" w:lineRule="auto"/>
        <w:ind w:left="1576" w:right="133"/>
        <w:rPr>
          <w:rFonts w:cs="Times New Roman"/>
          <w:szCs w:val="22"/>
        </w:rPr>
      </w:pPr>
      <w:r w:rsidRPr="00731F8E">
        <w:rPr>
          <w:rFonts w:cs="Times New Roman"/>
          <w:szCs w:val="22"/>
        </w:rPr>
        <w:t>If more than one generation facility is desired to be established for a consumption facility within the scope of this article, all generation facilities must be located within the territory of the same authorized supply company.</w:t>
      </w:r>
    </w:p>
    <w:p w14:paraId="1CFD4F4D" w14:textId="77777777" w:rsidR="004C0A79" w:rsidRPr="00731F8E" w:rsidRDefault="004C0A79" w:rsidP="004C0A79">
      <w:pPr>
        <w:pStyle w:val="GvdeMetni"/>
        <w:spacing w:before="41"/>
        <w:rPr>
          <w:rFonts w:cs="Times New Roman"/>
          <w:szCs w:val="22"/>
        </w:rPr>
      </w:pPr>
    </w:p>
    <w:p w14:paraId="3CD8049B" w14:textId="77777777" w:rsidR="004C0A79" w:rsidRPr="00731F8E" w:rsidRDefault="004C0A79" w:rsidP="00A86526">
      <w:pPr>
        <w:pStyle w:val="P68B1DB1-ListParagraph3"/>
        <w:numPr>
          <w:ilvl w:val="0"/>
          <w:numId w:val="37"/>
        </w:numPr>
        <w:tabs>
          <w:tab w:val="left" w:pos="2010"/>
        </w:tabs>
        <w:spacing w:before="1" w:line="276" w:lineRule="auto"/>
        <w:ind w:left="1576" w:right="132" w:firstLine="0"/>
        <w:rPr>
          <w:rFonts w:ascii="Times New Roman" w:hAnsi="Times New Roman" w:cs="Times New Roman"/>
          <w:szCs w:val="22"/>
        </w:rPr>
      </w:pPr>
      <w:r w:rsidRPr="00731F8E">
        <w:rPr>
          <w:rFonts w:ascii="Times New Roman" w:hAnsi="Times New Roman" w:cs="Times New Roman"/>
          <w:szCs w:val="22"/>
        </w:rPr>
        <w:t>In the event that the generation facilities are established together within the scope of clause (h) of the first paragraph of Article 5, provided that it is at a different measurement point with the enterprises that have a generation licensed cogeneration power plant, the surplus energy given to the network after the monthly offset to be made for the facility established within the scope of clause (h) of the first paragraph of Article 5 with the consumption of the enterprise shall be evaluated within the scope of YEKDEM at the price determined for unlicensed generation facilities in Schedule I attached to the YEK Law in accordance with the relevant legislation.</w:t>
      </w:r>
    </w:p>
    <w:p w14:paraId="46357AA9" w14:textId="77777777" w:rsidR="004C0A79" w:rsidRPr="00731F8E" w:rsidRDefault="004C0A79" w:rsidP="004C0A79">
      <w:pPr>
        <w:pStyle w:val="GvdeMetni"/>
        <w:spacing w:before="38"/>
        <w:rPr>
          <w:rFonts w:cs="Times New Roman"/>
          <w:szCs w:val="22"/>
        </w:rPr>
      </w:pPr>
    </w:p>
    <w:p w14:paraId="0CAF82C2" w14:textId="77777777" w:rsidR="004C0A79" w:rsidRPr="00731F8E" w:rsidRDefault="004C0A79" w:rsidP="00A86526">
      <w:pPr>
        <w:pStyle w:val="P68B1DB1-ListParagraph3"/>
        <w:numPr>
          <w:ilvl w:val="0"/>
          <w:numId w:val="37"/>
        </w:numPr>
        <w:tabs>
          <w:tab w:val="left" w:pos="1979"/>
        </w:tabs>
        <w:spacing w:line="276" w:lineRule="auto"/>
        <w:ind w:left="1576" w:right="133" w:firstLine="0"/>
        <w:rPr>
          <w:rFonts w:ascii="Times New Roman" w:hAnsi="Times New Roman" w:cs="Times New Roman"/>
          <w:szCs w:val="22"/>
        </w:rPr>
      </w:pPr>
      <w:r w:rsidRPr="00731F8E">
        <w:rPr>
          <w:rFonts w:ascii="Times New Roman" w:hAnsi="Times New Roman" w:cs="Times New Roman"/>
          <w:szCs w:val="22"/>
        </w:rPr>
        <w:t>Provided that the generation facilities within the scope of clause (ç) of the first paragraph and the generation facilities within the scope of clause (h) of the first paragraph of Article 5 are established together, if the grid is energized as a result of monthly offsetting, the amount of energy in question shall be evaluated within the scope of YEKDEM in accordance with the relevant legislation. However, it is accepted that this energy is produced by the assigned supply company and given to the system, and no payment is made by the market operator and the assigned supply company in relation to this energy, and the energy given to the system in this context is considered as a free contribution to YEKDEM. The total installed power of the generation facilities within the scope of this paragraph cannot be more than the total installed power to be determined according to the related consumption facility in accordance with clause (h) of the first paragraph of Article 5.</w:t>
      </w:r>
    </w:p>
    <w:p w14:paraId="44380C64" w14:textId="77777777" w:rsidR="004C0A79" w:rsidRPr="00731F8E" w:rsidRDefault="004C0A79" w:rsidP="004C0A79">
      <w:pPr>
        <w:pStyle w:val="GvdeMetni"/>
        <w:spacing w:before="39"/>
        <w:rPr>
          <w:rFonts w:cs="Times New Roman"/>
          <w:szCs w:val="22"/>
        </w:rPr>
      </w:pPr>
    </w:p>
    <w:p w14:paraId="35402FD8" w14:textId="77777777" w:rsidR="004C0A79" w:rsidRPr="00731F8E" w:rsidRDefault="004C0A79" w:rsidP="00A86526">
      <w:pPr>
        <w:pStyle w:val="P68B1DB1-ListParagraph3"/>
        <w:numPr>
          <w:ilvl w:val="0"/>
          <w:numId w:val="37"/>
        </w:numPr>
        <w:tabs>
          <w:tab w:val="left" w:pos="1983"/>
        </w:tabs>
        <w:spacing w:before="1" w:line="276" w:lineRule="auto"/>
        <w:ind w:left="1576" w:right="132" w:firstLine="0"/>
        <w:rPr>
          <w:rFonts w:ascii="Times New Roman" w:hAnsi="Times New Roman" w:cs="Times New Roman"/>
          <w:szCs w:val="22"/>
        </w:rPr>
      </w:pPr>
      <w:r w:rsidRPr="00731F8E">
        <w:rPr>
          <w:rFonts w:ascii="Times New Roman" w:hAnsi="Times New Roman" w:cs="Times New Roman"/>
          <w:szCs w:val="22"/>
        </w:rPr>
        <w:t>As a result of the applications made after 12/5/2019, the amount of generation that can be sold above the needs of the people who are entitled to receive a call letter to the connection agreement cannot exceed the total electrical energy consumption of the related consumption facility. The energy given to the system in excess of this amount is considered as a free contribution to YEKDEM. The provision of this paragraph shall not apply to generation facilities associated with consumption facilities in the residential subscriber group with an installed power of 50 kW and below. The procedures and principles regarding the implementation of this paragraph shall be determined by the Board."</w:t>
      </w:r>
    </w:p>
    <w:p w14:paraId="7A78514C" w14:textId="77777777" w:rsidR="004C0A79" w:rsidRPr="00731F8E" w:rsidRDefault="004C0A79" w:rsidP="004C0A79">
      <w:pPr>
        <w:pStyle w:val="GvdeMetni"/>
        <w:spacing w:before="41"/>
        <w:rPr>
          <w:rFonts w:cs="Times New Roman"/>
          <w:szCs w:val="22"/>
        </w:rPr>
      </w:pPr>
    </w:p>
    <w:p w14:paraId="74D3DD06" w14:textId="77777777" w:rsidR="004C0A79" w:rsidRPr="00731F8E" w:rsidRDefault="004C0A79" w:rsidP="00A86526">
      <w:pPr>
        <w:pStyle w:val="ListeParagraf"/>
        <w:widowControl w:val="0"/>
        <w:numPr>
          <w:ilvl w:val="4"/>
          <w:numId w:val="42"/>
        </w:numPr>
        <w:tabs>
          <w:tab w:val="left" w:pos="1576"/>
        </w:tabs>
        <w:autoSpaceDE w:val="0"/>
        <w:autoSpaceDN w:val="0"/>
        <w:spacing w:before="37" w:after="0"/>
        <w:ind w:left="1575" w:right="132" w:hanging="360"/>
        <w:contextualSpacing w:val="0"/>
        <w:rPr>
          <w:rFonts w:ascii="Times New Roman" w:hAnsi="Times New Roman"/>
        </w:rPr>
      </w:pPr>
      <w:r w:rsidRPr="00731F8E">
        <w:rPr>
          <w:rFonts w:ascii="Times New Roman" w:hAnsi="Times New Roman"/>
        </w:rPr>
        <w:t xml:space="preserve">After the phrase "energy </w:t>
      </w:r>
      <w:r w:rsidRPr="00731F8E">
        <w:rPr>
          <w:rFonts w:ascii="Times New Roman" w:hAnsi="Times New Roman"/>
          <w:i/>
        </w:rPr>
        <w:t>produced in the generation facility" in the first paragraph of Article 28, the phrase "</w:t>
      </w:r>
      <w:r w:rsidRPr="00731F8E">
        <w:rPr>
          <w:rFonts w:ascii="Times New Roman" w:hAnsi="Times New Roman"/>
        </w:rPr>
        <w:t xml:space="preserve">without prejudice to the provision of the </w:t>
      </w:r>
      <w:r w:rsidRPr="00731F8E">
        <w:rPr>
          <w:rFonts w:ascii="Times New Roman" w:hAnsi="Times New Roman"/>
          <w:i/>
        </w:rPr>
        <w:t xml:space="preserve">fifth paragraph of Article 5" and at the end of the same paragraph, "energy produced in a generation </w:t>
      </w:r>
      <w:r w:rsidRPr="00731F8E">
        <w:rPr>
          <w:rFonts w:ascii="Times New Roman" w:hAnsi="Times New Roman"/>
          <w:i/>
        </w:rPr>
        <w:lastRenderedPageBreak/>
        <w:t xml:space="preserve">facility within the scope of clause (h) of the first paragraph of Article 5 may be consumed in the consumption facility or facilities belonging to the same person, without the requirement of being located in the same distribution region." Within the scope of this provision, if it is desired to establish a generation facility for more than one consumption facility and the consumption is greater than the production as a result of the netting process, the consumption invoice will be issued </w:t>
      </w:r>
      <w:r w:rsidRPr="00731F8E">
        <w:rPr>
          <w:rFonts w:ascii="Times New Roman" w:hAnsi="Times New Roman"/>
        </w:rPr>
        <w:t>and notified in proportion to the unsettled consumption of the related consumption facilities</w:t>
      </w:r>
      <w:r w:rsidRPr="00731F8E">
        <w:rPr>
          <w:rFonts w:ascii="Times New Roman" w:hAnsi="Times New Roman"/>
          <w:i/>
        </w:rPr>
        <w:t xml:space="preserve">.” have been added. </w:t>
      </w:r>
    </w:p>
    <w:p w14:paraId="7ED3184D" w14:textId="77777777" w:rsidR="004C0A79" w:rsidRPr="00731F8E" w:rsidRDefault="004C0A79" w:rsidP="004C0A79">
      <w:pPr>
        <w:pStyle w:val="GvdeMetni"/>
        <w:spacing w:before="42"/>
        <w:rPr>
          <w:rFonts w:cs="Times New Roman"/>
          <w:i/>
          <w:szCs w:val="22"/>
        </w:rPr>
      </w:pPr>
    </w:p>
    <w:p w14:paraId="03583C2F" w14:textId="77777777" w:rsidR="004C0A79" w:rsidRPr="00731F8E" w:rsidRDefault="004C0A79" w:rsidP="00A86526">
      <w:pPr>
        <w:pStyle w:val="ListeParagraf"/>
        <w:widowControl w:val="0"/>
        <w:numPr>
          <w:ilvl w:val="4"/>
          <w:numId w:val="42"/>
        </w:numPr>
        <w:tabs>
          <w:tab w:val="left" w:pos="1575"/>
        </w:tabs>
        <w:autoSpaceDE w:val="0"/>
        <w:autoSpaceDN w:val="0"/>
        <w:spacing w:after="0"/>
        <w:ind w:left="1575" w:right="134" w:hanging="360"/>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"not to exceed the contractual power in the connection agreement of the relevant consumption facilities" in the first paragraph of Article 30 has been removed, and the sentence "</w:t>
      </w:r>
      <w:r w:rsidRPr="00731F8E">
        <w:rPr>
          <w:rFonts w:ascii="Times New Roman" w:hAnsi="Times New Roman"/>
        </w:rPr>
        <w:t xml:space="preserve"> </w:t>
      </w:r>
      <w:r w:rsidRPr="00731F8E">
        <w:rPr>
          <w:rFonts w:ascii="Times New Roman" w:hAnsi="Times New Roman"/>
          <w:i/>
        </w:rPr>
        <w:t xml:space="preserve">In addition, a generation facility can be established in a different distribution region within the scope of clause (h) of the first paragraph of Article 5." </w:t>
      </w:r>
      <w:r w:rsidRPr="00731F8E">
        <w:rPr>
          <w:rFonts w:ascii="Times New Roman" w:hAnsi="Times New Roman"/>
        </w:rPr>
        <w:t>has been added to the end of the same paragraph.</w:t>
      </w:r>
    </w:p>
    <w:p w14:paraId="6B099470" w14:textId="77777777" w:rsidR="004C0A79" w:rsidRPr="00731F8E" w:rsidRDefault="004C0A79" w:rsidP="004C0A79">
      <w:pPr>
        <w:pStyle w:val="GvdeMetni"/>
        <w:spacing w:before="39"/>
        <w:rPr>
          <w:rFonts w:cs="Times New Roman"/>
          <w:i/>
          <w:szCs w:val="22"/>
        </w:rPr>
      </w:pPr>
    </w:p>
    <w:p w14:paraId="699083D2"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first paragraph of Article 36 has been amended as follows.</w:t>
      </w:r>
    </w:p>
    <w:p w14:paraId="681E084C" w14:textId="77777777" w:rsidR="004C0A79" w:rsidRPr="00731F8E" w:rsidRDefault="004C0A79" w:rsidP="004C0A79">
      <w:pPr>
        <w:pStyle w:val="GvdeMetni"/>
        <w:spacing w:before="79"/>
        <w:rPr>
          <w:rFonts w:cs="Times New Roman"/>
          <w:i/>
          <w:szCs w:val="22"/>
        </w:rPr>
      </w:pPr>
    </w:p>
    <w:p w14:paraId="633132DC"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"(1) No available capacity fee shall be accrued to the generation facilities within the scope of this Regulation."</w:t>
      </w:r>
    </w:p>
    <w:p w14:paraId="7179074C" w14:textId="77777777" w:rsidR="004C0A79" w:rsidRPr="00731F8E" w:rsidRDefault="004C0A79" w:rsidP="004C0A79">
      <w:pPr>
        <w:pStyle w:val="GvdeMetni"/>
        <w:spacing w:before="40"/>
        <w:rPr>
          <w:rFonts w:cs="Times New Roman"/>
          <w:szCs w:val="22"/>
        </w:rPr>
      </w:pPr>
    </w:p>
    <w:p w14:paraId="4B19E598" w14:textId="77777777" w:rsidR="004C0A79" w:rsidRPr="00731F8E" w:rsidRDefault="004C0A79" w:rsidP="00A86526">
      <w:pPr>
        <w:pStyle w:val="ListeParagraf"/>
        <w:widowControl w:val="0"/>
        <w:numPr>
          <w:ilvl w:val="4"/>
          <w:numId w:val="42"/>
        </w:numPr>
        <w:tabs>
          <w:tab w:val="left" w:pos="1575"/>
        </w:tabs>
        <w:autoSpaceDE w:val="0"/>
        <w:autoSpaceDN w:val="0"/>
        <w:spacing w:after="0"/>
        <w:ind w:left="1575" w:right="132" w:hanging="360"/>
        <w:contextualSpacing w:val="0"/>
        <w:rPr>
          <w:rFonts w:ascii="Times New Roman" w:hAnsi="Times New Roman"/>
        </w:rPr>
      </w:pPr>
      <w:r w:rsidRPr="00731F8E">
        <w:rPr>
          <w:rFonts w:ascii="Times New Roman" w:hAnsi="Times New Roman"/>
        </w:rPr>
        <w:t xml:space="preserve">The seventh and eighth paragraphs of Article 37 have been amended as follows, and the sentence </w:t>
      </w:r>
      <w:r w:rsidRPr="00731F8E">
        <w:rPr>
          <w:rFonts w:ascii="Times New Roman" w:hAnsi="Times New Roman"/>
          <w:i/>
        </w:rPr>
        <w:t>"Relevant network operators and relevant authorized supply companies may transfer the necessary data and information in writing or electronically in order to implement this Regulation or to fulfill the issues requested by the Authority</w:t>
      </w:r>
      <w:r w:rsidRPr="00731F8E">
        <w:rPr>
          <w:rFonts w:ascii="Times New Roman" w:hAnsi="Times New Roman"/>
        </w:rPr>
        <w:t xml:space="preserve">." in the eleventh paragraph of the same article has been added after the sentence </w:t>
      </w:r>
      <w:r w:rsidRPr="00731F8E">
        <w:rPr>
          <w:rFonts w:ascii="Times New Roman" w:hAnsi="Times New Roman"/>
          <w:i/>
        </w:rPr>
        <w:t xml:space="preserve">"In cases where communication is necessary, it is obligatory to comply with the periods and take the necessary measures to ensure that the transactions in the legislation are not disrupted by the relevant authorities." </w:t>
      </w:r>
    </w:p>
    <w:p w14:paraId="3B89E324" w14:textId="77777777" w:rsidR="004C0A79" w:rsidRPr="00731F8E" w:rsidRDefault="004C0A79" w:rsidP="004C0A79">
      <w:pPr>
        <w:pStyle w:val="GvdeMetni"/>
        <w:spacing w:before="40"/>
        <w:rPr>
          <w:rFonts w:cs="Times New Roman"/>
          <w:i/>
          <w:szCs w:val="22"/>
        </w:rPr>
      </w:pPr>
    </w:p>
    <w:p w14:paraId="33DBBDA3"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"(7) If the unlicensed generation facility owner legal entity wishes to merge with all its assets and liabilities under its own legal entity or within the body of another legal entity, the merger process shall be carried out within the scope of the applicable legislation, provided that all of the relevant generation facility or facilities have been accepted. Provided that the unlicensed generation facility owner legal entity remains the same and the share ratios do not change, the condition of acceptance is not sought. Unlicensed generation facility owner legal entities notify the merger transaction to the relevant network operator and connection and system usage agreements are signed between the parties.</w:t>
      </w:r>
    </w:p>
    <w:p w14:paraId="1006DCBA" w14:textId="77777777" w:rsidR="004C0A79" w:rsidRPr="00731F8E" w:rsidRDefault="004C0A79" w:rsidP="004C0A79">
      <w:pPr>
        <w:pStyle w:val="GvdeMetni"/>
        <w:spacing w:before="41"/>
        <w:rPr>
          <w:rFonts w:cs="Times New Roman"/>
          <w:szCs w:val="22"/>
        </w:rPr>
      </w:pPr>
    </w:p>
    <w:p w14:paraId="724E7C1F" w14:textId="77777777" w:rsidR="004C0A79" w:rsidRPr="00731F8E" w:rsidRDefault="004C0A79" w:rsidP="00A86526">
      <w:pPr>
        <w:pStyle w:val="P68B1DB1-ListParagraph3"/>
        <w:numPr>
          <w:ilvl w:val="0"/>
          <w:numId w:val="40"/>
        </w:numPr>
        <w:tabs>
          <w:tab w:val="left" w:pos="1933"/>
        </w:tabs>
        <w:spacing w:line="276" w:lineRule="auto"/>
        <w:ind w:left="1575" w:right="132" w:firstLine="0"/>
        <w:rPr>
          <w:rFonts w:ascii="Times New Roman" w:hAnsi="Times New Roman" w:cs="Times New Roman"/>
          <w:szCs w:val="22"/>
        </w:rPr>
      </w:pPr>
      <w:r w:rsidRPr="00731F8E">
        <w:rPr>
          <w:rFonts w:ascii="Times New Roman" w:hAnsi="Times New Roman" w:cs="Times New Roman"/>
          <w:szCs w:val="22"/>
        </w:rPr>
        <w:t>8) In the event that a legal entity within the scope of this Regulation wishes to be divided in full or in part, provided that all of the generation facilities under its responsibility are accepted, the division process shall be carried out within the scope of the applicable legislation. Provided that the unlicensed generation facility owner legal entity remains the same and the share ratios do not change, the condition of acceptance is not sought. Unlicensed generation facility owner legal entities shall notify the division process to the relevant network operator and connection and system usage agreements shall be signed between the parties."</w:t>
      </w:r>
    </w:p>
    <w:p w14:paraId="47FCA613" w14:textId="77777777" w:rsidR="004C0A79" w:rsidRPr="00731F8E" w:rsidRDefault="004C0A79" w:rsidP="004C0A79">
      <w:pPr>
        <w:pStyle w:val="GvdeMetni"/>
        <w:spacing w:before="39"/>
        <w:rPr>
          <w:rFonts w:cs="Times New Roman"/>
          <w:szCs w:val="22"/>
        </w:rPr>
      </w:pPr>
    </w:p>
    <w:p w14:paraId="427C07A3" w14:textId="77777777" w:rsidR="004C0A79" w:rsidRPr="00731F8E" w:rsidRDefault="004C0A79" w:rsidP="00A86526">
      <w:pPr>
        <w:pStyle w:val="Balk2"/>
        <w:keepNext w:val="0"/>
        <w:keepLines w:val="0"/>
        <w:widowControl w:val="0"/>
        <w:numPr>
          <w:ilvl w:val="4"/>
          <w:numId w:val="42"/>
        </w:numPr>
        <w:tabs>
          <w:tab w:val="left" w:pos="1575"/>
        </w:tabs>
        <w:autoSpaceDE w:val="0"/>
        <w:autoSpaceDN w:val="0"/>
        <w:spacing w:before="0" w:after="0" w:line="240" w:lineRule="auto"/>
        <w:ind w:left="1575" w:hanging="360"/>
        <w:jc w:val="left"/>
        <w:rPr>
          <w:rFonts w:ascii="Times New Roman" w:hAnsi="Times New Roman" w:cs="Times New Roman"/>
          <w:szCs w:val="22"/>
        </w:rPr>
      </w:pPr>
      <w:r w:rsidRPr="00731F8E">
        <w:rPr>
          <w:rFonts w:ascii="Times New Roman" w:hAnsi="Times New Roman" w:cs="Times New Roman"/>
          <w:szCs w:val="22"/>
        </w:rPr>
        <w:t>The following provisional clauses have been added.</w:t>
      </w:r>
    </w:p>
    <w:p w14:paraId="2B3DBECD" w14:textId="77777777" w:rsidR="004C0A79" w:rsidRPr="00731F8E" w:rsidRDefault="004C0A79" w:rsidP="004C0A79">
      <w:pPr>
        <w:pStyle w:val="GvdeMetni"/>
        <w:spacing w:before="82"/>
        <w:rPr>
          <w:rFonts w:cs="Times New Roman"/>
          <w:i/>
          <w:szCs w:val="22"/>
        </w:rPr>
      </w:pPr>
    </w:p>
    <w:p w14:paraId="7ACD75FE" w14:textId="77777777" w:rsidR="004C0A79" w:rsidRPr="00731F8E" w:rsidRDefault="004C0A79" w:rsidP="004C0A79">
      <w:pPr>
        <w:pStyle w:val="GvdeMetni"/>
        <w:ind w:left="1575"/>
        <w:rPr>
          <w:rFonts w:cs="Times New Roman"/>
          <w:szCs w:val="22"/>
        </w:rPr>
      </w:pPr>
      <w:r w:rsidRPr="00731F8E">
        <w:rPr>
          <w:rFonts w:cs="Times New Roman"/>
          <w:szCs w:val="22"/>
        </w:rPr>
        <w:t>“Facilities to be established by legal entities holding OIZ Distribution License</w:t>
      </w:r>
    </w:p>
    <w:p w14:paraId="373481F7" w14:textId="77777777" w:rsidR="004C0A79" w:rsidRPr="00731F8E" w:rsidRDefault="004C0A79" w:rsidP="004C0A79">
      <w:pPr>
        <w:pStyle w:val="GvdeMetni"/>
        <w:spacing w:before="37" w:line="276" w:lineRule="auto"/>
        <w:ind w:left="1575" w:right="133"/>
        <w:rPr>
          <w:rFonts w:cs="Times New Roman"/>
          <w:szCs w:val="22"/>
        </w:rPr>
      </w:pPr>
      <w:r w:rsidRPr="00731F8E">
        <w:rPr>
          <w:rFonts w:cs="Times New Roman"/>
          <w:szCs w:val="22"/>
        </w:rPr>
        <w:t xml:space="preserve">PROVISIONAL ARTICLE 5- (1) Unlicensed generation facilities belonging to the OIZ Distribution </w:t>
      </w:r>
      <w:r w:rsidRPr="00731F8E">
        <w:rPr>
          <w:rFonts w:cs="Times New Roman"/>
          <w:szCs w:val="22"/>
        </w:rPr>
        <w:lastRenderedPageBreak/>
        <w:t>License Holder Legal Entity are associated with the meters located at the connection points defined in accordance with Article 14 of the Regulation on Electricity Market Activities of Organized Industrial Zones published in the Official Gazette dated 14/3/2014 and numbered 28941 and the settlement transactions are carried out over these meters.</w:t>
      </w:r>
    </w:p>
    <w:p w14:paraId="746AC1C2" w14:textId="77777777" w:rsidR="004C0A79" w:rsidRPr="00731F8E" w:rsidRDefault="004C0A79" w:rsidP="004C0A79">
      <w:pPr>
        <w:pStyle w:val="GvdeMetni"/>
        <w:spacing w:before="42"/>
        <w:rPr>
          <w:rFonts w:cs="Times New Roman"/>
          <w:szCs w:val="22"/>
        </w:rPr>
      </w:pPr>
    </w:p>
    <w:p w14:paraId="3E98384C" w14:textId="77777777" w:rsidR="004C0A79" w:rsidRPr="00731F8E" w:rsidRDefault="004C0A79" w:rsidP="00A86526">
      <w:pPr>
        <w:pStyle w:val="P68B1DB1-ListParagraph3"/>
        <w:numPr>
          <w:ilvl w:val="0"/>
          <w:numId w:val="36"/>
        </w:numPr>
        <w:tabs>
          <w:tab w:val="left" w:pos="1962"/>
        </w:tabs>
        <w:spacing w:line="276" w:lineRule="auto"/>
        <w:ind w:right="133" w:firstLine="0"/>
        <w:rPr>
          <w:rFonts w:ascii="Times New Roman" w:hAnsi="Times New Roman" w:cs="Times New Roman"/>
          <w:szCs w:val="22"/>
        </w:rPr>
      </w:pPr>
      <w:r w:rsidRPr="00731F8E">
        <w:rPr>
          <w:rFonts w:ascii="Times New Roman" w:hAnsi="Times New Roman" w:cs="Times New Roman"/>
          <w:szCs w:val="22"/>
        </w:rPr>
        <w:t>For the generation facilities within the scope of the first paragraph and for which the necessary attribution procedures have not yet been carried out, the necessary attribution procedures must be completed by TEİAŞ or the relevant distribution company by 28/2/2023, depending on their relevance.</w:t>
      </w:r>
    </w:p>
    <w:p w14:paraId="70B48928" w14:textId="77777777" w:rsidR="004C0A79" w:rsidRPr="00731F8E" w:rsidRDefault="004C0A79" w:rsidP="00A86526">
      <w:pPr>
        <w:pStyle w:val="P68B1DB1-ListParagraph3"/>
        <w:numPr>
          <w:ilvl w:val="0"/>
          <w:numId w:val="36"/>
        </w:numPr>
        <w:tabs>
          <w:tab w:val="left" w:pos="1878"/>
        </w:tabs>
        <w:spacing w:line="276" w:lineRule="auto"/>
        <w:ind w:right="133" w:firstLine="0"/>
        <w:rPr>
          <w:rFonts w:ascii="Times New Roman" w:hAnsi="Times New Roman" w:cs="Times New Roman"/>
          <w:szCs w:val="22"/>
        </w:rPr>
      </w:pPr>
      <w:r w:rsidRPr="00731F8E">
        <w:rPr>
          <w:rFonts w:ascii="Times New Roman" w:hAnsi="Times New Roman" w:cs="Times New Roman"/>
          <w:szCs w:val="22"/>
        </w:rPr>
        <w:t>In the generation facilities included in the scope of this article and commissioned after the acceptance procedures are completed, a process is established in accordance with the provisions of the relevant legislation for surplus energy generated as a result of hourly or monthly offsetting.</w:t>
      </w:r>
    </w:p>
    <w:p w14:paraId="58FEC3A8" w14:textId="77777777" w:rsidR="004C0A79" w:rsidRPr="00731F8E" w:rsidRDefault="004C0A79" w:rsidP="004C0A79">
      <w:pPr>
        <w:pStyle w:val="GvdeMetni"/>
        <w:spacing w:before="38"/>
        <w:rPr>
          <w:rFonts w:cs="Times New Roman"/>
          <w:szCs w:val="22"/>
        </w:rPr>
      </w:pPr>
    </w:p>
    <w:p w14:paraId="40A4F540" w14:textId="77777777" w:rsidR="004C0A79" w:rsidRPr="00731F8E" w:rsidRDefault="004C0A79" w:rsidP="004C0A79">
      <w:pPr>
        <w:pStyle w:val="GvdeMetni"/>
        <w:ind w:left="1575"/>
        <w:rPr>
          <w:rFonts w:cs="Times New Roman"/>
          <w:szCs w:val="22"/>
        </w:rPr>
      </w:pPr>
      <w:r w:rsidRPr="00731F8E">
        <w:rPr>
          <w:rFonts w:cs="Times New Roman"/>
          <w:szCs w:val="22"/>
        </w:rPr>
        <w:t>Unlicensed generation facilities using pyrolytic gas and pyrolytic oil</w:t>
      </w:r>
    </w:p>
    <w:p w14:paraId="13615D56" w14:textId="77777777" w:rsidR="004C0A79" w:rsidRPr="00731F8E" w:rsidRDefault="004C0A79" w:rsidP="004C0A79">
      <w:pPr>
        <w:pStyle w:val="GvdeMetni"/>
        <w:spacing w:before="41" w:line="276" w:lineRule="auto"/>
        <w:ind w:left="1575" w:right="131"/>
        <w:rPr>
          <w:rFonts w:cs="Times New Roman"/>
          <w:szCs w:val="22"/>
        </w:rPr>
      </w:pPr>
      <w:r w:rsidRPr="00731F8E">
        <w:rPr>
          <w:rFonts w:cs="Times New Roman"/>
          <w:szCs w:val="22"/>
        </w:rPr>
        <w:t>PROVISIONAL ARTICLE 6- (1) As of the date of entry into force of this article, pyrolytic oil and pyrolytic gas, which are by-products of the processing of waste tires, are planned to be used as fuel and a letter of invitation is issued to the connection agreement, the connection agreement is signed or the acceptance is completed and the said fuel is also produced in the relevant electricity generation facility and it is obligatory not to use other sources other than these sources.</w:t>
      </w:r>
    </w:p>
    <w:p w14:paraId="194671DA" w14:textId="77777777" w:rsidR="004C0A79" w:rsidRPr="00731F8E" w:rsidRDefault="004C0A79" w:rsidP="004C0A79">
      <w:pPr>
        <w:pStyle w:val="GvdeMetni"/>
        <w:spacing w:before="37"/>
        <w:rPr>
          <w:rFonts w:cs="Times New Roman"/>
          <w:szCs w:val="22"/>
        </w:rPr>
      </w:pPr>
    </w:p>
    <w:p w14:paraId="3E8A8838"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(2) From the unlicensed generation facilities whose acceptance has been completed, the generation facilities that do not produce pyrolytic oil and pyrolytic gas in electricity generation facilities and use resources other than these resources shall carry out the necessary procedures to produce the relevant fuels in the electricity generation facility until 31/8/2023 and shall terminate the use of other resources, if any."</w:t>
      </w:r>
    </w:p>
    <w:p w14:paraId="6398A5E2" w14:textId="77777777" w:rsidR="004C0A79" w:rsidRPr="00731F8E" w:rsidRDefault="004C0A79" w:rsidP="004C0A79">
      <w:pPr>
        <w:pStyle w:val="GvdeMetni"/>
        <w:spacing w:before="42"/>
        <w:rPr>
          <w:rFonts w:cs="Times New Roman"/>
          <w:szCs w:val="22"/>
        </w:rPr>
      </w:pPr>
    </w:p>
    <w:p w14:paraId="7220AB43" w14:textId="77777777" w:rsidR="004C0A79" w:rsidRPr="00731F8E" w:rsidRDefault="004C0A79" w:rsidP="00A86526">
      <w:pPr>
        <w:pStyle w:val="ListeParagraf"/>
        <w:widowControl w:val="0"/>
        <w:numPr>
          <w:ilvl w:val="0"/>
          <w:numId w:val="35"/>
        </w:numPr>
        <w:tabs>
          <w:tab w:val="left" w:pos="855"/>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•With the Amendment Regulation published in the Official Gazette dated 08.09.2022 and numbered 31947, the following paragraphs have been added to Article 10/A of the Electricity Market Connection and System Usage Regulation.</w:t>
      </w:r>
    </w:p>
    <w:p w14:paraId="6A571336" w14:textId="77777777" w:rsidR="004C0A79" w:rsidRPr="00731F8E" w:rsidRDefault="004C0A79" w:rsidP="004C0A79">
      <w:pPr>
        <w:pStyle w:val="GvdeMetni"/>
        <w:spacing w:before="82"/>
        <w:rPr>
          <w:rFonts w:cs="Times New Roman"/>
          <w:i/>
          <w:szCs w:val="22"/>
        </w:rPr>
      </w:pPr>
    </w:p>
    <w:p w14:paraId="2988F1C9"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"(8) In connection requests for agricultural activities, if there is more than one request and network investment is required, the connection lines established in this context are considered as agricultural connection lines. In this context, in order to establish an agricultural connection line, a connection application must be made for at least two places of use up to 2 km from the actual network route and at least five places of use up to 5 km. The connection line distance for the places of use within this scope is applied as five hundred meters for each place of use. In this context, the network elements subject to common use are established by the relevant distribution company. For the immovables where the agricultural connection line will be built, the consent of the said immovable owner is deemed to have been given.</w:t>
      </w:r>
    </w:p>
    <w:p w14:paraId="05B06678" w14:textId="77777777" w:rsidR="004C0A79" w:rsidRPr="00731F8E" w:rsidRDefault="004C0A79" w:rsidP="00A86526">
      <w:pPr>
        <w:pStyle w:val="P68B1DB1-ListParagraph3"/>
        <w:numPr>
          <w:ilvl w:val="0"/>
          <w:numId w:val="40"/>
        </w:numPr>
        <w:tabs>
          <w:tab w:val="left" w:pos="1900"/>
        </w:tabs>
        <w:spacing w:before="37" w:line="276" w:lineRule="auto"/>
        <w:ind w:right="136" w:firstLine="0"/>
        <w:rPr>
          <w:rFonts w:ascii="Times New Roman" w:hAnsi="Times New Roman" w:cs="Times New Roman"/>
          <w:szCs w:val="22"/>
        </w:rPr>
      </w:pPr>
      <w:r w:rsidRPr="00731F8E">
        <w:rPr>
          <w:rFonts w:ascii="Times New Roman" w:hAnsi="Times New Roman" w:cs="Times New Roman"/>
          <w:szCs w:val="22"/>
        </w:rPr>
        <w:t>The agricultural connection line established within the scope of the eighth paragraph shall have the quality of a distribution facility without the need for any action upon the completion of its provisional acceptance. New connection opinions are given on this line upon request."</w:t>
      </w:r>
    </w:p>
    <w:p w14:paraId="5B57B0C8" w14:textId="77777777" w:rsidR="004C0A79" w:rsidRPr="00731F8E" w:rsidRDefault="004C0A79" w:rsidP="004C0A79">
      <w:pPr>
        <w:pStyle w:val="GvdeMetni"/>
        <w:spacing w:before="40"/>
        <w:rPr>
          <w:rFonts w:cs="Times New Roman"/>
          <w:szCs w:val="22"/>
        </w:rPr>
      </w:pPr>
    </w:p>
    <w:p w14:paraId="4E25C26B"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first paragraph of Article 10/B has been amended as follows.</w:t>
      </w:r>
    </w:p>
    <w:p w14:paraId="19A073F1" w14:textId="77777777" w:rsidR="004C0A79" w:rsidRPr="00731F8E" w:rsidRDefault="004C0A79" w:rsidP="004C0A79">
      <w:pPr>
        <w:pStyle w:val="GvdeMetni"/>
        <w:spacing w:before="82"/>
        <w:rPr>
          <w:rFonts w:cs="Times New Roman"/>
          <w:i/>
          <w:szCs w:val="22"/>
        </w:rPr>
      </w:pPr>
    </w:p>
    <w:p w14:paraId="3B8C9BB3" w14:textId="77777777" w:rsidR="004C0A79" w:rsidRPr="00731F8E" w:rsidRDefault="004C0A79" w:rsidP="004C0A79">
      <w:pPr>
        <w:pStyle w:val="GvdeMetni"/>
        <w:spacing w:line="276" w:lineRule="auto"/>
        <w:ind w:left="1575" w:right="135"/>
        <w:rPr>
          <w:rFonts w:cs="Times New Roman"/>
          <w:szCs w:val="22"/>
        </w:rPr>
      </w:pPr>
      <w:r w:rsidRPr="00731F8E">
        <w:rPr>
          <w:rFonts w:cs="Times New Roman"/>
          <w:szCs w:val="22"/>
        </w:rPr>
        <w:t>"(1) If the place subject to the connection request is a consumption facility, the part of the connection line to be established in order to ensure the connection of the relevant consumption facility to the distribution network outside the boundaries of the land owned by the user where the place of use is located;</w:t>
      </w:r>
    </w:p>
    <w:p w14:paraId="1C3DEFE1" w14:textId="77777777" w:rsidR="004C0A79" w:rsidRPr="00731F8E" w:rsidRDefault="004C0A79" w:rsidP="00A86526">
      <w:pPr>
        <w:pStyle w:val="P68B1DB1-ListParagraph3"/>
        <w:numPr>
          <w:ilvl w:val="2"/>
          <w:numId w:val="35"/>
        </w:numPr>
        <w:tabs>
          <w:tab w:val="left" w:pos="1804"/>
        </w:tabs>
        <w:spacing w:line="268" w:lineRule="exact"/>
        <w:ind w:left="1804" w:hanging="229"/>
        <w:rPr>
          <w:rFonts w:ascii="Times New Roman" w:hAnsi="Times New Roman" w:cs="Times New Roman"/>
          <w:szCs w:val="22"/>
        </w:rPr>
      </w:pPr>
      <w:r w:rsidRPr="00731F8E">
        <w:rPr>
          <w:rFonts w:ascii="Times New Roman" w:hAnsi="Times New Roman" w:cs="Times New Roman"/>
          <w:szCs w:val="22"/>
        </w:rPr>
        <w:t xml:space="preserve">Cannot be more than, </w:t>
      </w:r>
    </w:p>
    <w:p w14:paraId="0F285A04" w14:textId="77777777" w:rsidR="004C0A79" w:rsidRPr="00731F8E" w:rsidRDefault="004C0A79" w:rsidP="00A86526">
      <w:pPr>
        <w:pStyle w:val="P68B1DB1-ListParagraph3"/>
        <w:numPr>
          <w:ilvl w:val="2"/>
          <w:numId w:val="35"/>
        </w:numPr>
        <w:tabs>
          <w:tab w:val="left" w:pos="1804"/>
        </w:tabs>
        <w:spacing w:line="268" w:lineRule="exact"/>
        <w:ind w:left="1804" w:hanging="229"/>
        <w:rPr>
          <w:rFonts w:ascii="Times New Roman" w:hAnsi="Times New Roman" w:cs="Times New Roman"/>
          <w:szCs w:val="22"/>
        </w:rPr>
      </w:pPr>
      <w:r w:rsidRPr="00731F8E">
        <w:rPr>
          <w:rFonts w:ascii="Times New Roman" w:hAnsi="Times New Roman" w:cs="Times New Roman"/>
          <w:szCs w:val="22"/>
        </w:rPr>
        <w:lastRenderedPageBreak/>
        <w:t xml:space="preserve"> Five hundred meters for MV users located in residential areas, </w:t>
      </w:r>
    </w:p>
    <w:p w14:paraId="1A1205AD" w14:textId="77777777" w:rsidR="004C0A79" w:rsidRPr="00731F8E" w:rsidRDefault="004C0A79" w:rsidP="00A86526">
      <w:pPr>
        <w:pStyle w:val="P68B1DB1-ListParagraph3"/>
        <w:numPr>
          <w:ilvl w:val="2"/>
          <w:numId w:val="35"/>
        </w:numPr>
        <w:tabs>
          <w:tab w:val="left" w:pos="1804"/>
        </w:tabs>
        <w:spacing w:line="268" w:lineRule="exact"/>
        <w:ind w:left="1804" w:hanging="229"/>
        <w:rPr>
          <w:rFonts w:ascii="Times New Roman" w:hAnsi="Times New Roman" w:cs="Times New Roman"/>
          <w:szCs w:val="22"/>
        </w:rPr>
      </w:pPr>
      <w:r w:rsidRPr="00731F8E">
        <w:rPr>
          <w:rFonts w:ascii="Times New Roman" w:hAnsi="Times New Roman" w:cs="Times New Roman"/>
          <w:szCs w:val="22"/>
        </w:rPr>
        <w:t>Sixty meters for the LV user located in a residential area, and one hundred and twenty meters if there is more than one user,</w:t>
      </w:r>
    </w:p>
    <w:p w14:paraId="4070767E" w14:textId="77777777" w:rsidR="004C0A79" w:rsidRPr="00731F8E" w:rsidRDefault="004C0A79" w:rsidP="00A86526">
      <w:pPr>
        <w:pStyle w:val="P68B1DB1-ListParagraph3"/>
        <w:numPr>
          <w:ilvl w:val="2"/>
          <w:numId w:val="35"/>
        </w:numPr>
        <w:tabs>
          <w:tab w:val="left" w:pos="1804"/>
        </w:tabs>
        <w:spacing w:line="268" w:lineRule="exact"/>
        <w:ind w:left="1804" w:hanging="229"/>
        <w:rPr>
          <w:rFonts w:ascii="Times New Roman" w:hAnsi="Times New Roman" w:cs="Times New Roman"/>
          <w:szCs w:val="22"/>
        </w:rPr>
      </w:pPr>
      <w:r w:rsidRPr="00731F8E">
        <w:rPr>
          <w:rFonts w:ascii="Times New Roman" w:hAnsi="Times New Roman" w:cs="Times New Roman"/>
          <w:szCs w:val="22"/>
        </w:rPr>
        <w:t>Two hundred meters for LV users outside residential areas.</w:t>
      </w:r>
    </w:p>
    <w:p w14:paraId="357EA5E7" w14:textId="77777777" w:rsidR="004C0A79" w:rsidRPr="00731F8E" w:rsidRDefault="004C0A79" w:rsidP="004C0A79">
      <w:pPr>
        <w:pStyle w:val="GvdeMetni"/>
        <w:spacing w:before="39"/>
        <w:ind w:left="1575"/>
        <w:rPr>
          <w:rFonts w:cs="Times New Roman"/>
          <w:szCs w:val="22"/>
        </w:rPr>
      </w:pPr>
      <w:r w:rsidRPr="00731F8E">
        <w:rPr>
          <w:rFonts w:cs="Times New Roman"/>
          <w:szCs w:val="22"/>
        </w:rPr>
        <w:t>The parts exceeding these distances are made within the framework of the distribution facility."</w:t>
      </w:r>
    </w:p>
    <w:p w14:paraId="56AF587F" w14:textId="77777777" w:rsidR="004C0A79" w:rsidRPr="00731F8E" w:rsidRDefault="004C0A79" w:rsidP="004C0A79">
      <w:pPr>
        <w:pStyle w:val="GvdeMetni"/>
        <w:spacing w:before="82"/>
        <w:rPr>
          <w:rFonts w:cs="Times New Roman"/>
          <w:szCs w:val="22"/>
        </w:rPr>
      </w:pPr>
    </w:p>
    <w:p w14:paraId="1FE2E837" w14:textId="77777777" w:rsidR="004C0A79" w:rsidRPr="00731F8E" w:rsidRDefault="004C0A79" w:rsidP="00A86526">
      <w:pPr>
        <w:pStyle w:val="ListeParagraf"/>
        <w:widowControl w:val="0"/>
        <w:numPr>
          <w:ilvl w:val="0"/>
          <w:numId w:val="35"/>
        </w:numPr>
        <w:tabs>
          <w:tab w:val="left" w:pos="855"/>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With the Amendment Regulation published in the Official Gazette dated 01.10.2022 and numbered 31970, the thirteenth paragraph of Article 26 of the Unlicensed Electricity Production Regulation in the Electricity Market has been amended as follows.</w:t>
      </w:r>
    </w:p>
    <w:p w14:paraId="5EF344EB" w14:textId="77777777" w:rsidR="004C0A79" w:rsidRPr="00731F8E" w:rsidRDefault="004C0A79" w:rsidP="004C0A79">
      <w:pPr>
        <w:pStyle w:val="GvdeMetni"/>
        <w:spacing w:before="79"/>
        <w:rPr>
          <w:rFonts w:cs="Times New Roman"/>
          <w:i/>
          <w:szCs w:val="22"/>
        </w:rPr>
      </w:pPr>
    </w:p>
    <w:p w14:paraId="35A7DB64"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"(13) In the event that a generation facility or facilities are established to be connected to the system within the boundaries of different distribution zones within the scope of clause (h) of the first paragraph of Article 5, the electrical energy draw amounts of the consumption facility or facilities and, if any, the transmission amounts of the generation facility at the same measurement point shall be determined on an hourly basis from the meter data attached to the place specified in the connection agreement and notified to the relevant authorized supply company or the relevant market operator by the relevant network operator until the third working day of each month. If it is desired to establish more than one generation facility for one or more consumption facilities within the scope of this article, a generation facility can also be established within the borders of the supply company with different duties. In the event that the generation and/or consumption facilities are within the borders of different distribution or authorized supply company regions, the settlement transactions are carried out by the market operator."</w:t>
      </w:r>
    </w:p>
    <w:p w14:paraId="03985403" w14:textId="77777777" w:rsidR="004C0A79" w:rsidRPr="00731F8E" w:rsidRDefault="004C0A79" w:rsidP="004C0A79">
      <w:pPr>
        <w:pStyle w:val="GvdeMetni"/>
        <w:spacing w:before="39"/>
        <w:rPr>
          <w:rFonts w:cs="Times New Roman"/>
          <w:szCs w:val="22"/>
        </w:rPr>
      </w:pPr>
    </w:p>
    <w:p w14:paraId="05DBB1EA" w14:textId="77777777" w:rsidR="004C0A79" w:rsidRPr="00731F8E" w:rsidRDefault="004C0A79" w:rsidP="00A86526">
      <w:pPr>
        <w:pStyle w:val="ListeParagraf"/>
        <w:widowControl w:val="0"/>
        <w:numPr>
          <w:ilvl w:val="1"/>
          <w:numId w:val="35"/>
        </w:numPr>
        <w:tabs>
          <w:tab w:val="left" w:pos="1575"/>
        </w:tabs>
        <w:autoSpaceDE w:val="0"/>
        <w:autoSpaceDN w:val="0"/>
        <w:spacing w:after="0"/>
        <w:ind w:right="134"/>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"in a generation facility within the scope of clause (h) of the first paragraph of Article 5</w:t>
      </w:r>
      <w:r w:rsidRPr="00731F8E">
        <w:rPr>
          <w:rFonts w:ascii="Times New Roman" w:hAnsi="Times New Roman"/>
        </w:rPr>
        <w:t xml:space="preserve">" in the first </w:t>
      </w:r>
      <w:r w:rsidRPr="00731F8E">
        <w:rPr>
          <w:rFonts w:ascii="Times New Roman" w:hAnsi="Times New Roman"/>
          <w:i/>
        </w:rPr>
        <w:t>paragraph of Article 28 has been changed to "in the generation facilities within the scope of clause (h) of the first paragraph of Article 5"</w:t>
      </w:r>
      <w:r w:rsidRPr="00731F8E">
        <w:rPr>
          <w:rFonts w:ascii="Times New Roman" w:hAnsi="Times New Roman"/>
        </w:rPr>
        <w:t xml:space="preserve">, and the phrase </w:t>
      </w:r>
      <w:r w:rsidRPr="00731F8E">
        <w:rPr>
          <w:rFonts w:ascii="Times New Roman" w:hAnsi="Times New Roman"/>
          <w:i/>
        </w:rPr>
        <w:t xml:space="preserve">"but again within the OIZ distribution license zone" in </w:t>
      </w:r>
      <w:r w:rsidRPr="00731F8E">
        <w:rPr>
          <w:rFonts w:ascii="Times New Roman" w:hAnsi="Times New Roman"/>
        </w:rPr>
        <w:t xml:space="preserve">the second paragraph has been changed to </w:t>
      </w:r>
      <w:r w:rsidRPr="00731F8E">
        <w:rPr>
          <w:rFonts w:ascii="Times New Roman" w:hAnsi="Times New Roman"/>
          <w:i/>
        </w:rPr>
        <w:t>"outside the OIZ distribution license zone"</w:t>
      </w:r>
      <w:r w:rsidRPr="00731F8E">
        <w:rPr>
          <w:rFonts w:ascii="Times New Roman" w:hAnsi="Times New Roman"/>
        </w:rPr>
        <w:t>.</w:t>
      </w:r>
    </w:p>
    <w:p w14:paraId="584501AC" w14:textId="77777777" w:rsidR="004C0A79" w:rsidRPr="00731F8E" w:rsidRDefault="004C0A79" w:rsidP="004C0A79">
      <w:pPr>
        <w:pStyle w:val="GvdeMetni"/>
        <w:spacing w:before="39"/>
        <w:rPr>
          <w:rFonts w:cs="Times New Roman"/>
          <w:i/>
          <w:szCs w:val="22"/>
        </w:rPr>
      </w:pPr>
    </w:p>
    <w:p w14:paraId="6A5E0F01"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1" w:after="0"/>
        <w:ind w:right="134"/>
        <w:rPr>
          <w:rFonts w:ascii="Times New Roman" w:hAnsi="Times New Roman" w:cs="Times New Roman"/>
          <w:szCs w:val="22"/>
        </w:rPr>
      </w:pPr>
      <w:r w:rsidRPr="00731F8E">
        <w:rPr>
          <w:rFonts w:ascii="Times New Roman" w:hAnsi="Times New Roman" w:cs="Times New Roman"/>
          <w:szCs w:val="22"/>
        </w:rPr>
        <w:t>The phrase "provided that it is located in the same distribution region" in the second paragraph of Article 30 has been repealed and the following sentence has been added to the fifth paragraph of the same article.</w:t>
      </w:r>
    </w:p>
    <w:p w14:paraId="35728C4E" w14:textId="77777777" w:rsidR="004C0A79" w:rsidRPr="00731F8E" w:rsidRDefault="004C0A79" w:rsidP="004C0A79">
      <w:pPr>
        <w:pStyle w:val="GvdeMetni"/>
        <w:spacing w:before="40"/>
        <w:rPr>
          <w:rFonts w:cs="Times New Roman"/>
          <w:i/>
          <w:szCs w:val="22"/>
        </w:rPr>
      </w:pPr>
    </w:p>
    <w:p w14:paraId="067D583E"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"The provision of this paragraph shall not apply to consumption facilities that supply electricity from the supply company in charge by not exercising the right of eligible consumer."</w:t>
      </w:r>
    </w:p>
    <w:p w14:paraId="11AEF614"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77"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following provisional article has been added.</w:t>
      </w:r>
    </w:p>
    <w:p w14:paraId="00230F8C" w14:textId="77777777" w:rsidR="004C0A79" w:rsidRPr="00731F8E" w:rsidRDefault="004C0A79" w:rsidP="004C0A79">
      <w:pPr>
        <w:pStyle w:val="GvdeMetni"/>
        <w:spacing w:before="81"/>
        <w:rPr>
          <w:rFonts w:cs="Times New Roman"/>
          <w:i/>
          <w:szCs w:val="22"/>
        </w:rPr>
      </w:pPr>
    </w:p>
    <w:p w14:paraId="5C181CC3" w14:textId="77777777" w:rsidR="004C0A79" w:rsidRPr="00731F8E" w:rsidRDefault="004C0A79" w:rsidP="004C0A79">
      <w:pPr>
        <w:pStyle w:val="GvdeMetni"/>
        <w:spacing w:line="273" w:lineRule="auto"/>
        <w:ind w:left="1575" w:right="132"/>
        <w:rPr>
          <w:rFonts w:cs="Times New Roman"/>
          <w:szCs w:val="22"/>
        </w:rPr>
      </w:pPr>
      <w:r w:rsidRPr="00731F8E">
        <w:rPr>
          <w:rFonts w:cs="Times New Roman"/>
          <w:szCs w:val="22"/>
        </w:rPr>
        <w:t>“Offsetting transactions for applications to be made within more than one distribution and/or assigned supply zone</w:t>
      </w:r>
    </w:p>
    <w:p w14:paraId="241459CE" w14:textId="77777777" w:rsidR="004C0A79" w:rsidRPr="00731F8E" w:rsidRDefault="004C0A79" w:rsidP="004C0A79">
      <w:pPr>
        <w:pStyle w:val="GvdeMetni"/>
        <w:spacing w:before="4" w:line="276" w:lineRule="auto"/>
        <w:ind w:left="1575" w:right="132"/>
        <w:rPr>
          <w:rFonts w:cs="Times New Roman"/>
          <w:szCs w:val="22"/>
        </w:rPr>
      </w:pPr>
      <w:r w:rsidRPr="00731F8E">
        <w:rPr>
          <w:rFonts w:cs="Times New Roman"/>
          <w:szCs w:val="22"/>
        </w:rPr>
        <w:t>PROVISIONAL ARTICLE 7- (1) In the facilities where the transactions are carried out within the scope of Articles 26 and 30, if the generation and/or consumption facilities are within the borders of different distribution or assigned supply company regions, the necessary infrastructure regarding how the settlement transactions will be carried out shall be prepared by the market operator within 3 (three) months.</w:t>
      </w:r>
    </w:p>
    <w:p w14:paraId="3BC60A74" w14:textId="77777777" w:rsidR="004C0A79" w:rsidRPr="00731F8E" w:rsidRDefault="004C0A79" w:rsidP="00A86526">
      <w:pPr>
        <w:pStyle w:val="P68B1DB1-ListParagraph3"/>
        <w:numPr>
          <w:ilvl w:val="0"/>
          <w:numId w:val="34"/>
        </w:numPr>
        <w:tabs>
          <w:tab w:val="left" w:pos="1914"/>
        </w:tabs>
        <w:spacing w:line="276" w:lineRule="auto"/>
        <w:ind w:right="133" w:firstLine="0"/>
        <w:rPr>
          <w:rFonts w:ascii="Times New Roman" w:hAnsi="Times New Roman" w:cs="Times New Roman"/>
          <w:szCs w:val="22"/>
        </w:rPr>
      </w:pPr>
      <w:r w:rsidRPr="00731F8E">
        <w:rPr>
          <w:rFonts w:ascii="Times New Roman" w:hAnsi="Times New Roman" w:cs="Times New Roman"/>
          <w:szCs w:val="22"/>
        </w:rPr>
        <w:t>New applications for generation facilities to be within the borders of different assigned supply companies and requests for facilities already in operation are evaluated as of 1/1/2023.</w:t>
      </w:r>
    </w:p>
    <w:p w14:paraId="378BDD15" w14:textId="77777777" w:rsidR="004C0A79" w:rsidRPr="00731F8E" w:rsidRDefault="004C0A79" w:rsidP="00A86526">
      <w:pPr>
        <w:pStyle w:val="P68B1DB1-ListParagraph3"/>
        <w:numPr>
          <w:ilvl w:val="0"/>
          <w:numId w:val="34"/>
        </w:numPr>
        <w:tabs>
          <w:tab w:val="left" w:pos="1863"/>
        </w:tabs>
        <w:spacing w:line="276" w:lineRule="auto"/>
        <w:ind w:right="130" w:firstLine="0"/>
        <w:rPr>
          <w:rFonts w:ascii="Times New Roman" w:hAnsi="Times New Roman" w:cs="Times New Roman"/>
          <w:szCs w:val="22"/>
        </w:rPr>
      </w:pPr>
      <w:r w:rsidRPr="00731F8E">
        <w:rPr>
          <w:rFonts w:ascii="Times New Roman" w:hAnsi="Times New Roman" w:cs="Times New Roman"/>
          <w:szCs w:val="22"/>
        </w:rPr>
        <w:t>The offsetting procedures of the generation facilities that are in operation as of the date of publication of this Regulation or that will enter into operation until 1/1/2023 and the consumption facilities within the region of different distribution or assigned supply company shall be carried out by the assigned supply company in the region where the production facility is located until 1/1/2023."</w:t>
      </w:r>
    </w:p>
    <w:p w14:paraId="0BAD3969" w14:textId="77777777" w:rsidR="004C0A79" w:rsidRPr="00731F8E" w:rsidRDefault="004C0A79" w:rsidP="004C0A79">
      <w:pPr>
        <w:pStyle w:val="GvdeMetni"/>
        <w:spacing w:before="40"/>
        <w:rPr>
          <w:rFonts w:cs="Times New Roman"/>
          <w:szCs w:val="22"/>
        </w:rPr>
      </w:pPr>
    </w:p>
    <w:p w14:paraId="0F802F43" w14:textId="77777777" w:rsidR="004C0A79" w:rsidRPr="00731F8E" w:rsidRDefault="004C0A79" w:rsidP="00A86526">
      <w:pPr>
        <w:pStyle w:val="ListeParagraf"/>
        <w:widowControl w:val="0"/>
        <w:numPr>
          <w:ilvl w:val="0"/>
          <w:numId w:val="35"/>
        </w:numPr>
        <w:tabs>
          <w:tab w:val="left" w:pos="855"/>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With the Amendment Regulation published in the Official Gazette dated 19.11.2022 and numbered 32018, the first paragraph of Article 5/A of the Electricity Market Connection and System Usage Regulation has been abolished.</w:t>
      </w:r>
    </w:p>
    <w:p w14:paraId="43A1E712" w14:textId="77777777" w:rsidR="004C0A79" w:rsidRPr="00731F8E" w:rsidRDefault="004C0A79" w:rsidP="004C0A79">
      <w:pPr>
        <w:pStyle w:val="GvdeMetni"/>
        <w:spacing w:before="83"/>
        <w:rPr>
          <w:rFonts w:cs="Times New Roman"/>
          <w:i/>
          <w:szCs w:val="22"/>
        </w:rPr>
      </w:pPr>
    </w:p>
    <w:p w14:paraId="352A6D30" w14:textId="77777777" w:rsidR="004C0A79" w:rsidRPr="00731F8E" w:rsidRDefault="004C0A79" w:rsidP="00A86526">
      <w:pPr>
        <w:pStyle w:val="ListeParagraf"/>
        <w:widowControl w:val="0"/>
        <w:numPr>
          <w:ilvl w:val="0"/>
          <w:numId w:val="35"/>
        </w:numPr>
        <w:tabs>
          <w:tab w:val="left" w:pos="855"/>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With the Amendment Regulation published in the Official Gazette dated 19.11.2022 and numbered 32018, the phrase "unit or" was added after the phrase "electricity storage" in clause (s) of the first paragraph of Article 4 of the Electricity Market Balancing and Settlement Regulation, and clause (iiiiii) It has been amended as follows and the following clause has been added to the same paragraph.</w:t>
      </w:r>
    </w:p>
    <w:p w14:paraId="37ABA780" w14:textId="77777777" w:rsidR="004C0A79" w:rsidRPr="00731F8E" w:rsidRDefault="004C0A79" w:rsidP="004C0A79">
      <w:pPr>
        <w:pStyle w:val="GvdeMetni"/>
        <w:spacing w:before="38"/>
        <w:rPr>
          <w:rFonts w:cs="Times New Roman"/>
          <w:i/>
          <w:szCs w:val="22"/>
        </w:rPr>
      </w:pPr>
    </w:p>
    <w:p w14:paraId="4F45A3E7" w14:textId="77777777" w:rsidR="004C0A79" w:rsidRPr="00731F8E" w:rsidRDefault="004C0A79" w:rsidP="004C0A79">
      <w:pPr>
        <w:pStyle w:val="GvdeMetni"/>
        <w:spacing w:line="276" w:lineRule="auto"/>
        <w:ind w:left="1575" w:right="131"/>
        <w:rPr>
          <w:rFonts w:cs="Times New Roman"/>
          <w:szCs w:val="22"/>
        </w:rPr>
      </w:pPr>
      <w:r w:rsidRPr="00731F8E">
        <w:rPr>
          <w:rFonts w:cs="Times New Roman"/>
          <w:szCs w:val="22"/>
        </w:rPr>
        <w:t>“iiiiii) Electricity storage facility: A facility that can store electrical energy by converting it to another type of energy and can transfer the stored energy to the system by converting it back to electrical energy for use,”</w:t>
      </w:r>
    </w:p>
    <w:p w14:paraId="3DADBCEB"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“jjjjjj) Storage electricity generation facility: The generation facility established within the scope of the tenth and eleventh paragraphs of Article 7 of the Law,”</w:t>
      </w:r>
    </w:p>
    <w:p w14:paraId="4D3561B5" w14:textId="77777777" w:rsidR="004C0A79" w:rsidRPr="00731F8E" w:rsidRDefault="004C0A79" w:rsidP="004C0A79">
      <w:pPr>
        <w:pStyle w:val="GvdeMetni"/>
        <w:spacing w:before="39"/>
        <w:rPr>
          <w:rFonts w:cs="Times New Roman"/>
          <w:szCs w:val="22"/>
        </w:rPr>
      </w:pPr>
    </w:p>
    <w:p w14:paraId="13F22A88" w14:textId="77777777" w:rsidR="004C0A79" w:rsidRPr="00731F8E" w:rsidRDefault="004C0A79" w:rsidP="00A86526">
      <w:pPr>
        <w:pStyle w:val="ListeParagraf"/>
        <w:widowControl w:val="0"/>
        <w:numPr>
          <w:ilvl w:val="1"/>
          <w:numId w:val="35"/>
        </w:numPr>
        <w:tabs>
          <w:tab w:val="left" w:pos="1575"/>
        </w:tabs>
        <w:autoSpaceDE w:val="0"/>
        <w:autoSpaceDN w:val="0"/>
        <w:spacing w:after="0"/>
        <w:ind w:right="134"/>
        <w:contextualSpacing w:val="0"/>
        <w:rPr>
          <w:rFonts w:ascii="Times New Roman" w:hAnsi="Times New Roman"/>
        </w:rPr>
      </w:pPr>
      <w:r w:rsidRPr="00731F8E">
        <w:rPr>
          <w:rFonts w:ascii="Times New Roman" w:hAnsi="Times New Roman"/>
        </w:rPr>
        <w:t xml:space="preserve">Clause (a) of the third paragraph of Article 17 has been amended as follows, and the phrases "of the unit </w:t>
      </w:r>
      <w:r w:rsidRPr="00731F8E">
        <w:rPr>
          <w:rFonts w:ascii="Times New Roman" w:hAnsi="Times New Roman"/>
          <w:i/>
        </w:rPr>
        <w:t xml:space="preserve">or" have been added to come after the phrases "generation </w:t>
      </w:r>
      <w:r w:rsidRPr="00731F8E">
        <w:rPr>
          <w:rFonts w:ascii="Times New Roman" w:hAnsi="Times New Roman"/>
        </w:rPr>
        <w:t>or</w:t>
      </w:r>
      <w:r w:rsidRPr="00731F8E">
        <w:rPr>
          <w:rFonts w:ascii="Times New Roman" w:hAnsi="Times New Roman"/>
          <w:i/>
        </w:rPr>
        <w:t xml:space="preserve"> electricity storage" </w:t>
      </w:r>
      <w:r w:rsidRPr="00731F8E">
        <w:rPr>
          <w:rFonts w:ascii="Times New Roman" w:hAnsi="Times New Roman"/>
        </w:rPr>
        <w:t>in clause (b).</w:t>
      </w:r>
    </w:p>
    <w:p w14:paraId="4C566BB6" w14:textId="77777777" w:rsidR="004C0A79" w:rsidRPr="00731F8E" w:rsidRDefault="004C0A79" w:rsidP="004C0A79">
      <w:pPr>
        <w:pStyle w:val="GvdeMetni"/>
        <w:spacing w:before="41"/>
        <w:rPr>
          <w:rFonts w:cs="Times New Roman"/>
          <w:i/>
          <w:szCs w:val="22"/>
        </w:rPr>
      </w:pPr>
    </w:p>
    <w:p w14:paraId="2A6F09D3"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"a) In the event that the registration procedures for a generation or electricity storage unit or facility accepted by the Ministry are not completed, the electrical energy provided by the said generation or electricity storage unit or facility to the transmission or distribution system shall not be taken into account in the settlement calculations. No accrual or payment shall be made by the Market Operator in relation to the amount of electrical energy supplied to the transmission or distribution system. "The amount of electrical energy drawn by this generation or electricity storage unit or facility from the transmission or distribution system is evaluated within the framework of the relevant legislative provisions regarding irregular electrical energy consumption."</w:t>
      </w:r>
    </w:p>
    <w:p w14:paraId="00D89BED" w14:textId="77777777" w:rsidR="004C0A79" w:rsidRPr="00731F8E" w:rsidRDefault="004C0A79" w:rsidP="004C0A79">
      <w:pPr>
        <w:pStyle w:val="GvdeMetni"/>
        <w:spacing w:before="39"/>
        <w:rPr>
          <w:rFonts w:cs="Times New Roman"/>
          <w:szCs w:val="22"/>
        </w:rPr>
      </w:pPr>
    </w:p>
    <w:p w14:paraId="10E29663" w14:textId="77777777" w:rsidR="004C0A79" w:rsidRPr="00731F8E" w:rsidRDefault="004C0A79" w:rsidP="00A86526">
      <w:pPr>
        <w:pStyle w:val="ListeParagraf"/>
        <w:widowControl w:val="0"/>
        <w:numPr>
          <w:ilvl w:val="1"/>
          <w:numId w:val="35"/>
        </w:numPr>
        <w:tabs>
          <w:tab w:val="left" w:pos="1575"/>
        </w:tabs>
        <w:autoSpaceDE w:val="0"/>
        <w:autoSpaceDN w:val="0"/>
        <w:spacing w:before="1" w:after="0" w:line="240" w:lineRule="auto"/>
        <w:ind w:hanging="359"/>
        <w:contextualSpacing w:val="0"/>
        <w:jc w:val="left"/>
        <w:rPr>
          <w:rFonts w:ascii="Times New Roman" w:hAnsi="Times New Roman"/>
        </w:rPr>
      </w:pPr>
      <w:r w:rsidRPr="00731F8E">
        <w:rPr>
          <w:rFonts w:ascii="Times New Roman" w:hAnsi="Times New Roman"/>
        </w:rPr>
        <w:t>- The phrase "unit or" has been added after the phrase "</w:t>
      </w:r>
      <w:r w:rsidRPr="00731F8E">
        <w:rPr>
          <w:rFonts w:ascii="Times New Roman" w:hAnsi="Times New Roman"/>
          <w:i/>
        </w:rPr>
        <w:t>Electricity storage"</w:t>
      </w:r>
      <w:r w:rsidRPr="00731F8E">
        <w:rPr>
          <w:rFonts w:ascii="Times New Roman" w:hAnsi="Times New Roman"/>
        </w:rPr>
        <w:t xml:space="preserve"> in clause (g) of the second paragraph of Article 21.</w:t>
      </w:r>
    </w:p>
    <w:p w14:paraId="5FB00BC9" w14:textId="77777777" w:rsidR="004C0A79" w:rsidRPr="00731F8E" w:rsidRDefault="004C0A79" w:rsidP="00A86526">
      <w:pPr>
        <w:pStyle w:val="ListeParagraf"/>
        <w:widowControl w:val="0"/>
        <w:numPr>
          <w:ilvl w:val="1"/>
          <w:numId w:val="35"/>
        </w:numPr>
        <w:tabs>
          <w:tab w:val="left" w:pos="1575"/>
        </w:tabs>
        <w:autoSpaceDE w:val="0"/>
        <w:autoSpaceDN w:val="0"/>
        <w:spacing w:before="38" w:after="0" w:line="240" w:lineRule="auto"/>
        <w:ind w:left="1576" w:hanging="359"/>
        <w:contextualSpacing w:val="0"/>
        <w:rPr>
          <w:rFonts w:ascii="Times New Roman" w:hAnsi="Times New Roman"/>
        </w:rPr>
      </w:pPr>
      <w:r w:rsidRPr="00731F8E">
        <w:rPr>
          <w:rFonts w:ascii="Times New Roman" w:hAnsi="Times New Roman"/>
        </w:rPr>
        <w:t>- The phrase "unit or" has been added after the phrase "</w:t>
      </w:r>
      <w:r w:rsidRPr="00731F8E">
        <w:rPr>
          <w:rFonts w:ascii="Times New Roman" w:hAnsi="Times New Roman"/>
          <w:i/>
        </w:rPr>
        <w:t>electricity storage"</w:t>
      </w:r>
      <w:r w:rsidRPr="00731F8E">
        <w:rPr>
          <w:rFonts w:ascii="Times New Roman" w:hAnsi="Times New Roman"/>
        </w:rPr>
        <w:t xml:space="preserve"> in clause (c) of the second paragraph of Article 22.</w:t>
      </w:r>
    </w:p>
    <w:p w14:paraId="7FC10FB8" w14:textId="77777777" w:rsidR="004C0A79" w:rsidRPr="00731F8E" w:rsidRDefault="004C0A79" w:rsidP="004C0A79">
      <w:pPr>
        <w:pStyle w:val="GvdeMetni"/>
        <w:spacing w:before="82"/>
        <w:rPr>
          <w:rFonts w:cs="Times New Roman"/>
          <w:i/>
          <w:szCs w:val="22"/>
        </w:rPr>
      </w:pPr>
    </w:p>
    <w:p w14:paraId="2C850B5E" w14:textId="77777777" w:rsidR="004C0A79" w:rsidRPr="00731F8E" w:rsidRDefault="004C0A79" w:rsidP="00A86526">
      <w:pPr>
        <w:pStyle w:val="ListeParagraf"/>
        <w:widowControl w:val="0"/>
        <w:numPr>
          <w:ilvl w:val="1"/>
          <w:numId w:val="35"/>
        </w:numPr>
        <w:tabs>
          <w:tab w:val="left" w:pos="1575"/>
        </w:tabs>
        <w:autoSpaceDE w:val="0"/>
        <w:autoSpaceDN w:val="0"/>
        <w:spacing w:after="0"/>
        <w:ind w:right="132"/>
        <w:contextualSpacing w:val="0"/>
        <w:rPr>
          <w:rFonts w:ascii="Times New Roman" w:hAnsi="Times New Roman"/>
        </w:rPr>
      </w:pPr>
      <w:r w:rsidRPr="00731F8E">
        <w:rPr>
          <w:rFonts w:ascii="Times New Roman" w:hAnsi="Times New Roman"/>
        </w:rPr>
        <w:t xml:space="preserve">The phrase "electricity storage unit within storage electricity </w:t>
      </w:r>
      <w:r w:rsidRPr="00731F8E">
        <w:rPr>
          <w:rFonts w:ascii="Times New Roman" w:hAnsi="Times New Roman"/>
          <w:i/>
        </w:rPr>
        <w:t xml:space="preserve">generation facilities" has been added after the phrase "with licenses of </w:t>
      </w:r>
      <w:r w:rsidRPr="00731F8E">
        <w:rPr>
          <w:rFonts w:ascii="Times New Roman" w:hAnsi="Times New Roman"/>
        </w:rPr>
        <w:t xml:space="preserve">generation </w:t>
      </w:r>
      <w:r w:rsidRPr="00731F8E">
        <w:rPr>
          <w:rFonts w:ascii="Times New Roman" w:hAnsi="Times New Roman"/>
          <w:i/>
        </w:rPr>
        <w:t xml:space="preserve">facilities" in clause (c) of the first paragraph of Article 28 and the phrase "Generation </w:t>
      </w:r>
      <w:r w:rsidRPr="00731F8E">
        <w:rPr>
          <w:rFonts w:ascii="Times New Roman" w:hAnsi="Times New Roman"/>
        </w:rPr>
        <w:t>facilities</w:t>
      </w:r>
      <w:r w:rsidRPr="00731F8E">
        <w:rPr>
          <w:rFonts w:ascii="Times New Roman" w:hAnsi="Times New Roman"/>
          <w:i/>
        </w:rPr>
        <w:t xml:space="preserve">" </w:t>
      </w:r>
      <w:r w:rsidRPr="00731F8E">
        <w:rPr>
          <w:rFonts w:ascii="Times New Roman" w:hAnsi="Times New Roman"/>
        </w:rPr>
        <w:t>in clause (ç).</w:t>
      </w:r>
    </w:p>
    <w:p w14:paraId="0711E301" w14:textId="77777777" w:rsidR="004C0A79" w:rsidRPr="00731F8E" w:rsidRDefault="004C0A79" w:rsidP="004C0A79">
      <w:pPr>
        <w:pStyle w:val="GvdeMetni"/>
        <w:spacing w:before="39"/>
        <w:rPr>
          <w:rFonts w:cs="Times New Roman"/>
          <w:i/>
          <w:szCs w:val="22"/>
        </w:rPr>
      </w:pPr>
    </w:p>
    <w:p w14:paraId="543E4646" w14:textId="77777777" w:rsidR="004C0A79" w:rsidRPr="00731F8E" w:rsidRDefault="004C0A79" w:rsidP="00A86526">
      <w:pPr>
        <w:pStyle w:val="ListeParagraf"/>
        <w:widowControl w:val="0"/>
        <w:numPr>
          <w:ilvl w:val="1"/>
          <w:numId w:val="35"/>
        </w:numPr>
        <w:tabs>
          <w:tab w:val="left" w:pos="1575"/>
        </w:tabs>
        <w:autoSpaceDE w:val="0"/>
        <w:autoSpaceDN w:val="0"/>
        <w:spacing w:after="0" w:line="240" w:lineRule="auto"/>
        <w:contextualSpacing w:val="0"/>
        <w:jc w:val="left"/>
        <w:rPr>
          <w:rFonts w:ascii="Times New Roman" w:hAnsi="Times New Roman"/>
        </w:rPr>
      </w:pPr>
      <w:r w:rsidRPr="00731F8E">
        <w:rPr>
          <w:rFonts w:ascii="Times New Roman" w:hAnsi="Times New Roman"/>
        </w:rPr>
        <w:t>- The phrase "unit or" has been added after the phrase "</w:t>
      </w:r>
      <w:r w:rsidRPr="00731F8E">
        <w:rPr>
          <w:rFonts w:ascii="Times New Roman" w:hAnsi="Times New Roman"/>
          <w:i/>
        </w:rPr>
        <w:t>electricity storage"</w:t>
      </w:r>
      <w:r w:rsidRPr="00731F8E">
        <w:rPr>
          <w:rFonts w:ascii="Times New Roman" w:hAnsi="Times New Roman"/>
        </w:rPr>
        <w:t xml:space="preserve"> in clause (a) of the first paragraph of Article 68.</w:t>
      </w:r>
    </w:p>
    <w:p w14:paraId="741ACC02" w14:textId="77777777" w:rsidR="004C0A79" w:rsidRPr="00731F8E" w:rsidRDefault="004C0A79" w:rsidP="004C0A79">
      <w:pPr>
        <w:pStyle w:val="GvdeMetni"/>
        <w:spacing w:before="80"/>
        <w:rPr>
          <w:rFonts w:cs="Times New Roman"/>
          <w:i/>
          <w:szCs w:val="22"/>
        </w:rPr>
      </w:pPr>
    </w:p>
    <w:p w14:paraId="43116E19" w14:textId="77777777" w:rsidR="004C0A79" w:rsidRPr="00731F8E" w:rsidRDefault="004C0A79" w:rsidP="00A86526">
      <w:pPr>
        <w:pStyle w:val="ListeParagraf"/>
        <w:widowControl w:val="0"/>
        <w:numPr>
          <w:ilvl w:val="1"/>
          <w:numId w:val="35"/>
        </w:numPr>
        <w:tabs>
          <w:tab w:val="left" w:pos="1575"/>
        </w:tabs>
        <w:autoSpaceDE w:val="0"/>
        <w:autoSpaceDN w:val="0"/>
        <w:spacing w:before="40" w:after="0"/>
        <w:ind w:right="135"/>
        <w:contextualSpacing w:val="0"/>
        <w:rPr>
          <w:rFonts w:ascii="Times New Roman" w:hAnsi="Times New Roman"/>
        </w:rPr>
      </w:pPr>
      <w:r w:rsidRPr="00731F8E">
        <w:rPr>
          <w:rFonts w:ascii="Times New Roman" w:hAnsi="Times New Roman"/>
        </w:rPr>
        <w:t>The phrases "</w:t>
      </w:r>
      <w:r w:rsidRPr="00731F8E">
        <w:rPr>
          <w:rFonts w:ascii="Times New Roman" w:hAnsi="Times New Roman"/>
          <w:i/>
        </w:rPr>
        <w:t>units or</w:t>
      </w:r>
      <w:r w:rsidRPr="00731F8E">
        <w:rPr>
          <w:rFonts w:ascii="Times New Roman" w:hAnsi="Times New Roman"/>
        </w:rPr>
        <w:t xml:space="preserve"> </w:t>
      </w:r>
      <w:r w:rsidRPr="00731F8E">
        <w:rPr>
          <w:rFonts w:ascii="Times New Roman" w:hAnsi="Times New Roman"/>
          <w:i/>
        </w:rPr>
        <w:t xml:space="preserve">" have been added after the phrases "electricity storage" </w:t>
      </w:r>
      <w:r w:rsidRPr="00731F8E">
        <w:rPr>
          <w:rFonts w:ascii="Times New Roman" w:hAnsi="Times New Roman"/>
        </w:rPr>
        <w:t>in the fifth paragraph of Article 69.</w:t>
      </w:r>
    </w:p>
    <w:p w14:paraId="0EB99B36"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jc w:val="left"/>
        <w:rPr>
          <w:rFonts w:ascii="Times New Roman" w:hAnsi="Times New Roman" w:cs="Times New Roman"/>
          <w:szCs w:val="22"/>
        </w:rPr>
      </w:pPr>
      <w:r w:rsidRPr="00731F8E">
        <w:rPr>
          <w:rFonts w:ascii="Times New Roman" w:hAnsi="Times New Roman" w:cs="Times New Roman"/>
          <w:szCs w:val="22"/>
        </w:rPr>
        <w:t>The following article has been added to come after the Article 81.</w:t>
      </w:r>
    </w:p>
    <w:p w14:paraId="01843033" w14:textId="77777777" w:rsidR="004C0A79" w:rsidRPr="00731F8E" w:rsidRDefault="004C0A79" w:rsidP="004C0A79">
      <w:pPr>
        <w:pStyle w:val="GvdeMetni"/>
        <w:spacing w:before="79"/>
        <w:rPr>
          <w:rFonts w:cs="Times New Roman"/>
          <w:i/>
          <w:szCs w:val="22"/>
        </w:rPr>
      </w:pPr>
    </w:p>
    <w:p w14:paraId="4739D63D" w14:textId="77777777" w:rsidR="004C0A79" w:rsidRPr="00731F8E" w:rsidRDefault="004C0A79" w:rsidP="004C0A79">
      <w:pPr>
        <w:pStyle w:val="GvdeMetni"/>
        <w:ind w:left="1575"/>
        <w:rPr>
          <w:rFonts w:cs="Times New Roman"/>
          <w:szCs w:val="22"/>
        </w:rPr>
      </w:pPr>
      <w:r w:rsidRPr="00731F8E">
        <w:rPr>
          <w:rFonts w:cs="Times New Roman"/>
          <w:szCs w:val="22"/>
        </w:rPr>
        <w:t>"Applications related to storage electricity generation facilities</w:t>
      </w:r>
    </w:p>
    <w:p w14:paraId="10DCC778" w14:textId="77777777" w:rsidR="004C0A79" w:rsidRPr="00731F8E" w:rsidRDefault="004C0A79" w:rsidP="004C0A79">
      <w:pPr>
        <w:pStyle w:val="GvdeMetni"/>
        <w:spacing w:before="41" w:line="276" w:lineRule="auto"/>
        <w:ind w:left="1575" w:right="133"/>
        <w:rPr>
          <w:rFonts w:cs="Times New Roman"/>
          <w:szCs w:val="22"/>
        </w:rPr>
      </w:pPr>
      <w:r w:rsidRPr="00731F8E">
        <w:rPr>
          <w:rFonts w:cs="Times New Roman"/>
          <w:szCs w:val="22"/>
        </w:rPr>
        <w:t>ARTICLE 81/A- (1) Within the scope of the eighth paragraph of Article 27 of the Electricity Market License Regulation published in the Official Gazette dated 2/11/2013 and numbered 28809, the amount of supply of storage electricity generation facilities to the system shall not be taken into account in the settlement calculations."</w:t>
      </w:r>
    </w:p>
    <w:p w14:paraId="00DCF55A" w14:textId="77777777" w:rsidR="004C0A79" w:rsidRPr="00731F8E" w:rsidRDefault="004C0A79" w:rsidP="004C0A79">
      <w:pPr>
        <w:pStyle w:val="GvdeMetni"/>
        <w:spacing w:before="41"/>
        <w:rPr>
          <w:rFonts w:cs="Times New Roman"/>
          <w:szCs w:val="22"/>
        </w:rPr>
      </w:pPr>
    </w:p>
    <w:p w14:paraId="37BD3E5C"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jc w:val="left"/>
        <w:rPr>
          <w:rFonts w:ascii="Times New Roman" w:hAnsi="Times New Roman" w:cs="Times New Roman"/>
          <w:szCs w:val="22"/>
        </w:rPr>
      </w:pPr>
      <w:r w:rsidRPr="00731F8E">
        <w:rPr>
          <w:rFonts w:ascii="Times New Roman" w:hAnsi="Times New Roman" w:cs="Times New Roman"/>
          <w:szCs w:val="22"/>
        </w:rPr>
        <w:t>The following paragraph has been added to Article 110.</w:t>
      </w:r>
    </w:p>
    <w:p w14:paraId="720E1FE5" w14:textId="77777777" w:rsidR="004C0A79" w:rsidRPr="00731F8E" w:rsidRDefault="004C0A79" w:rsidP="004C0A79">
      <w:pPr>
        <w:pStyle w:val="GvdeMetni"/>
        <w:spacing w:before="79"/>
        <w:rPr>
          <w:rFonts w:cs="Times New Roman"/>
          <w:i/>
          <w:szCs w:val="22"/>
        </w:rPr>
      </w:pPr>
    </w:p>
    <w:p w14:paraId="22EA7CA5" w14:textId="77777777" w:rsidR="004C0A79" w:rsidRPr="00731F8E" w:rsidRDefault="004C0A79" w:rsidP="004C0A79">
      <w:pPr>
        <w:pStyle w:val="GvdeMetni"/>
        <w:spacing w:line="276" w:lineRule="auto"/>
        <w:ind w:left="1575" w:right="135"/>
        <w:rPr>
          <w:rFonts w:cs="Times New Roman"/>
          <w:szCs w:val="22"/>
        </w:rPr>
      </w:pPr>
      <w:r w:rsidRPr="00731F8E">
        <w:rPr>
          <w:rFonts w:cs="Times New Roman"/>
          <w:szCs w:val="22"/>
        </w:rPr>
        <w:t>"(5) The Board may apply different methodologies or coefficients for resource-based and storage electricity generation facilities in calculating the amount of energy imbalance and deviation from the finalized daily generation/consumption program within the scope of this article."</w:t>
      </w:r>
    </w:p>
    <w:p w14:paraId="18BC8183" w14:textId="77777777" w:rsidR="004C0A79" w:rsidRPr="00731F8E" w:rsidRDefault="004C0A79" w:rsidP="004C0A79">
      <w:pPr>
        <w:pStyle w:val="GvdeMetni"/>
        <w:spacing w:before="38"/>
        <w:rPr>
          <w:rFonts w:cs="Times New Roman"/>
          <w:szCs w:val="22"/>
        </w:rPr>
      </w:pPr>
    </w:p>
    <w:p w14:paraId="12C14194" w14:textId="77777777" w:rsidR="004C0A79" w:rsidRPr="00731F8E" w:rsidRDefault="004C0A79" w:rsidP="00A86526">
      <w:pPr>
        <w:pStyle w:val="ListeParagraf"/>
        <w:widowControl w:val="0"/>
        <w:numPr>
          <w:ilvl w:val="1"/>
          <w:numId w:val="35"/>
        </w:numPr>
        <w:tabs>
          <w:tab w:val="left" w:pos="1575"/>
        </w:tabs>
        <w:autoSpaceDE w:val="0"/>
        <w:autoSpaceDN w:val="0"/>
        <w:spacing w:before="1" w:after="0"/>
        <w:ind w:right="133"/>
        <w:contextualSpacing w:val="0"/>
        <w:rPr>
          <w:rFonts w:ascii="Times New Roman" w:hAnsi="Times New Roman"/>
        </w:rPr>
      </w:pPr>
      <w:r w:rsidRPr="00731F8E">
        <w:rPr>
          <w:rFonts w:ascii="Times New Roman" w:hAnsi="Times New Roman"/>
        </w:rPr>
        <w:t>The phrases "units or" have been added after the phrases "electricity storage" in clause (d) of the first paragraph of Article 132/G.</w:t>
      </w:r>
    </w:p>
    <w:p w14:paraId="1AFD8D14" w14:textId="77777777" w:rsidR="004C0A79" w:rsidRPr="00731F8E" w:rsidRDefault="004C0A79" w:rsidP="004C0A79">
      <w:pPr>
        <w:pStyle w:val="GvdeMetni"/>
        <w:spacing w:before="40"/>
        <w:rPr>
          <w:rFonts w:cs="Times New Roman"/>
          <w:i/>
          <w:szCs w:val="22"/>
        </w:rPr>
      </w:pPr>
    </w:p>
    <w:p w14:paraId="0C1A0898" w14:textId="39ABC67F" w:rsidR="004C0A79" w:rsidRDefault="004C0A79" w:rsidP="00A86526">
      <w:pPr>
        <w:pStyle w:val="ListeParagraf"/>
        <w:widowControl w:val="0"/>
        <w:numPr>
          <w:ilvl w:val="0"/>
          <w:numId w:val="35"/>
        </w:numPr>
        <w:tabs>
          <w:tab w:val="left" w:pos="855"/>
        </w:tabs>
        <w:autoSpaceDE w:val="0"/>
        <w:autoSpaceDN w:val="0"/>
        <w:spacing w:before="37" w:after="0"/>
        <w:ind w:left="1575" w:right="134" w:hanging="360"/>
        <w:contextualSpacing w:val="0"/>
        <w:rPr>
          <w:rFonts w:ascii="Times New Roman" w:hAnsi="Times New Roman"/>
        </w:rPr>
      </w:pPr>
      <w:r w:rsidRPr="00731F8E">
        <w:rPr>
          <w:rFonts w:ascii="Times New Roman" w:hAnsi="Times New Roman"/>
        </w:rPr>
        <w:t>With the Amendment Regulation published in the Official Gazette dated 19.11.2022 and numbered 32018, clause (ııı) of the first paragraph of Article 4 of the Electricity Market License Regulation has been amended as follows and the following clauses have been added to the same paragraph.</w:t>
      </w:r>
    </w:p>
    <w:p w14:paraId="0DEAB634" w14:textId="77777777" w:rsidR="00E07233" w:rsidRPr="00731F8E" w:rsidRDefault="00E07233" w:rsidP="00E07233">
      <w:pPr>
        <w:pStyle w:val="ListeParagraf"/>
        <w:widowControl w:val="0"/>
        <w:tabs>
          <w:tab w:val="left" w:pos="855"/>
        </w:tabs>
        <w:autoSpaceDE w:val="0"/>
        <w:autoSpaceDN w:val="0"/>
        <w:spacing w:before="37" w:after="0"/>
        <w:ind w:left="1575" w:right="134"/>
        <w:contextualSpacing w:val="0"/>
        <w:rPr>
          <w:rFonts w:ascii="Times New Roman" w:hAnsi="Times New Roman"/>
        </w:rPr>
      </w:pPr>
    </w:p>
    <w:p w14:paraId="5DC857E7" w14:textId="77777777" w:rsidR="004C0A79" w:rsidRPr="00731F8E" w:rsidRDefault="004C0A79" w:rsidP="00E07233">
      <w:pPr>
        <w:pStyle w:val="ListeParagraf"/>
        <w:tabs>
          <w:tab w:val="left" w:pos="1560"/>
        </w:tabs>
        <w:spacing w:before="37"/>
        <w:ind w:left="1560" w:right="134"/>
        <w:rPr>
          <w:rFonts w:ascii="Times New Roman" w:hAnsi="Times New Roman"/>
        </w:rPr>
      </w:pPr>
      <w:r w:rsidRPr="00731F8E">
        <w:rPr>
          <w:rFonts w:ascii="Times New Roman" w:hAnsi="Times New Roman"/>
        </w:rPr>
        <w:t>“ııı) Generation facilities based on renewable energy sources: Hydroelectric generation facilities with wind, solar, geothermal, biomass, wave, current and tidal and channel type or reservoir area below fifteen square kilometers,”</w:t>
      </w:r>
    </w:p>
    <w:p w14:paraId="69E12AF5" w14:textId="77777777" w:rsidR="004C0A79" w:rsidRPr="00731F8E" w:rsidRDefault="004C0A79" w:rsidP="004C0A79">
      <w:pPr>
        <w:pStyle w:val="GvdeMetni"/>
        <w:spacing w:line="276" w:lineRule="auto"/>
        <w:ind w:left="1575" w:right="135"/>
        <w:rPr>
          <w:rFonts w:cs="Times New Roman"/>
          <w:szCs w:val="22"/>
        </w:rPr>
      </w:pPr>
      <w:r w:rsidRPr="00731F8E">
        <w:rPr>
          <w:rFonts w:cs="Times New Roman"/>
          <w:szCs w:val="22"/>
        </w:rPr>
        <w:t>“dddd) Storage electricity generation facility: The generation facility established within the scope of the tenth and eleventh paragraphs of Article 7 of the Law,”</w:t>
      </w:r>
    </w:p>
    <w:p w14:paraId="7E39E45F" w14:textId="77777777" w:rsidR="004C0A79" w:rsidRPr="00731F8E" w:rsidRDefault="004C0A79" w:rsidP="004C0A79">
      <w:pPr>
        <w:pStyle w:val="GvdeMetni"/>
        <w:spacing w:line="276" w:lineRule="auto"/>
        <w:ind w:left="1575" w:right="135"/>
        <w:rPr>
          <w:rFonts w:cs="Times New Roman"/>
          <w:szCs w:val="22"/>
        </w:rPr>
      </w:pPr>
      <w:r w:rsidRPr="00731F8E">
        <w:rPr>
          <w:rFonts w:cs="Times New Roman"/>
          <w:szCs w:val="22"/>
        </w:rPr>
        <w:t>eeee) Electricity storage capacity: The total amount of electrical energy that the electricity storage unit can store in megawatt-hours,</w:t>
      </w:r>
    </w:p>
    <w:p w14:paraId="0DFB1BE2"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ffff) Installed power of electricity storage unit: The maximum power in megawatts that the electricity storage unit can instantly give to the system,"</w:t>
      </w:r>
    </w:p>
    <w:p w14:paraId="75695AE1" w14:textId="77777777" w:rsidR="004C0A79" w:rsidRPr="00731F8E" w:rsidRDefault="004C0A79" w:rsidP="004C0A79">
      <w:pPr>
        <w:pStyle w:val="GvdeMetni"/>
        <w:spacing w:before="39"/>
        <w:rPr>
          <w:rFonts w:cs="Times New Roman"/>
          <w:szCs w:val="22"/>
        </w:rPr>
      </w:pPr>
    </w:p>
    <w:p w14:paraId="65D06944"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ind w:right="136"/>
        <w:rPr>
          <w:rFonts w:ascii="Times New Roman" w:hAnsi="Times New Roman" w:cs="Times New Roman"/>
          <w:szCs w:val="22"/>
        </w:rPr>
      </w:pPr>
      <w:r w:rsidRPr="00731F8E">
        <w:rPr>
          <w:rFonts w:ascii="Times New Roman" w:hAnsi="Times New Roman" w:cs="Times New Roman"/>
          <w:szCs w:val="22"/>
        </w:rPr>
        <w:t>The first paragraph of Article 5 has been amended as follows and the following paragraph has been added to the third paragraph of the same article.</w:t>
      </w:r>
    </w:p>
    <w:p w14:paraId="0763358A" w14:textId="77777777" w:rsidR="004C0A79" w:rsidRPr="00731F8E" w:rsidRDefault="004C0A79" w:rsidP="004C0A79">
      <w:pPr>
        <w:pStyle w:val="GvdeMetni"/>
        <w:spacing w:before="40"/>
        <w:rPr>
          <w:rFonts w:cs="Times New Roman"/>
          <w:i/>
          <w:szCs w:val="22"/>
        </w:rPr>
      </w:pPr>
    </w:p>
    <w:p w14:paraId="0409AED3"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“(1) Before starting its activities, the legal entity that wants to operate in the market; except for the exceptions within the scope of this Regulation, must obtain a separate license for each activity and if the activities in question will be carried out in more than one facility, for each facility. Depending on the connection point and the physical condition of the facility, the Board may evaluate the units subject to more than one project within the scope of a single preliminary license or license. The electricity storage unit within the storage electricity generation facility, the electricity storage unit integrated into the generation facility and the auxiliary source unit used in multi-source electricity generation facilities are considered as the unit of the facility based on the main source and the facility is evaluated within the scope of a single preliminary license or license."</w:t>
      </w:r>
    </w:p>
    <w:p w14:paraId="02849745" w14:textId="77777777" w:rsidR="004C0A79" w:rsidRPr="00731F8E" w:rsidRDefault="004C0A79" w:rsidP="004C0A79">
      <w:pPr>
        <w:pStyle w:val="GvdeMetni"/>
        <w:spacing w:before="40"/>
        <w:rPr>
          <w:rFonts w:cs="Times New Roman"/>
          <w:szCs w:val="22"/>
        </w:rPr>
      </w:pPr>
    </w:p>
    <w:p w14:paraId="33ABD18A"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"d) Upon the finalization of the sale of the generation facility as a result of the execution proceeding, if the legal entity who purchased the generation facility subject to the sale applies and fulfills its obligations within the scope of the application, a new license is granted to this legal entity in the nature of continuation of the old one and the said license enters into force upon the completion of the transfer transactions and the expiration of the old license."</w:t>
      </w:r>
    </w:p>
    <w:p w14:paraId="619259B3" w14:textId="77777777" w:rsidR="004C0A79" w:rsidRPr="00731F8E" w:rsidRDefault="004C0A79" w:rsidP="004C0A79">
      <w:pPr>
        <w:pStyle w:val="GvdeMetni"/>
        <w:spacing w:before="40"/>
        <w:rPr>
          <w:rFonts w:cs="Times New Roman"/>
          <w:szCs w:val="22"/>
        </w:rPr>
      </w:pPr>
    </w:p>
    <w:p w14:paraId="46880C35"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ind w:right="134"/>
        <w:rPr>
          <w:rFonts w:ascii="Times New Roman" w:hAnsi="Times New Roman" w:cs="Times New Roman"/>
          <w:szCs w:val="22"/>
        </w:rPr>
      </w:pPr>
      <w:r w:rsidRPr="00731F8E">
        <w:rPr>
          <w:rFonts w:ascii="Times New Roman" w:hAnsi="Times New Roman" w:cs="Times New Roman"/>
          <w:szCs w:val="22"/>
        </w:rPr>
        <w:t>The seventh paragraph of Article 10 has been amended as follows and the following paragraph has been added to the same article.</w:t>
      </w:r>
    </w:p>
    <w:p w14:paraId="6C492179" w14:textId="77777777" w:rsidR="004C0A79" w:rsidRPr="00731F8E" w:rsidRDefault="004C0A79" w:rsidP="004C0A79">
      <w:pPr>
        <w:pStyle w:val="GvdeMetni"/>
        <w:spacing w:before="40"/>
        <w:rPr>
          <w:rFonts w:cs="Times New Roman"/>
          <w:i/>
          <w:szCs w:val="22"/>
        </w:rPr>
      </w:pPr>
    </w:p>
    <w:p w14:paraId="4C95FF17"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"(7) Provisions regarding the independent electricity storage facility or facilities, if any; the electricity storage unit integrated with the generation facility, if any, in the preliminary license or generation license, and the electricity storage unit in the storage electricity generation facility shall also be included in the supply license."</w:t>
      </w:r>
    </w:p>
    <w:p w14:paraId="3167F0FE"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"(8) In the event that there are foreign partners among the indirect shareholders of the license holding legal entities whose tariffs are subject to regulation, how the said partners will be included in the license shall be determined by the decision of the Board."</w:t>
      </w:r>
    </w:p>
    <w:p w14:paraId="7B951FBB" w14:textId="77777777" w:rsidR="004C0A79" w:rsidRPr="00731F8E" w:rsidRDefault="004C0A79" w:rsidP="004C0A79">
      <w:pPr>
        <w:pStyle w:val="GvdeMetni"/>
        <w:spacing w:before="41"/>
        <w:rPr>
          <w:rFonts w:cs="Times New Roman"/>
          <w:szCs w:val="22"/>
        </w:rPr>
      </w:pPr>
    </w:p>
    <w:p w14:paraId="22EF3282" w14:textId="77777777" w:rsidR="004C0A79" w:rsidRPr="00731F8E" w:rsidRDefault="004C0A79" w:rsidP="00A86526">
      <w:pPr>
        <w:pStyle w:val="ListeParagraf"/>
        <w:widowControl w:val="0"/>
        <w:numPr>
          <w:ilvl w:val="1"/>
          <w:numId w:val="35"/>
        </w:numPr>
        <w:tabs>
          <w:tab w:val="left" w:pos="1575"/>
        </w:tabs>
        <w:autoSpaceDE w:val="0"/>
        <w:autoSpaceDN w:val="0"/>
        <w:spacing w:after="0"/>
        <w:ind w:right="134"/>
        <w:contextualSpacing w:val="0"/>
        <w:rPr>
          <w:rFonts w:ascii="Times New Roman" w:hAnsi="Times New Roman"/>
        </w:rPr>
      </w:pPr>
      <w:r w:rsidRPr="00731F8E">
        <w:rPr>
          <w:rFonts w:ascii="Times New Roman" w:hAnsi="Times New Roman"/>
        </w:rPr>
        <w:t xml:space="preserve">The following clause has been added to the fifth paragraph of Article 12, the phrase </w:t>
      </w:r>
      <w:r w:rsidRPr="00731F8E">
        <w:rPr>
          <w:rFonts w:ascii="Times New Roman" w:hAnsi="Times New Roman"/>
          <w:i/>
        </w:rPr>
        <w:t xml:space="preserve">"Applications to be made within the scope of storage electricity generation facility" </w:t>
      </w:r>
      <w:r w:rsidRPr="00731F8E">
        <w:rPr>
          <w:rFonts w:ascii="Times New Roman" w:hAnsi="Times New Roman"/>
        </w:rPr>
        <w:t xml:space="preserve">has been added to come after the phrase </w:t>
      </w:r>
      <w:r w:rsidRPr="00731F8E">
        <w:rPr>
          <w:rFonts w:ascii="Times New Roman" w:hAnsi="Times New Roman"/>
          <w:i/>
        </w:rPr>
        <w:t xml:space="preserve">"Applications to be made for YEKA" </w:t>
      </w:r>
      <w:r w:rsidRPr="00731F8E">
        <w:rPr>
          <w:rFonts w:ascii="Times New Roman" w:hAnsi="Times New Roman"/>
        </w:rPr>
        <w:t>in the seventh paragraph, the eleventh paragraph has been amended as follows, and the following paragraphs have been added to the same article.</w:t>
      </w:r>
    </w:p>
    <w:p w14:paraId="4D717C84" w14:textId="77777777" w:rsidR="004C0A79" w:rsidRPr="00731F8E" w:rsidRDefault="004C0A79" w:rsidP="004C0A79">
      <w:pPr>
        <w:pStyle w:val="GvdeMetni"/>
        <w:spacing w:before="37"/>
        <w:ind w:left="1576"/>
        <w:rPr>
          <w:rFonts w:cs="Times New Roman"/>
          <w:szCs w:val="22"/>
        </w:rPr>
      </w:pPr>
      <w:r w:rsidRPr="00731F8E">
        <w:rPr>
          <w:rFonts w:cs="Times New Roman"/>
          <w:szCs w:val="22"/>
        </w:rPr>
        <w:t>“f) In pre-license applications within the scope of storage electricity generation facility, in determining the obligations under clauses (a) and (b) of this paragraph, the mechanical installed power based on wind or solar energy and the costs corresponding to the capacity of the electricity storage unit are collected and evaluated together.”</w:t>
      </w:r>
    </w:p>
    <w:p w14:paraId="15C2C53F" w14:textId="77777777" w:rsidR="004C0A79" w:rsidRPr="00731F8E" w:rsidRDefault="004C0A79" w:rsidP="004C0A79">
      <w:pPr>
        <w:pStyle w:val="GvdeMetni"/>
        <w:spacing w:before="37"/>
        <w:ind w:left="1576"/>
        <w:rPr>
          <w:rFonts w:cs="Times New Roman"/>
          <w:szCs w:val="22"/>
        </w:rPr>
      </w:pPr>
    </w:p>
    <w:p w14:paraId="6C15CDF0"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"(11) Except for the applications to be made for YEKA and the applications to be made within the scope of the storage electricity generation facility, the obligations required in clause (ç) of the fifth paragraph in terms of preliminary license applications based on wind and solar energy and the obligations regarding the submission of the information and documents determined by the decision of the Board to the Authority shall be fulfilled within the ninety-day period to be recognized after the legal entity in question accepts and undertakes the connection opinion in accordance with clause (c) of the second paragraph of Article 15."</w:t>
      </w:r>
    </w:p>
    <w:p w14:paraId="1B8A580A" w14:textId="77777777" w:rsidR="004C0A79" w:rsidRPr="00731F8E" w:rsidRDefault="004C0A79" w:rsidP="004C0A79">
      <w:pPr>
        <w:pStyle w:val="GvdeMetni"/>
        <w:spacing w:line="276" w:lineRule="auto"/>
        <w:ind w:left="1576" w:right="135"/>
        <w:rPr>
          <w:rFonts w:cs="Times New Roman"/>
          <w:szCs w:val="22"/>
        </w:rPr>
      </w:pPr>
      <w:r w:rsidRPr="00731F8E">
        <w:rPr>
          <w:rFonts w:cs="Times New Roman"/>
          <w:szCs w:val="22"/>
        </w:rPr>
        <w:t>"(14) If a preliminary license application is made within the scope of the storage electricity generation facility, in addition to the provisions specified in this article;</w:t>
      </w:r>
    </w:p>
    <w:p w14:paraId="2560482F" w14:textId="77777777" w:rsidR="004C0A79" w:rsidRPr="00731F8E" w:rsidRDefault="004C0A79" w:rsidP="00A86526">
      <w:pPr>
        <w:pStyle w:val="P68B1DB1-ListParagraph3"/>
        <w:numPr>
          <w:ilvl w:val="2"/>
          <w:numId w:val="35"/>
        </w:numPr>
        <w:tabs>
          <w:tab w:val="left" w:pos="1859"/>
        </w:tabs>
        <w:spacing w:line="276" w:lineRule="auto"/>
        <w:ind w:left="1575" w:right="132" w:firstLine="0"/>
        <w:rPr>
          <w:rFonts w:ascii="Times New Roman" w:hAnsi="Times New Roman" w:cs="Times New Roman"/>
          <w:szCs w:val="22"/>
        </w:rPr>
      </w:pPr>
      <w:r w:rsidRPr="00731F8E">
        <w:rPr>
          <w:rFonts w:ascii="Times New Roman" w:hAnsi="Times New Roman" w:cs="Times New Roman"/>
          <w:szCs w:val="22"/>
        </w:rPr>
        <w:t>It is obligatory that, a)The ratio of the electrical installed power of the electricity generation facility based on wind or solar energy to the installed power of the electricity storage unit committed to be established is a maximum of 1,</w:t>
      </w:r>
    </w:p>
    <w:p w14:paraId="79BDF0A9" w14:textId="77777777" w:rsidR="004C0A79" w:rsidRPr="00731F8E" w:rsidRDefault="004C0A79" w:rsidP="00A86526">
      <w:pPr>
        <w:pStyle w:val="P68B1DB1-ListParagraph3"/>
        <w:numPr>
          <w:ilvl w:val="2"/>
          <w:numId w:val="35"/>
        </w:numPr>
        <w:tabs>
          <w:tab w:val="left" w:pos="1868"/>
        </w:tabs>
        <w:spacing w:line="276" w:lineRule="auto"/>
        <w:ind w:left="1575" w:right="133" w:firstLine="0"/>
        <w:rPr>
          <w:rFonts w:ascii="Times New Roman" w:hAnsi="Times New Roman" w:cs="Times New Roman"/>
          <w:szCs w:val="22"/>
        </w:rPr>
      </w:pPr>
      <w:r w:rsidRPr="00731F8E">
        <w:rPr>
          <w:rFonts w:ascii="Times New Roman" w:hAnsi="Times New Roman" w:cs="Times New Roman"/>
          <w:szCs w:val="22"/>
        </w:rPr>
        <w:t>b) Applications must have a minimum installed power of 20 MWe for wind energy-based applications, a minimum of 10 MWe for solar energy-based applications and not exceed 250 MWe,</w:t>
      </w:r>
    </w:p>
    <w:p w14:paraId="06C68F70" w14:textId="77777777" w:rsidR="004C0A79" w:rsidRPr="00731F8E" w:rsidRDefault="004C0A79" w:rsidP="00A86526">
      <w:pPr>
        <w:pStyle w:val="P68B1DB1-ListParagraph3"/>
        <w:numPr>
          <w:ilvl w:val="2"/>
          <w:numId w:val="35"/>
        </w:numPr>
        <w:tabs>
          <w:tab w:val="left" w:pos="1773"/>
        </w:tabs>
        <w:spacing w:line="276" w:lineRule="auto"/>
        <w:ind w:left="1575" w:right="135" w:firstLine="0"/>
        <w:rPr>
          <w:rFonts w:ascii="Times New Roman" w:hAnsi="Times New Roman" w:cs="Times New Roman"/>
          <w:szCs w:val="22"/>
        </w:rPr>
      </w:pPr>
      <w:r w:rsidRPr="00731F8E">
        <w:rPr>
          <w:rFonts w:ascii="Times New Roman" w:hAnsi="Times New Roman" w:cs="Times New Roman"/>
          <w:szCs w:val="22"/>
        </w:rPr>
        <w:t>c) The ratio of the committed electricity storage capacity to the installed power of the electricity storage unit in question must be at least 1,</w:t>
      </w:r>
    </w:p>
    <w:p w14:paraId="0A7981E6" w14:textId="77777777" w:rsidR="004C0A79" w:rsidRPr="00731F8E" w:rsidRDefault="004C0A79" w:rsidP="004C0A79">
      <w:pPr>
        <w:pStyle w:val="GvdeMetni"/>
        <w:spacing w:line="273" w:lineRule="auto"/>
        <w:ind w:left="1575"/>
        <w:rPr>
          <w:rFonts w:cs="Times New Roman"/>
          <w:szCs w:val="22"/>
        </w:rPr>
      </w:pPr>
      <w:r w:rsidRPr="00731F8E">
        <w:rPr>
          <w:rFonts w:cs="Times New Roman"/>
          <w:szCs w:val="22"/>
        </w:rPr>
        <w:t>ç) The committed electricity storage unit must be within the borders of the power plant area subject to the application,</w:t>
      </w:r>
    </w:p>
    <w:p w14:paraId="72790F98" w14:textId="77777777" w:rsidR="004C0A79" w:rsidRPr="00731F8E" w:rsidRDefault="004C0A79" w:rsidP="004C0A79">
      <w:pPr>
        <w:pStyle w:val="GvdeMetni"/>
        <w:spacing w:before="41" w:line="273" w:lineRule="auto"/>
        <w:ind w:left="1575" w:right="60"/>
        <w:rPr>
          <w:rFonts w:cs="Times New Roman"/>
          <w:szCs w:val="22"/>
        </w:rPr>
      </w:pPr>
      <w:r w:rsidRPr="00731F8E">
        <w:rPr>
          <w:rFonts w:cs="Times New Roman"/>
          <w:szCs w:val="22"/>
        </w:rPr>
        <w:t xml:space="preserve"> (15) The mechanical installed power requested in preliminary license applications cannot exceed twice the electrical installed power. "</w:t>
      </w:r>
    </w:p>
    <w:p w14:paraId="29583F85" w14:textId="77777777" w:rsidR="004C0A79" w:rsidRPr="00731F8E" w:rsidRDefault="004C0A79" w:rsidP="004C0A79">
      <w:pPr>
        <w:pStyle w:val="GvdeMetni"/>
        <w:spacing w:before="45"/>
        <w:rPr>
          <w:rFonts w:cs="Times New Roman"/>
          <w:szCs w:val="22"/>
        </w:rPr>
      </w:pPr>
    </w:p>
    <w:p w14:paraId="39898A30"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jc w:val="left"/>
        <w:rPr>
          <w:rFonts w:ascii="Times New Roman" w:hAnsi="Times New Roman" w:cs="Times New Roman"/>
          <w:szCs w:val="22"/>
        </w:rPr>
      </w:pPr>
      <w:r w:rsidRPr="00731F8E">
        <w:rPr>
          <w:rFonts w:ascii="Times New Roman" w:hAnsi="Times New Roman" w:cs="Times New Roman"/>
          <w:szCs w:val="22"/>
        </w:rPr>
        <w:t>The following sentence has been added to the third paragraph of Article 13.</w:t>
      </w:r>
    </w:p>
    <w:p w14:paraId="6C87281B" w14:textId="77777777" w:rsidR="004C0A79" w:rsidRPr="00731F8E" w:rsidRDefault="004C0A79" w:rsidP="004C0A79">
      <w:pPr>
        <w:pStyle w:val="GvdeMetni"/>
        <w:spacing w:before="80"/>
        <w:rPr>
          <w:rFonts w:cs="Times New Roman"/>
          <w:i/>
          <w:szCs w:val="22"/>
        </w:rPr>
      </w:pPr>
    </w:p>
    <w:p w14:paraId="181A7764" w14:textId="77777777" w:rsidR="004C0A79" w:rsidRPr="00731F8E" w:rsidRDefault="004C0A79" w:rsidP="004C0A79">
      <w:pPr>
        <w:pStyle w:val="GvdeMetni"/>
        <w:spacing w:line="276" w:lineRule="auto"/>
        <w:ind w:left="1575"/>
        <w:rPr>
          <w:rFonts w:cs="Times New Roman"/>
          <w:szCs w:val="22"/>
        </w:rPr>
      </w:pPr>
      <w:r w:rsidRPr="00731F8E">
        <w:rPr>
          <w:rFonts w:cs="Times New Roman"/>
          <w:szCs w:val="22"/>
        </w:rPr>
        <w:t>"An announcement shall be made for storage electricity generation facilities in accordance with the procedure specified in the ninth paragraph of Article 15."</w:t>
      </w:r>
    </w:p>
    <w:p w14:paraId="4A62FA3D" w14:textId="77777777" w:rsidR="004C0A79" w:rsidRPr="00731F8E" w:rsidRDefault="004C0A79" w:rsidP="004C0A79">
      <w:pPr>
        <w:pStyle w:val="GvdeMetni"/>
        <w:spacing w:before="40"/>
        <w:rPr>
          <w:rFonts w:cs="Times New Roman"/>
          <w:szCs w:val="22"/>
        </w:rPr>
      </w:pPr>
    </w:p>
    <w:p w14:paraId="5226D7DE" w14:textId="77777777" w:rsidR="004C0A79" w:rsidRPr="00731F8E" w:rsidRDefault="004C0A79" w:rsidP="00A86526">
      <w:pPr>
        <w:pStyle w:val="ListeParagraf"/>
        <w:widowControl w:val="0"/>
        <w:numPr>
          <w:ilvl w:val="1"/>
          <w:numId w:val="35"/>
        </w:numPr>
        <w:tabs>
          <w:tab w:val="left" w:pos="1575"/>
        </w:tabs>
        <w:autoSpaceDE w:val="0"/>
        <w:autoSpaceDN w:val="0"/>
        <w:spacing w:after="0"/>
        <w:ind w:right="135"/>
        <w:contextualSpacing w:val="0"/>
        <w:rPr>
          <w:rFonts w:ascii="Times New Roman" w:hAnsi="Times New Roman"/>
        </w:rPr>
      </w:pPr>
      <w:r w:rsidRPr="00731F8E">
        <w:rPr>
          <w:rFonts w:ascii="Times New Roman" w:hAnsi="Times New Roman"/>
        </w:rPr>
        <w:t xml:space="preserve">The phrase </w:t>
      </w:r>
      <w:r w:rsidRPr="00731F8E">
        <w:rPr>
          <w:rFonts w:ascii="Times New Roman" w:hAnsi="Times New Roman"/>
          <w:i/>
        </w:rPr>
        <w:t xml:space="preserve">"Based on wind or solar energy" in the third paragraph of Article 15 has been changed to "Based on </w:t>
      </w:r>
      <w:r w:rsidRPr="00731F8E">
        <w:rPr>
          <w:rFonts w:ascii="Times New Roman" w:hAnsi="Times New Roman"/>
        </w:rPr>
        <w:t>wind</w:t>
      </w:r>
      <w:r w:rsidRPr="00731F8E">
        <w:rPr>
          <w:rFonts w:ascii="Times New Roman" w:hAnsi="Times New Roman"/>
          <w:i/>
        </w:rPr>
        <w:t xml:space="preserve"> or solar energy except for applications within the scope of storage electricity generation facility"</w:t>
      </w:r>
      <w:r w:rsidRPr="00731F8E">
        <w:rPr>
          <w:rFonts w:ascii="Times New Roman" w:hAnsi="Times New Roman"/>
        </w:rPr>
        <w:t>, the eighth paragraph has been changed as follows and the following paragraph has been added to the same article.</w:t>
      </w:r>
    </w:p>
    <w:p w14:paraId="37343418" w14:textId="77777777" w:rsidR="004C0A79" w:rsidRPr="00731F8E" w:rsidRDefault="004C0A79" w:rsidP="004C0A79">
      <w:pPr>
        <w:pStyle w:val="GvdeMetni"/>
        <w:spacing w:before="41"/>
        <w:rPr>
          <w:rFonts w:cs="Times New Roman"/>
          <w:i/>
          <w:szCs w:val="22"/>
        </w:rPr>
      </w:pPr>
    </w:p>
    <w:p w14:paraId="68BF4B64" w14:textId="77777777" w:rsidR="004C0A79" w:rsidRPr="00731F8E" w:rsidRDefault="004C0A79" w:rsidP="004C0A79">
      <w:pPr>
        <w:pStyle w:val="GvdeMetni"/>
        <w:spacing w:line="276" w:lineRule="auto"/>
        <w:ind w:left="1575" w:right="130"/>
        <w:rPr>
          <w:rFonts w:cs="Times New Roman"/>
          <w:szCs w:val="22"/>
        </w:rPr>
      </w:pPr>
      <w:r w:rsidRPr="00731F8E">
        <w:rPr>
          <w:rFonts w:cs="Times New Roman"/>
          <w:szCs w:val="22"/>
        </w:rPr>
        <w:t>"(8) In the electricity generation facility planned to be established within the scope of the preliminary license application, if an electricity storage unit integrated into the generation facility is also desired, TEİAŞ shall be asked for its opinion on the compliance of the electricity storage unit with the necessary technical criteria."</w:t>
      </w:r>
    </w:p>
    <w:p w14:paraId="0DBC30E5"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“(9) Preliminary license applications for the storage electricity generation facility shall be evaluated according to the following procedure:</w:t>
      </w:r>
    </w:p>
    <w:p w14:paraId="07AC7472" w14:textId="77777777" w:rsidR="004C0A79" w:rsidRPr="00731F8E" w:rsidRDefault="004C0A79" w:rsidP="00A86526">
      <w:pPr>
        <w:pStyle w:val="P68B1DB1-ListParagraph3"/>
        <w:numPr>
          <w:ilvl w:val="2"/>
          <w:numId w:val="35"/>
        </w:numPr>
        <w:tabs>
          <w:tab w:val="left" w:pos="1800"/>
        </w:tabs>
        <w:spacing w:before="37" w:line="276" w:lineRule="auto"/>
        <w:ind w:left="1575" w:right="132" w:firstLine="0"/>
        <w:rPr>
          <w:rFonts w:ascii="Times New Roman" w:hAnsi="Times New Roman" w:cs="Times New Roman"/>
          <w:szCs w:val="22"/>
        </w:rPr>
      </w:pPr>
      <w:r w:rsidRPr="00731F8E">
        <w:rPr>
          <w:rFonts w:ascii="Times New Roman" w:hAnsi="Times New Roman" w:cs="Times New Roman"/>
          <w:szCs w:val="22"/>
        </w:rPr>
        <w:t xml:space="preserve">Applications are evaluated within the scope of the provisions of Article 13. The applications taken into consideration shall be sent to TEİAŞ for forming the opinions of the connection in the order of being taken into consideration. TEİAŞ gives a </w:t>
      </w:r>
      <w:r w:rsidRPr="00731F8E">
        <w:rPr>
          <w:rFonts w:ascii="Times New Roman" w:hAnsi="Times New Roman" w:cs="Times New Roman"/>
          <w:szCs w:val="22"/>
        </w:rPr>
        <w:lastRenderedPageBreak/>
        <w:t>connection opinion within the scope of Article 23 of the Law until it reaches the connection zone capacity in accordance with the order sent by the Authority. Among the applications listed, the first applicant legal entity that exceeds the connection zone capacity is requested to revise the project installed power for the remaining capacity. If the capacity calculated as a result of the evaluations within the scope of this paragraph is below the minimum limits specified in the fourteenth paragraph of Article 12, TEİAŞ shall give a negative opinion. For the connection opinions given by TEİAŞ, clause (c) of the second paragraph shall apply.</w:t>
      </w:r>
    </w:p>
    <w:p w14:paraId="7DFBF62D" w14:textId="77777777" w:rsidR="004C0A79" w:rsidRPr="00731F8E" w:rsidRDefault="004C0A79" w:rsidP="00A86526">
      <w:pPr>
        <w:pStyle w:val="P68B1DB1-ListParagraph3"/>
        <w:numPr>
          <w:ilvl w:val="2"/>
          <w:numId w:val="35"/>
        </w:numPr>
        <w:tabs>
          <w:tab w:val="left" w:pos="1770"/>
        </w:tabs>
        <w:spacing w:before="1" w:line="276" w:lineRule="auto"/>
        <w:ind w:left="1575" w:right="130" w:firstLine="0"/>
        <w:rPr>
          <w:rFonts w:ascii="Times New Roman" w:hAnsi="Times New Roman" w:cs="Times New Roman"/>
          <w:szCs w:val="22"/>
        </w:rPr>
      </w:pPr>
      <w:r w:rsidRPr="00731F8E">
        <w:rPr>
          <w:rFonts w:ascii="Times New Roman" w:hAnsi="Times New Roman" w:cs="Times New Roman"/>
          <w:szCs w:val="22"/>
        </w:rPr>
        <w:t>Pre-license applications, which are given a positive connection opinion by TEİAŞ, are announced on the website of the Institution. The announced application may be objected to by third parties in writing within ten working days and only in terms of violation of personal rights. Preliminary license applications with a positive connection opinion are sent to the General Directorate of Energy Affairs in accordance with the order notified to TEİAŞ by the Authority for technical evaluation. The General Directorate of Energy Affairs shall complete the technical evaluation in accordance with the order notified by the Authority and notify the Authority. In the event that an intersection or overlap is detected in the power plant sites by the General Directorate of Energy Affairs, the Authority shall request the subsequent application or applications to revise the power plant sites. As a result of the evaluation made in this context, the application or applications whose field has changed are sent to the General Directorate of Energy Affairs for re-technical evaluation."</w:t>
      </w:r>
    </w:p>
    <w:p w14:paraId="46202877" w14:textId="77777777" w:rsidR="004C0A79" w:rsidRPr="00731F8E" w:rsidRDefault="004C0A79" w:rsidP="004C0A79">
      <w:pPr>
        <w:pStyle w:val="GvdeMetni"/>
        <w:spacing w:before="38"/>
        <w:rPr>
          <w:rFonts w:cs="Times New Roman"/>
          <w:szCs w:val="22"/>
        </w:rPr>
      </w:pPr>
    </w:p>
    <w:p w14:paraId="5ABD2A7B"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ind w:right="137"/>
        <w:jc w:val="left"/>
        <w:rPr>
          <w:rFonts w:ascii="Times New Roman" w:hAnsi="Times New Roman" w:cs="Times New Roman"/>
          <w:szCs w:val="22"/>
        </w:rPr>
      </w:pPr>
      <w:r w:rsidRPr="00731F8E">
        <w:rPr>
          <w:rFonts w:ascii="Times New Roman" w:hAnsi="Times New Roman" w:cs="Times New Roman"/>
          <w:szCs w:val="22"/>
        </w:rPr>
        <w:t>Clauses (a), (ç) and (d) of the fourth paragraph of Article 16 have been amended as follows.</w:t>
      </w:r>
    </w:p>
    <w:p w14:paraId="261394F1" w14:textId="77777777" w:rsidR="004C0A79" w:rsidRPr="00731F8E" w:rsidRDefault="004C0A79" w:rsidP="004C0A79">
      <w:pPr>
        <w:pStyle w:val="GvdeMetni"/>
        <w:spacing w:before="40"/>
        <w:rPr>
          <w:rFonts w:cs="Times New Roman"/>
          <w:i/>
          <w:szCs w:val="22"/>
        </w:rPr>
      </w:pPr>
    </w:p>
    <w:p w14:paraId="58459660"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"a) Applications that are not given an appropriate connection opinion by TEİAŞ or the relevant distribution company and applications that do not accept the remaining capacity in the evaluation made within the scope of the ninth paragraph of Article 15."</w:t>
      </w:r>
    </w:p>
    <w:p w14:paraId="00A6BCE4" w14:textId="77777777" w:rsidR="004C0A79" w:rsidRPr="00731F8E" w:rsidRDefault="004C0A79" w:rsidP="004C0A79">
      <w:pPr>
        <w:pStyle w:val="GvdeMetni"/>
        <w:spacing w:before="2" w:line="276" w:lineRule="auto"/>
        <w:ind w:left="1575" w:right="135"/>
        <w:rPr>
          <w:rFonts w:cs="Times New Roman"/>
          <w:szCs w:val="22"/>
        </w:rPr>
      </w:pPr>
      <w:r w:rsidRPr="00731F8E">
        <w:rPr>
          <w:rFonts w:cs="Times New Roman"/>
          <w:szCs w:val="22"/>
        </w:rPr>
        <w:t>“ç) Applications whose technical evaluation is not deemed appropriate by the General Directorate of Energy Affairs for facilities whose main source or auxiliary source is wind, solar, biomass or geothermal and storage electricity generation facilities.</w:t>
      </w:r>
    </w:p>
    <w:p w14:paraId="17A92C68" w14:textId="77777777" w:rsidR="004C0A79" w:rsidRPr="00731F8E" w:rsidRDefault="004C0A79" w:rsidP="00A86526">
      <w:pPr>
        <w:pStyle w:val="P68B1DB1-ListParagraph3"/>
        <w:numPr>
          <w:ilvl w:val="2"/>
          <w:numId w:val="35"/>
        </w:numPr>
        <w:tabs>
          <w:tab w:val="left" w:pos="1844"/>
        </w:tabs>
        <w:spacing w:line="276" w:lineRule="auto"/>
        <w:ind w:left="1575" w:right="132" w:firstLine="0"/>
        <w:rPr>
          <w:rFonts w:ascii="Times New Roman" w:hAnsi="Times New Roman" w:cs="Times New Roman"/>
          <w:szCs w:val="22"/>
        </w:rPr>
      </w:pPr>
      <w:r w:rsidRPr="00731F8E">
        <w:rPr>
          <w:rFonts w:ascii="Times New Roman" w:hAnsi="Times New Roman" w:cs="Times New Roman"/>
          <w:szCs w:val="22"/>
        </w:rPr>
        <w:t>Except for the applications to be made for YEKA and the applications to be made within the scope of the electricity generation facility with storage, the applications notified by the General Directorate of Energy Affairs that the metering station is not located in the power plant area where the preliminary license application is made according to the coordinates given in the information form regarding the generation facility."</w:t>
      </w:r>
    </w:p>
    <w:p w14:paraId="50194063" w14:textId="77777777" w:rsidR="004C0A79" w:rsidRPr="00731F8E" w:rsidRDefault="004C0A79" w:rsidP="004C0A79">
      <w:pPr>
        <w:pStyle w:val="GvdeMetni"/>
        <w:spacing w:before="39"/>
        <w:rPr>
          <w:rFonts w:cs="Times New Roman"/>
          <w:szCs w:val="22"/>
        </w:rPr>
      </w:pPr>
    </w:p>
    <w:p w14:paraId="73C7FA8E"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1"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fifth paragraph of Article 17 has been amended as follows.</w:t>
      </w:r>
    </w:p>
    <w:p w14:paraId="59E400FC" w14:textId="77777777" w:rsidR="004C0A79" w:rsidRPr="00731F8E" w:rsidRDefault="004C0A79" w:rsidP="004C0A79">
      <w:pPr>
        <w:pStyle w:val="GvdeMetni"/>
        <w:spacing w:before="79"/>
        <w:rPr>
          <w:rFonts w:cs="Times New Roman"/>
          <w:i/>
          <w:szCs w:val="22"/>
        </w:rPr>
      </w:pPr>
    </w:p>
    <w:p w14:paraId="1B06B6DD"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"(5) The preliminary license holder legal entities applying for the establishment of an integrated electricity storage unit in multiple-source electricity generation facilities and generation facilities and the preliminary license holder legal entities applying for the storage electricity generation facility shall fulfill their obligations in the first and second paragraphs. These obligations can be fulfilled separately or together on a resource basis. "</w:t>
      </w:r>
    </w:p>
    <w:p w14:paraId="6BA204AA"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77" w:after="0"/>
        <w:ind w:right="134"/>
        <w:rPr>
          <w:rFonts w:ascii="Times New Roman" w:hAnsi="Times New Roman" w:cs="Times New Roman"/>
          <w:szCs w:val="22"/>
        </w:rPr>
      </w:pPr>
      <w:r w:rsidRPr="00731F8E">
        <w:rPr>
          <w:rFonts w:ascii="Times New Roman" w:hAnsi="Times New Roman" w:cs="Times New Roman"/>
          <w:szCs w:val="22"/>
        </w:rPr>
        <w:t>Clause (c) of the sixth paragraph of Article 18 and clause (ç) of the twelfth paragraph are amended as follows.</w:t>
      </w:r>
    </w:p>
    <w:p w14:paraId="4199D96E" w14:textId="77777777" w:rsidR="004C0A79" w:rsidRPr="00731F8E" w:rsidRDefault="004C0A79" w:rsidP="004C0A79">
      <w:pPr>
        <w:pStyle w:val="GvdeMetni"/>
        <w:spacing w:before="39"/>
        <w:rPr>
          <w:rFonts w:cs="Times New Roman"/>
          <w:i/>
          <w:szCs w:val="22"/>
        </w:rPr>
      </w:pPr>
    </w:p>
    <w:p w14:paraId="46372B8D"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 xml:space="preserve">"c) Approval of the technical evaluation made by the General Directorate of Energy Affairs for preliminary licenses based on wind or solar energy and biomass or geothermal energy, giving </w:t>
      </w:r>
      <w:r w:rsidRPr="00731F8E">
        <w:rPr>
          <w:rFonts w:cs="Times New Roman"/>
          <w:szCs w:val="22"/>
        </w:rPr>
        <w:lastRenderedPageBreak/>
        <w:t>appropriate opinion by DSI for preliminary licenses based on hydroelectric resources,"</w:t>
      </w:r>
    </w:p>
    <w:p w14:paraId="4D8E8ADA" w14:textId="77777777" w:rsidR="004C0A79" w:rsidRPr="00731F8E" w:rsidRDefault="004C0A79" w:rsidP="004C0A79">
      <w:pPr>
        <w:pStyle w:val="GvdeMetni"/>
        <w:spacing w:line="276" w:lineRule="auto"/>
        <w:ind w:left="1575" w:right="134"/>
        <w:rPr>
          <w:rFonts w:cs="Times New Roman"/>
          <w:szCs w:val="22"/>
        </w:rPr>
      </w:pPr>
      <w:r w:rsidRPr="00731F8E">
        <w:rPr>
          <w:rFonts w:cs="Times New Roman"/>
          <w:szCs w:val="22"/>
        </w:rPr>
        <w:t>“ç) The technical evaluation made by the General Directorate of Energy Affairs regarding the auxiliary resources for preliminary licenses whose auxiliary resources are based on wind or solar energy and biomass or geothermal energy is appropriate,"</w:t>
      </w:r>
    </w:p>
    <w:p w14:paraId="7071A3BC" w14:textId="77777777" w:rsidR="004C0A79" w:rsidRPr="00731F8E" w:rsidRDefault="004C0A79" w:rsidP="004C0A79">
      <w:pPr>
        <w:pStyle w:val="GvdeMetni"/>
        <w:spacing w:before="41"/>
        <w:rPr>
          <w:rFonts w:cs="Times New Roman"/>
          <w:szCs w:val="22"/>
        </w:rPr>
      </w:pPr>
    </w:p>
    <w:p w14:paraId="52A35BA2"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following sentence has been added to the sixth paragraph of Article 20.</w:t>
      </w:r>
    </w:p>
    <w:p w14:paraId="5FFF24E6" w14:textId="77777777" w:rsidR="004C0A79" w:rsidRPr="00731F8E" w:rsidRDefault="004C0A79" w:rsidP="004C0A79">
      <w:pPr>
        <w:pStyle w:val="GvdeMetni"/>
        <w:spacing w:before="79"/>
        <w:rPr>
          <w:rFonts w:cs="Times New Roman"/>
          <w:i/>
          <w:szCs w:val="22"/>
        </w:rPr>
      </w:pPr>
    </w:p>
    <w:p w14:paraId="5A377D98"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"In license applications within the scope of the storage electricity generation facility, in determining the obligations within the scope of clauses (b) and (d) of this paragraph, the mechanical installed power based on wind or solar energy and the costs corresponding to the capacity of the electricity storage unit are collected and evaluated together."</w:t>
      </w:r>
    </w:p>
    <w:p w14:paraId="1DDA1B98" w14:textId="77777777" w:rsidR="004C0A79" w:rsidRPr="00731F8E" w:rsidRDefault="004C0A79" w:rsidP="004C0A79">
      <w:pPr>
        <w:pStyle w:val="GvdeMetni"/>
        <w:spacing w:before="42"/>
        <w:rPr>
          <w:rFonts w:cs="Times New Roman"/>
          <w:szCs w:val="22"/>
        </w:rPr>
      </w:pPr>
    </w:p>
    <w:p w14:paraId="536154DC"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ind w:right="131"/>
        <w:rPr>
          <w:rFonts w:ascii="Times New Roman" w:hAnsi="Times New Roman" w:cs="Times New Roman"/>
          <w:szCs w:val="22"/>
        </w:rPr>
      </w:pPr>
      <w:r w:rsidRPr="00731F8E">
        <w:rPr>
          <w:rFonts w:ascii="Times New Roman" w:hAnsi="Times New Roman" w:cs="Times New Roman"/>
          <w:szCs w:val="22"/>
        </w:rPr>
        <w:t>Clause (c) of the fifth paragraph of Article 24, the sixth paragraph has been amended as follows, the following sentence has been added to the nineteenth paragraph and the following paragraphs have been added to the same article.</w:t>
      </w:r>
    </w:p>
    <w:p w14:paraId="58015011" w14:textId="77777777" w:rsidR="004C0A79" w:rsidRPr="00E07233" w:rsidRDefault="004C0A79" w:rsidP="004C0A79">
      <w:pPr>
        <w:pStyle w:val="GvdeMetni"/>
        <w:spacing w:before="38"/>
        <w:rPr>
          <w:rFonts w:cs="Times New Roman"/>
          <w:i/>
          <w:sz w:val="22"/>
          <w:szCs w:val="22"/>
        </w:rPr>
      </w:pPr>
    </w:p>
    <w:p w14:paraId="45697557" w14:textId="77777777" w:rsidR="004C0A79" w:rsidRPr="00E07233" w:rsidRDefault="004C0A79" w:rsidP="004C0A79">
      <w:pPr>
        <w:pStyle w:val="GvdeMetni"/>
        <w:spacing w:line="276" w:lineRule="auto"/>
        <w:ind w:left="1575" w:right="134"/>
        <w:rPr>
          <w:rFonts w:cs="Times New Roman"/>
          <w:sz w:val="22"/>
          <w:szCs w:val="22"/>
        </w:rPr>
      </w:pPr>
      <w:r w:rsidRPr="00E07233">
        <w:rPr>
          <w:rFonts w:cs="Times New Roman"/>
          <w:sz w:val="22"/>
          <w:szCs w:val="22"/>
        </w:rPr>
        <w:t>"c) Obtaining an appropriate opinion from DSI for generation facilities based on hydraulic resources, and the technical evaluation made by the General Directorate of Energy Affairs for generation facilities based on wind or solar energy and biomass or geothermal energy is appropriate,"</w:t>
      </w:r>
    </w:p>
    <w:p w14:paraId="79C76A49" w14:textId="77777777" w:rsidR="004C0A79" w:rsidRPr="00E07233" w:rsidRDefault="004C0A79" w:rsidP="004C0A79">
      <w:pPr>
        <w:pStyle w:val="GvdeMetni"/>
        <w:ind w:left="1575"/>
        <w:rPr>
          <w:rFonts w:cs="Times New Roman"/>
          <w:sz w:val="22"/>
          <w:szCs w:val="22"/>
        </w:rPr>
      </w:pPr>
      <w:r w:rsidRPr="00E07233">
        <w:rPr>
          <w:rFonts w:cs="Times New Roman"/>
          <w:sz w:val="22"/>
          <w:szCs w:val="22"/>
        </w:rPr>
        <w:t xml:space="preserve">“(6) Within the scope of generation licenses based on renewable energy sources, </w:t>
      </w:r>
    </w:p>
    <w:p w14:paraId="724570FF" w14:textId="77777777" w:rsidR="004C0A79" w:rsidRPr="00E07233" w:rsidRDefault="004C0A79" w:rsidP="004C0A79">
      <w:pPr>
        <w:pStyle w:val="GvdeMetni"/>
        <w:ind w:left="1575"/>
        <w:rPr>
          <w:rFonts w:cs="Times New Roman"/>
          <w:sz w:val="22"/>
          <w:szCs w:val="22"/>
        </w:rPr>
      </w:pPr>
      <w:r w:rsidRPr="00E07233">
        <w:rPr>
          <w:rFonts w:cs="Times New Roman"/>
          <w:sz w:val="22"/>
          <w:szCs w:val="22"/>
        </w:rPr>
        <w:t>a) Not to go beyond the area specified in the license,</w:t>
      </w:r>
    </w:p>
    <w:p w14:paraId="6D0CD7DA" w14:textId="77777777" w:rsidR="004C0A79" w:rsidRPr="00E07233" w:rsidRDefault="004C0A79" w:rsidP="004C0A79">
      <w:pPr>
        <w:pStyle w:val="GvdeMetni"/>
        <w:ind w:left="1575"/>
        <w:rPr>
          <w:rFonts w:cs="Times New Roman"/>
          <w:sz w:val="22"/>
          <w:szCs w:val="22"/>
        </w:rPr>
      </w:pPr>
      <w:r w:rsidRPr="00E07233">
        <w:rPr>
          <w:rFonts w:cs="Times New Roman"/>
          <w:sz w:val="22"/>
          <w:szCs w:val="22"/>
        </w:rPr>
        <w:t xml:space="preserve">b) The power supplied to the system during operation does not exceed the installed power specified in the license, </w:t>
      </w:r>
    </w:p>
    <w:p w14:paraId="20C1B1B8" w14:textId="77777777" w:rsidR="004C0A79" w:rsidRPr="00E07233" w:rsidRDefault="004C0A79" w:rsidP="004C0A79">
      <w:pPr>
        <w:pStyle w:val="GvdeMetni"/>
        <w:ind w:left="1575"/>
        <w:rPr>
          <w:rFonts w:cs="Times New Roman"/>
          <w:sz w:val="22"/>
          <w:szCs w:val="22"/>
        </w:rPr>
      </w:pPr>
      <w:r w:rsidRPr="00E07233">
        <w:rPr>
          <w:rFonts w:cs="Times New Roman"/>
          <w:sz w:val="22"/>
          <w:szCs w:val="22"/>
        </w:rPr>
        <w:t>c) The technical evaluation made by the General Directorate of Energy Affairs is deemed appropriate for licenses based on wind or solar energy, biomass or geothermal energy, and the appropriate opinion is given by DSI for licenses based on hydroelectric resources, provided that mechanical capacity modification may be deemed appropriate.</w:t>
      </w:r>
    </w:p>
    <w:p w14:paraId="41CBAC7F" w14:textId="77777777" w:rsidR="004C0A79" w:rsidRPr="00E07233" w:rsidRDefault="004C0A79" w:rsidP="004C0A79">
      <w:pPr>
        <w:pStyle w:val="GvdeMetni"/>
        <w:spacing w:line="276" w:lineRule="auto"/>
        <w:ind w:left="1575" w:right="132"/>
        <w:rPr>
          <w:rFonts w:cs="Times New Roman"/>
          <w:sz w:val="22"/>
          <w:szCs w:val="22"/>
        </w:rPr>
      </w:pPr>
      <w:r w:rsidRPr="00E07233">
        <w:rPr>
          <w:rFonts w:cs="Times New Roman"/>
          <w:sz w:val="22"/>
          <w:szCs w:val="22"/>
        </w:rPr>
        <w:t>Mechanical capacity may be amended provided that the relevant obligations determined within the scope of clauses (a), (b), (c) and (ç) of the fourth paragraph are fulfilled within the period determined in the relevant transaction from the date of notification of the approval Board decision or main service unit transaction and the Technical Interaction Permit document for wind energy-based generation facilities is submitted to the Authority within one hundred and eighty days from the date of notification of the approval Board decision or main service unit transaction. If the said obligations are not fulfilled within the period, the application for amendment shall be deemed rejected. Mechanical capacity increases within the scope of this paragraph shall not be considered as electrical installed power increase. The total amount of mechanical power to be added within the scope of the mechanical capacity increase cannot be more than the amount of electrical installed power included in the license, including those in the enterprise."</w:t>
      </w:r>
    </w:p>
    <w:p w14:paraId="3DA55702" w14:textId="77777777" w:rsidR="004C0A79" w:rsidRPr="00E07233" w:rsidRDefault="004C0A79" w:rsidP="004C0A79">
      <w:pPr>
        <w:pStyle w:val="GvdeMetni"/>
        <w:spacing w:before="37" w:line="276" w:lineRule="auto"/>
        <w:ind w:left="1576" w:right="138"/>
        <w:rPr>
          <w:rFonts w:cs="Times New Roman"/>
          <w:sz w:val="22"/>
          <w:szCs w:val="22"/>
        </w:rPr>
      </w:pPr>
      <w:r w:rsidRPr="00E07233">
        <w:rPr>
          <w:rFonts w:cs="Times New Roman"/>
          <w:sz w:val="22"/>
          <w:szCs w:val="22"/>
        </w:rPr>
        <w:t>"A separate license amendment application is made for each individual electricity storage facility to be added to the supply licenses."</w:t>
      </w:r>
    </w:p>
    <w:p w14:paraId="0B07BD86" w14:textId="77777777" w:rsidR="004C0A79" w:rsidRPr="00E07233" w:rsidRDefault="004C0A79" w:rsidP="004C0A79">
      <w:pPr>
        <w:pStyle w:val="GvdeMetni"/>
        <w:spacing w:line="276" w:lineRule="auto"/>
        <w:ind w:left="1575" w:right="131"/>
        <w:rPr>
          <w:rFonts w:cs="Times New Roman"/>
          <w:sz w:val="22"/>
          <w:szCs w:val="22"/>
        </w:rPr>
      </w:pPr>
      <w:r w:rsidRPr="00E07233">
        <w:rPr>
          <w:rFonts w:cs="Times New Roman"/>
          <w:sz w:val="22"/>
          <w:szCs w:val="22"/>
        </w:rPr>
        <w:t xml:space="preserve">"(21) Capacity increase up to the installed capacity of the electricity storage unit they have undertaken to establish is allowed to legal persons holding electricity generation licenses based on wind or solar energy, who undertake to install electricity storage units from generation facilities partially or completely in the enterprise, provided that the conditions specified in the fifth paragraph of this article are complied with. In this context, the amendment application must be made in accordance with the provision of the fourteenth paragraph of Article 12. Formation of connection opinions for such </w:t>
      </w:r>
      <w:r w:rsidRPr="00E07233">
        <w:rPr>
          <w:rFonts w:cs="Times New Roman"/>
          <w:sz w:val="22"/>
          <w:szCs w:val="22"/>
        </w:rPr>
        <w:lastRenderedPageBreak/>
        <w:t xml:space="preserve">amendment requests shall be carried out within the scope of clause (b) of the ninth paragraph of Article 15. </w:t>
      </w:r>
    </w:p>
    <w:p w14:paraId="42FE7055" w14:textId="77777777" w:rsidR="004C0A79" w:rsidRPr="00E07233" w:rsidRDefault="004C0A79" w:rsidP="004C0A79">
      <w:pPr>
        <w:pStyle w:val="GvdeMetni"/>
        <w:spacing w:line="276" w:lineRule="auto"/>
        <w:ind w:left="1575" w:right="133"/>
        <w:rPr>
          <w:rFonts w:cs="Times New Roman"/>
          <w:sz w:val="22"/>
          <w:szCs w:val="22"/>
        </w:rPr>
      </w:pPr>
      <w:r w:rsidRPr="00E07233">
        <w:rPr>
          <w:rFonts w:cs="Times New Roman"/>
          <w:sz w:val="22"/>
          <w:szCs w:val="22"/>
        </w:rPr>
        <w:t>In this context, the electricity storage unit and the units based on wind or solar energy added for the facilities requesting capacity increase are considered within the scope of the storage electricity generation facility.</w:t>
      </w:r>
    </w:p>
    <w:p w14:paraId="36283EA0" w14:textId="77777777" w:rsidR="004C0A79" w:rsidRPr="00E07233" w:rsidRDefault="004C0A79" w:rsidP="004C0A79">
      <w:pPr>
        <w:pStyle w:val="GvdeMetni"/>
        <w:spacing w:line="273" w:lineRule="auto"/>
        <w:ind w:left="1576" w:right="138"/>
        <w:rPr>
          <w:rFonts w:cs="Times New Roman"/>
          <w:sz w:val="22"/>
          <w:szCs w:val="22"/>
        </w:rPr>
      </w:pPr>
      <w:r w:rsidRPr="00E07233">
        <w:rPr>
          <w:rFonts w:cs="Times New Roman"/>
          <w:sz w:val="22"/>
          <w:szCs w:val="22"/>
        </w:rPr>
        <w:t>(22) The change of the title of the license holder legal entities whose tariffs are subject to regulation is subject to the approval of the Board."</w:t>
      </w:r>
    </w:p>
    <w:p w14:paraId="40F7607C" w14:textId="77777777" w:rsidR="004C0A79" w:rsidRPr="00731F8E" w:rsidRDefault="004C0A79" w:rsidP="004C0A79">
      <w:pPr>
        <w:pStyle w:val="GvdeMetni"/>
        <w:spacing w:before="45"/>
        <w:rPr>
          <w:rFonts w:cs="Times New Roman"/>
          <w:szCs w:val="22"/>
        </w:rPr>
      </w:pPr>
    </w:p>
    <w:p w14:paraId="6D3D3F26"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following paragraphs have been added to Article 27.</w:t>
      </w:r>
    </w:p>
    <w:p w14:paraId="61AC874B" w14:textId="77777777" w:rsidR="004C0A79" w:rsidRPr="00731F8E" w:rsidRDefault="004C0A79" w:rsidP="004C0A79">
      <w:pPr>
        <w:pStyle w:val="GvdeMetni"/>
        <w:spacing w:before="80"/>
        <w:rPr>
          <w:rFonts w:cs="Times New Roman"/>
          <w:i/>
          <w:szCs w:val="22"/>
        </w:rPr>
      </w:pPr>
    </w:p>
    <w:p w14:paraId="32CF3711" w14:textId="77777777" w:rsidR="004C0A79" w:rsidRPr="00E07233" w:rsidRDefault="004C0A79" w:rsidP="004C0A79">
      <w:pPr>
        <w:pStyle w:val="GvdeMetni"/>
        <w:spacing w:line="276" w:lineRule="auto"/>
        <w:ind w:left="1576" w:right="132"/>
        <w:rPr>
          <w:rFonts w:cs="Times New Roman"/>
          <w:sz w:val="22"/>
          <w:szCs w:val="22"/>
        </w:rPr>
      </w:pPr>
      <w:r w:rsidRPr="00E07233">
        <w:rPr>
          <w:rFonts w:cs="Times New Roman"/>
          <w:sz w:val="22"/>
          <w:szCs w:val="22"/>
        </w:rPr>
        <w:t>"(8) In settlement periods when the electricity storage units within the storage electricity generation facility are not in operation, the amount of supply of the said storage electricity generation facilities to the system shall not be taken into account in the settlement calculations in accordance with the relevant legislation.</w:t>
      </w:r>
    </w:p>
    <w:p w14:paraId="52805374" w14:textId="77777777" w:rsidR="004C0A79" w:rsidRPr="00E07233" w:rsidRDefault="004C0A79" w:rsidP="004C0A79">
      <w:pPr>
        <w:pStyle w:val="GvdeMetni"/>
        <w:spacing w:line="276" w:lineRule="auto"/>
        <w:ind w:left="1576" w:right="131"/>
        <w:rPr>
          <w:rFonts w:cs="Times New Roman"/>
          <w:sz w:val="22"/>
          <w:szCs w:val="22"/>
        </w:rPr>
      </w:pPr>
      <w:r w:rsidRPr="00E07233">
        <w:rPr>
          <w:rFonts w:cs="Times New Roman"/>
          <w:sz w:val="22"/>
          <w:szCs w:val="22"/>
        </w:rPr>
        <w:t>(9) Except for force majeure, if the electricity storage unit committed to be installed within the scope of the fourteenth paragraph of Article 12 is not put into operation within the period determined by the decision of the Board, the license shall be canceled. In the event that the electricity storage unit, which is committed to be installed within the scope of the twenty-first paragraph of Article 24, is not put into operation within the period determined by the decision of the Board, except for force majeure, the installed power allocated within this scope shall be canceled from the license and the guarantee submitted to the Authority within the scope of the amendment shall be recorded as revenue."</w:t>
      </w:r>
    </w:p>
    <w:p w14:paraId="200E5F89" w14:textId="77777777" w:rsidR="004C0A79" w:rsidRPr="00731F8E" w:rsidRDefault="004C0A79" w:rsidP="004C0A79">
      <w:pPr>
        <w:pStyle w:val="GvdeMetni"/>
        <w:spacing w:before="40"/>
        <w:rPr>
          <w:rFonts w:cs="Times New Roman"/>
          <w:szCs w:val="22"/>
        </w:rPr>
      </w:pPr>
    </w:p>
    <w:p w14:paraId="6273CECD" w14:textId="77777777" w:rsidR="004C0A79" w:rsidRPr="00731F8E" w:rsidRDefault="004C0A79" w:rsidP="00A86526">
      <w:pPr>
        <w:pStyle w:val="Balk2"/>
        <w:keepNext w:val="0"/>
        <w:keepLines w:val="0"/>
        <w:widowControl w:val="0"/>
        <w:numPr>
          <w:ilvl w:val="1"/>
          <w:numId w:val="35"/>
        </w:numPr>
        <w:tabs>
          <w:tab w:val="left" w:pos="1576"/>
        </w:tabs>
        <w:autoSpaceDE w:val="0"/>
        <w:autoSpaceDN w:val="0"/>
        <w:spacing w:before="1" w:after="0"/>
        <w:ind w:left="1576" w:right="136"/>
        <w:jc w:val="left"/>
        <w:rPr>
          <w:rFonts w:ascii="Times New Roman" w:hAnsi="Times New Roman" w:cs="Times New Roman"/>
          <w:szCs w:val="22"/>
        </w:rPr>
      </w:pPr>
      <w:r w:rsidRPr="00731F8E">
        <w:rPr>
          <w:rFonts w:ascii="Times New Roman" w:hAnsi="Times New Roman" w:cs="Times New Roman"/>
          <w:szCs w:val="22"/>
        </w:rPr>
        <w:t>The following clause has been added to the third paragraph of Article 29 and the following sentence has been added to the end of the same paragraph.</w:t>
      </w:r>
    </w:p>
    <w:p w14:paraId="0FD18BFB" w14:textId="77777777" w:rsidR="004C0A79" w:rsidRPr="00E07233" w:rsidRDefault="004C0A79" w:rsidP="004C0A79">
      <w:pPr>
        <w:pStyle w:val="GvdeMetni"/>
        <w:spacing w:before="251" w:line="276" w:lineRule="auto"/>
        <w:ind w:left="1575" w:right="134"/>
        <w:rPr>
          <w:rFonts w:cs="Times New Roman"/>
          <w:sz w:val="22"/>
          <w:szCs w:val="22"/>
        </w:rPr>
      </w:pPr>
      <w:r w:rsidRPr="00E07233">
        <w:rPr>
          <w:rFonts w:cs="Times New Roman"/>
          <w:sz w:val="22"/>
          <w:szCs w:val="22"/>
        </w:rPr>
        <w:t>"k) Except for the equipment supplied within the scope of maintenance-repair for the cogeneration and trigeneration facilities to be established within the scope of this Regulation and the units accepted; to use the main equipment such as turbines, generators, blades, panels, inverters, steam boilers, engines, batteries manufactured in accordance with the relevant legislation and standards and produced within the last five years in the electricity generation facility and the electricity storage facility or unit to be established within the scope of the Regulation on Storage Activities in the Electricity Market published in the Official Gazette dated 9/5/2021 and numbered 31479."</w:t>
      </w:r>
    </w:p>
    <w:p w14:paraId="74F3D92C" w14:textId="77777777" w:rsidR="004C0A79" w:rsidRPr="00E07233" w:rsidRDefault="004C0A79" w:rsidP="004C0A79">
      <w:pPr>
        <w:pStyle w:val="GvdeMetni"/>
        <w:spacing w:line="273" w:lineRule="auto"/>
        <w:ind w:left="1575" w:right="135"/>
        <w:rPr>
          <w:rFonts w:cs="Times New Roman"/>
          <w:sz w:val="22"/>
          <w:szCs w:val="22"/>
        </w:rPr>
      </w:pPr>
      <w:r w:rsidRPr="00E07233">
        <w:rPr>
          <w:rFonts w:cs="Times New Roman"/>
          <w:sz w:val="22"/>
          <w:szCs w:val="22"/>
        </w:rPr>
        <w:t>"Clause (k) of this paragraph shall not apply to license holders who will use domestically manufactured equipment."</w:t>
      </w:r>
    </w:p>
    <w:p w14:paraId="49DF67A4"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77" w:after="0"/>
        <w:ind w:right="133"/>
        <w:rPr>
          <w:rFonts w:ascii="Times New Roman" w:hAnsi="Times New Roman" w:cs="Times New Roman"/>
          <w:szCs w:val="22"/>
        </w:rPr>
      </w:pPr>
      <w:r w:rsidRPr="00731F8E">
        <w:rPr>
          <w:rFonts w:ascii="Times New Roman" w:hAnsi="Times New Roman" w:cs="Times New Roman"/>
          <w:szCs w:val="22"/>
        </w:rPr>
        <w:t>The phrase "one" in clause (ı) of the second paragraph of Article 30 has been changed to "two", the following clause has been added to the same paragraph, the third paragraph of the same article has been changed as follows and the following paragraph has been added to the same article.</w:t>
      </w:r>
    </w:p>
    <w:p w14:paraId="1A97E5C2" w14:textId="77777777" w:rsidR="004C0A79" w:rsidRPr="00E07233" w:rsidRDefault="004C0A79" w:rsidP="004C0A79">
      <w:pPr>
        <w:pStyle w:val="GvdeMetni"/>
        <w:spacing w:before="40"/>
        <w:rPr>
          <w:rFonts w:cs="Times New Roman"/>
          <w:i/>
          <w:sz w:val="22"/>
          <w:szCs w:val="22"/>
        </w:rPr>
      </w:pPr>
    </w:p>
    <w:p w14:paraId="5055FB86" w14:textId="77777777" w:rsidR="004C0A79" w:rsidRPr="00E07233" w:rsidRDefault="004C0A79" w:rsidP="004C0A79">
      <w:pPr>
        <w:pStyle w:val="GvdeMetni"/>
        <w:spacing w:line="276" w:lineRule="auto"/>
        <w:ind w:left="1575" w:right="130"/>
        <w:rPr>
          <w:rFonts w:cs="Times New Roman"/>
          <w:sz w:val="22"/>
          <w:szCs w:val="22"/>
        </w:rPr>
      </w:pPr>
      <w:r w:rsidRPr="00E07233">
        <w:rPr>
          <w:rFonts w:cs="Times New Roman"/>
          <w:sz w:val="22"/>
          <w:szCs w:val="22"/>
        </w:rPr>
        <w:t xml:space="preserve">"i) In accordance with the Regulation on the Collection and Presentation of Vertical Barrier Data published in the Official Gazette dated 9/7/2020 and numbered 31180, to determine the information regarding all kinds of facilities and structures that are vertical barriers within the scope of generation licenses through authorized scientists, to collect the tables in the annex of the said regulation within the specified periods, in the described quality, in full, accurate, timely and to send it to the General Directorate of </w:t>
      </w:r>
      <w:r w:rsidRPr="00E07233">
        <w:rPr>
          <w:rFonts w:cs="Times New Roman"/>
          <w:sz w:val="22"/>
          <w:szCs w:val="22"/>
        </w:rPr>
        <w:lastRenderedPageBreak/>
        <w:t>Map by confirming its accuracy and to keep this information up to date, to forward it to the General Directorate of Map both in writing and electronically with the name-surname signature of the generation license holder company official and the approval of the authorized/responsible engineer, to fulfill the instructions given by the General Directorate of Map in the fulfillment of the transactions within this scope."</w:t>
      </w:r>
    </w:p>
    <w:p w14:paraId="0D9F186D" w14:textId="77777777" w:rsidR="004C0A79" w:rsidRPr="00E07233" w:rsidRDefault="004C0A79" w:rsidP="004C0A79">
      <w:pPr>
        <w:pStyle w:val="GvdeMetni"/>
        <w:spacing w:before="39"/>
        <w:rPr>
          <w:rFonts w:cs="Times New Roman"/>
          <w:sz w:val="22"/>
          <w:szCs w:val="22"/>
        </w:rPr>
      </w:pPr>
    </w:p>
    <w:p w14:paraId="2B78D1C9" w14:textId="77777777" w:rsidR="004C0A79" w:rsidRPr="00E07233" w:rsidRDefault="004C0A79" w:rsidP="004C0A79">
      <w:pPr>
        <w:pStyle w:val="GvdeMetni"/>
        <w:spacing w:line="276" w:lineRule="auto"/>
        <w:ind w:left="1575" w:right="131"/>
        <w:rPr>
          <w:rFonts w:cs="Times New Roman"/>
          <w:sz w:val="22"/>
          <w:szCs w:val="22"/>
        </w:rPr>
      </w:pPr>
      <w:r w:rsidRPr="00E07233">
        <w:rPr>
          <w:rFonts w:cs="Times New Roman"/>
          <w:sz w:val="22"/>
          <w:szCs w:val="22"/>
        </w:rPr>
        <w:t>"(3) The active output power that can be given to the system in the renewable electricity generation facilities combined with the combined electricity generation facility cannot exceed the total electrical installed power of the units that have been provisionally accepted based on the main source. If the amount of generation is more than the amount of energy corresponding to the installed power of the units whose provisional acceptance has been made based on the main source, the excess energy in question shall not be taken into account in the settlement calculations within the scope of the relevant legislation. However, this does not eliminate the obligations of the participant in the relevant legislation."</w:t>
      </w:r>
    </w:p>
    <w:p w14:paraId="5514CABC" w14:textId="77777777" w:rsidR="004C0A79" w:rsidRPr="00E07233" w:rsidRDefault="004C0A79" w:rsidP="004C0A79">
      <w:pPr>
        <w:pStyle w:val="GvdeMetni"/>
        <w:spacing w:line="276" w:lineRule="auto"/>
        <w:ind w:left="1575" w:right="135"/>
        <w:rPr>
          <w:rFonts w:cs="Times New Roman"/>
          <w:sz w:val="22"/>
          <w:szCs w:val="22"/>
        </w:rPr>
      </w:pPr>
      <w:r w:rsidRPr="00E07233">
        <w:rPr>
          <w:rFonts w:cs="Times New Roman"/>
          <w:sz w:val="22"/>
          <w:szCs w:val="22"/>
        </w:rPr>
        <w:t>"(8) Capacity as much as the installed power of the electricity storage unit can be put into operation in terms of units based on wind or solar energy in storage electricity generation facilities. Before the entire electricity storage unit in question is put into operation; no amendment application can be made within the scope of electrical capacity increase or transformation into multiple-source electricity generation facility."</w:t>
      </w:r>
    </w:p>
    <w:p w14:paraId="19B2696A" w14:textId="77777777" w:rsidR="004C0A79" w:rsidRPr="00731F8E" w:rsidRDefault="004C0A79" w:rsidP="004C0A79">
      <w:pPr>
        <w:pStyle w:val="GvdeMetni"/>
        <w:spacing w:before="39"/>
        <w:rPr>
          <w:rFonts w:cs="Times New Roman"/>
          <w:szCs w:val="22"/>
        </w:rPr>
      </w:pPr>
    </w:p>
    <w:p w14:paraId="6C82B630"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1" w:after="0" w:line="240" w:lineRule="auto"/>
        <w:ind w:hanging="359"/>
        <w:jc w:val="left"/>
        <w:rPr>
          <w:rFonts w:ascii="Times New Roman" w:hAnsi="Times New Roman" w:cs="Times New Roman"/>
          <w:szCs w:val="22"/>
        </w:rPr>
      </w:pPr>
      <w:r w:rsidRPr="00731F8E">
        <w:rPr>
          <w:rFonts w:ascii="Times New Roman" w:hAnsi="Times New Roman" w:cs="Times New Roman"/>
          <w:szCs w:val="22"/>
        </w:rPr>
        <w:t>The first paragraph of Article 37 has been amended as follows.</w:t>
      </w:r>
    </w:p>
    <w:p w14:paraId="6D942F7E" w14:textId="77777777" w:rsidR="004C0A79" w:rsidRPr="00731F8E" w:rsidRDefault="004C0A79" w:rsidP="004C0A79">
      <w:pPr>
        <w:pStyle w:val="GvdeMetni"/>
        <w:spacing w:before="81"/>
        <w:rPr>
          <w:rFonts w:cs="Times New Roman"/>
          <w:i/>
          <w:szCs w:val="22"/>
        </w:rPr>
      </w:pPr>
    </w:p>
    <w:p w14:paraId="68EEEFE1" w14:textId="77777777" w:rsidR="004C0A79" w:rsidRPr="00E07233" w:rsidRDefault="004C0A79" w:rsidP="004C0A79">
      <w:pPr>
        <w:pStyle w:val="GvdeMetni"/>
        <w:spacing w:line="276" w:lineRule="auto"/>
        <w:ind w:left="1575" w:right="132"/>
        <w:rPr>
          <w:rFonts w:cs="Times New Roman"/>
          <w:sz w:val="22"/>
          <w:szCs w:val="22"/>
        </w:rPr>
      </w:pPr>
      <w:r w:rsidRPr="00E07233">
        <w:rPr>
          <w:rFonts w:cs="Times New Roman"/>
          <w:sz w:val="22"/>
          <w:szCs w:val="22"/>
        </w:rPr>
        <w:t>"(1) Except for the applications to be made for YEKA and the applications within the scope of the stored electricity generation facility, in the preliminary license applications to establish a generation facility based on wind energy, it is obligatory to make measurements for at least one year obtained within the last eight years on the site where the facility will be established in accordance with the conditions regulated within the scope of this Section. "(1) Except for the applications to be made for YEKA and the applications within the scope of the stored electricity generation facility, in the preliminary license applications to establish a generation facility based on wind energy, it is obligatory to make measurements for at least one year obtained within the last eight years, 6 months of which must be on-site, where the facility will be established in accordance with the conditions regulated within the scope of this Section. During preliminary license applications based on wind and solar energy; the Measurement Station Installation Report and Measurement Result Report in the "Procedures and Principles Regarding Applications for Preliminary License and License Procedures" are submitted to the Authority electronically by MGM or the relevant accredited organization."</w:t>
      </w:r>
    </w:p>
    <w:p w14:paraId="3175755D"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77" w:after="0" w:line="240" w:lineRule="auto"/>
        <w:ind w:hanging="359"/>
        <w:rPr>
          <w:rFonts w:ascii="Times New Roman" w:hAnsi="Times New Roman" w:cs="Times New Roman"/>
          <w:szCs w:val="22"/>
        </w:rPr>
      </w:pPr>
      <w:r w:rsidRPr="00731F8E">
        <w:rPr>
          <w:rFonts w:ascii="Times New Roman" w:hAnsi="Times New Roman" w:cs="Times New Roman"/>
          <w:szCs w:val="22"/>
        </w:rPr>
        <w:t>The following paragraphs have been added to Article 43.</w:t>
      </w:r>
    </w:p>
    <w:p w14:paraId="02243679" w14:textId="77777777" w:rsidR="004C0A79" w:rsidRPr="00731F8E" w:rsidRDefault="004C0A79" w:rsidP="004C0A79">
      <w:pPr>
        <w:pStyle w:val="GvdeMetni"/>
        <w:spacing w:before="81"/>
        <w:rPr>
          <w:rFonts w:cs="Times New Roman"/>
          <w:i/>
          <w:szCs w:val="22"/>
        </w:rPr>
      </w:pPr>
    </w:p>
    <w:p w14:paraId="424A7096" w14:textId="77777777" w:rsidR="004C0A79" w:rsidRPr="00E07233" w:rsidRDefault="004C0A79" w:rsidP="004C0A79">
      <w:pPr>
        <w:pStyle w:val="GvdeMetni"/>
        <w:spacing w:line="276" w:lineRule="auto"/>
        <w:ind w:left="1575" w:right="133"/>
        <w:rPr>
          <w:rFonts w:cs="Times New Roman"/>
          <w:sz w:val="22"/>
          <w:szCs w:val="22"/>
        </w:rPr>
      </w:pPr>
      <w:r w:rsidRPr="00E07233">
        <w:rPr>
          <w:rFonts w:cs="Times New Roman"/>
          <w:sz w:val="22"/>
          <w:szCs w:val="22"/>
        </w:rPr>
        <w:t>"(18) In the determination of the license modification fees in the amendments within the scope of the extension of the preliminary license period and the extension of the facility completion period in the generation licenses in the storage electricity generation facilities, the total mechanical installed power of the generation facility and the installed power of the electricity storage unit are collected and evaluated together.</w:t>
      </w:r>
    </w:p>
    <w:p w14:paraId="3CCDFFEA" w14:textId="77777777" w:rsidR="004C0A79" w:rsidRPr="00E07233" w:rsidRDefault="004C0A79" w:rsidP="004C0A79">
      <w:pPr>
        <w:pStyle w:val="GvdeMetni"/>
        <w:spacing w:line="273" w:lineRule="auto"/>
        <w:ind w:left="1575" w:right="135"/>
        <w:rPr>
          <w:rFonts w:cs="Times New Roman"/>
          <w:sz w:val="22"/>
          <w:szCs w:val="22"/>
        </w:rPr>
      </w:pPr>
      <w:r w:rsidRPr="00E07233">
        <w:rPr>
          <w:rFonts w:cs="Times New Roman"/>
          <w:sz w:val="22"/>
          <w:szCs w:val="22"/>
        </w:rPr>
        <w:t>(19) Separate modification fee shall be charged for each individual electricity storage facility to be added to the supply license."</w:t>
      </w:r>
    </w:p>
    <w:p w14:paraId="45DF812F" w14:textId="77777777" w:rsidR="004C0A79" w:rsidRPr="00731F8E" w:rsidRDefault="004C0A79" w:rsidP="004C0A79">
      <w:pPr>
        <w:pStyle w:val="GvdeMetni"/>
        <w:spacing w:before="45"/>
        <w:rPr>
          <w:rFonts w:cs="Times New Roman"/>
          <w:szCs w:val="22"/>
        </w:rPr>
      </w:pPr>
    </w:p>
    <w:p w14:paraId="2A6BC55D"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1" w:after="0" w:line="273" w:lineRule="auto"/>
        <w:ind w:right="135"/>
        <w:rPr>
          <w:rFonts w:ascii="Times New Roman" w:hAnsi="Times New Roman" w:cs="Times New Roman"/>
          <w:szCs w:val="22"/>
        </w:rPr>
      </w:pPr>
      <w:r w:rsidRPr="00731F8E">
        <w:rPr>
          <w:rFonts w:ascii="Times New Roman" w:hAnsi="Times New Roman" w:cs="Times New Roman"/>
          <w:szCs w:val="22"/>
        </w:rPr>
        <w:t>The following clause has been added to the third paragraph of Article 45 and the following paragraph has been added to the same article.</w:t>
      </w:r>
    </w:p>
    <w:p w14:paraId="037F39BC" w14:textId="77777777" w:rsidR="004C0A79" w:rsidRPr="00731F8E" w:rsidRDefault="004C0A79" w:rsidP="004C0A79">
      <w:pPr>
        <w:pStyle w:val="GvdeMetni"/>
        <w:spacing w:before="45"/>
        <w:rPr>
          <w:rFonts w:cs="Times New Roman"/>
          <w:i/>
          <w:szCs w:val="22"/>
        </w:rPr>
      </w:pPr>
    </w:p>
    <w:p w14:paraId="42D69692" w14:textId="77777777" w:rsidR="004C0A79" w:rsidRPr="00E07233" w:rsidRDefault="004C0A79" w:rsidP="004C0A79">
      <w:pPr>
        <w:pStyle w:val="GvdeMetni"/>
        <w:spacing w:line="276" w:lineRule="auto"/>
        <w:ind w:left="1575" w:right="135"/>
        <w:rPr>
          <w:rFonts w:cs="Times New Roman"/>
          <w:sz w:val="22"/>
          <w:szCs w:val="22"/>
        </w:rPr>
      </w:pPr>
      <w:r w:rsidRPr="00E07233">
        <w:rPr>
          <w:rFonts w:cs="Times New Roman"/>
          <w:sz w:val="22"/>
          <w:szCs w:val="22"/>
        </w:rPr>
        <w:t>"d) Failure to install the electricity storage unit promised to be installed in the storage electricity generation facilities within the period specified in the license or determination that it cannot be installed within the remaining period,"</w:t>
      </w:r>
    </w:p>
    <w:p w14:paraId="3D5B3E80" w14:textId="77777777" w:rsidR="004C0A79" w:rsidRPr="00E07233" w:rsidRDefault="004C0A79" w:rsidP="004C0A79">
      <w:pPr>
        <w:pStyle w:val="GvdeMetni"/>
        <w:spacing w:line="276" w:lineRule="auto"/>
        <w:ind w:left="1575" w:right="130"/>
        <w:rPr>
          <w:rFonts w:cs="Times New Roman"/>
          <w:sz w:val="22"/>
          <w:szCs w:val="22"/>
        </w:rPr>
      </w:pPr>
      <w:r w:rsidRPr="00E07233">
        <w:rPr>
          <w:rFonts w:cs="Times New Roman"/>
          <w:sz w:val="22"/>
          <w:szCs w:val="22"/>
        </w:rPr>
        <w:t>"(7) The guarantee submitted to the Authority at the preliminary license application stage for the storage electricity generation facility shall not be returned until the license is obtained. The guarantee submitted in the license application for the electricity storage unit of the storage electricity generation facility shall not be returned until the entire electricity storage unit in question has been put into operation."</w:t>
      </w:r>
    </w:p>
    <w:p w14:paraId="707977B5" w14:textId="77777777" w:rsidR="004C0A79" w:rsidRPr="00731F8E" w:rsidRDefault="004C0A79" w:rsidP="004C0A79">
      <w:pPr>
        <w:pStyle w:val="GvdeMetni"/>
        <w:spacing w:before="38"/>
        <w:rPr>
          <w:rFonts w:cs="Times New Roman"/>
          <w:szCs w:val="22"/>
        </w:rPr>
      </w:pPr>
    </w:p>
    <w:p w14:paraId="7EF25855" w14:textId="77777777" w:rsidR="004C0A79" w:rsidRPr="00731F8E" w:rsidRDefault="004C0A79" w:rsidP="00A86526">
      <w:pPr>
        <w:pStyle w:val="Balk2"/>
        <w:keepNext w:val="0"/>
        <w:keepLines w:val="0"/>
        <w:widowControl w:val="0"/>
        <w:numPr>
          <w:ilvl w:val="1"/>
          <w:numId w:val="35"/>
        </w:numPr>
        <w:tabs>
          <w:tab w:val="left" w:pos="1574"/>
        </w:tabs>
        <w:autoSpaceDE w:val="0"/>
        <w:autoSpaceDN w:val="0"/>
        <w:spacing w:before="1" w:after="0" w:line="240" w:lineRule="auto"/>
        <w:ind w:left="1574" w:hanging="359"/>
        <w:rPr>
          <w:rFonts w:ascii="Times New Roman" w:hAnsi="Times New Roman" w:cs="Times New Roman"/>
          <w:szCs w:val="22"/>
        </w:rPr>
      </w:pPr>
      <w:r w:rsidRPr="00731F8E">
        <w:rPr>
          <w:rFonts w:ascii="Times New Roman" w:hAnsi="Times New Roman" w:cs="Times New Roman"/>
          <w:szCs w:val="22"/>
        </w:rPr>
        <w:t>- The second paragraph of Article 46 has been amended as follows.</w:t>
      </w:r>
    </w:p>
    <w:p w14:paraId="32339F34" w14:textId="77777777" w:rsidR="004C0A79" w:rsidRPr="00731F8E" w:rsidRDefault="004C0A79" w:rsidP="004C0A79">
      <w:pPr>
        <w:pStyle w:val="GvdeMetni"/>
        <w:spacing w:before="79"/>
        <w:rPr>
          <w:rFonts w:cs="Times New Roman"/>
          <w:i/>
          <w:szCs w:val="22"/>
        </w:rPr>
      </w:pPr>
    </w:p>
    <w:p w14:paraId="016F5E25" w14:textId="77777777" w:rsidR="004C0A79" w:rsidRPr="00E07233" w:rsidRDefault="004C0A79" w:rsidP="004C0A79">
      <w:pPr>
        <w:pStyle w:val="GvdeMetni"/>
        <w:spacing w:line="276" w:lineRule="auto"/>
        <w:ind w:left="1575" w:right="132"/>
        <w:rPr>
          <w:rFonts w:cs="Times New Roman"/>
          <w:sz w:val="22"/>
          <w:szCs w:val="22"/>
        </w:rPr>
      </w:pPr>
      <w:r w:rsidRPr="00E07233">
        <w:rPr>
          <w:rFonts w:cs="Times New Roman"/>
          <w:sz w:val="22"/>
          <w:szCs w:val="22"/>
        </w:rPr>
        <w:t>"(2) Expropriation requests of preliminary license or license holder private law legal entities engaged in generation activities in the electricity market, including electricity storage units established within the storage electricity generation facility and electricity storage units integrated into the generation facility, regarding the immovables in the private ownership of the persons and required for the activities subject to preliminary license and license shall be evaluated by the Authority and a decision shall be taken by the Board if deemed appropriate. Expropriation procedures required within the framework of the said decision shall be concluded within the framework of the first paragraph of Article 19 of the Law. The provisions of Article 19 of the Law on land acquisition or right of use for independent electricity storage facilities and facilities related to the connection of these facilities shall not apply."</w:t>
      </w:r>
    </w:p>
    <w:p w14:paraId="287B5329" w14:textId="77777777" w:rsidR="004C0A79" w:rsidRPr="00731F8E" w:rsidRDefault="004C0A79" w:rsidP="004C0A79">
      <w:pPr>
        <w:pStyle w:val="GvdeMetni"/>
        <w:spacing w:before="41"/>
        <w:rPr>
          <w:rFonts w:cs="Times New Roman"/>
          <w:szCs w:val="22"/>
        </w:rPr>
      </w:pPr>
    </w:p>
    <w:p w14:paraId="1E321BB2" w14:textId="77777777" w:rsidR="004C0A79" w:rsidRPr="00731F8E" w:rsidRDefault="004C0A79" w:rsidP="00A86526">
      <w:pPr>
        <w:pStyle w:val="Balk2"/>
        <w:keepNext w:val="0"/>
        <w:keepLines w:val="0"/>
        <w:widowControl w:val="0"/>
        <w:numPr>
          <w:ilvl w:val="1"/>
          <w:numId w:val="35"/>
        </w:numPr>
        <w:tabs>
          <w:tab w:val="left" w:pos="1575"/>
        </w:tabs>
        <w:autoSpaceDE w:val="0"/>
        <w:autoSpaceDN w:val="0"/>
        <w:spacing w:before="0" w:after="0"/>
        <w:ind w:right="137"/>
        <w:rPr>
          <w:rFonts w:ascii="Times New Roman" w:hAnsi="Times New Roman" w:cs="Times New Roman"/>
          <w:szCs w:val="22"/>
        </w:rPr>
      </w:pPr>
      <w:r w:rsidRPr="00731F8E">
        <w:rPr>
          <w:rFonts w:ascii="Times New Roman" w:hAnsi="Times New Roman" w:cs="Times New Roman"/>
          <w:szCs w:val="22"/>
        </w:rPr>
        <w:t>Clause (g) of the first paragraph of Article 57 has been amended as follows, and the phrase "to be taken" in the second paragraph has been amended as "to give bail by taking".</w:t>
      </w:r>
    </w:p>
    <w:p w14:paraId="035D4BCE" w14:textId="77777777" w:rsidR="004C0A79" w:rsidRPr="00731F8E" w:rsidRDefault="004C0A79" w:rsidP="004C0A79">
      <w:pPr>
        <w:pStyle w:val="GvdeMetni"/>
        <w:spacing w:before="41"/>
        <w:rPr>
          <w:rFonts w:cs="Times New Roman"/>
          <w:i/>
          <w:szCs w:val="22"/>
        </w:rPr>
      </w:pPr>
    </w:p>
    <w:p w14:paraId="2D31C849" w14:textId="77777777" w:rsidR="004C0A79" w:rsidRPr="00731F8E" w:rsidRDefault="004C0A79" w:rsidP="004C0A79">
      <w:pPr>
        <w:pStyle w:val="GvdeMetni"/>
        <w:spacing w:line="273" w:lineRule="auto"/>
        <w:ind w:left="1575" w:right="137"/>
        <w:rPr>
          <w:rFonts w:cs="Times New Roman"/>
          <w:szCs w:val="22"/>
        </w:rPr>
      </w:pPr>
      <w:r w:rsidRPr="00731F8E">
        <w:rPr>
          <w:rFonts w:cs="Times New Roman"/>
          <w:szCs w:val="22"/>
        </w:rPr>
        <w:t>"g) Direct or indirect changes in the shareholding structure of the pre-license holder legal entity in a way that does not create a change in control,"</w:t>
      </w:r>
    </w:p>
    <w:p w14:paraId="69DD5B51" w14:textId="77777777" w:rsidR="004C0A79" w:rsidRPr="00731F8E" w:rsidRDefault="004C0A79" w:rsidP="004C0A79">
      <w:pPr>
        <w:pStyle w:val="GvdeMetni"/>
        <w:spacing w:before="45"/>
        <w:rPr>
          <w:rFonts w:cs="Times New Roman"/>
          <w:szCs w:val="22"/>
        </w:rPr>
      </w:pPr>
    </w:p>
    <w:p w14:paraId="6C051CDC" w14:textId="77777777" w:rsidR="004C0A79" w:rsidRPr="00731F8E" w:rsidRDefault="004C0A79" w:rsidP="00A86526">
      <w:pPr>
        <w:pStyle w:val="Balk2"/>
        <w:keepNext w:val="0"/>
        <w:keepLines w:val="0"/>
        <w:widowControl w:val="0"/>
        <w:numPr>
          <w:ilvl w:val="1"/>
          <w:numId w:val="35"/>
        </w:numPr>
        <w:tabs>
          <w:tab w:val="left" w:pos="1574"/>
        </w:tabs>
        <w:autoSpaceDE w:val="0"/>
        <w:autoSpaceDN w:val="0"/>
        <w:spacing w:before="0" w:after="0" w:line="240" w:lineRule="auto"/>
        <w:ind w:left="1574" w:hanging="359"/>
        <w:rPr>
          <w:rFonts w:ascii="Times New Roman" w:hAnsi="Times New Roman" w:cs="Times New Roman"/>
          <w:szCs w:val="22"/>
        </w:rPr>
      </w:pPr>
      <w:r w:rsidRPr="00731F8E">
        <w:rPr>
          <w:rFonts w:ascii="Times New Roman" w:hAnsi="Times New Roman" w:cs="Times New Roman"/>
          <w:szCs w:val="22"/>
        </w:rPr>
        <w:t>The following provisional clauses have been added.</w:t>
      </w:r>
    </w:p>
    <w:p w14:paraId="1B3111C5" w14:textId="77777777" w:rsidR="004C0A79" w:rsidRPr="00731F8E" w:rsidRDefault="004C0A79" w:rsidP="004C0A79">
      <w:pPr>
        <w:pStyle w:val="GvdeMetni"/>
        <w:spacing w:before="39"/>
        <w:ind w:left="1575"/>
        <w:rPr>
          <w:rFonts w:cs="Times New Roman"/>
          <w:szCs w:val="22"/>
        </w:rPr>
      </w:pPr>
      <w:r w:rsidRPr="00731F8E">
        <w:rPr>
          <w:rFonts w:cs="Times New Roman"/>
          <w:szCs w:val="22"/>
        </w:rPr>
        <w:t>“Vertical barrier data</w:t>
      </w:r>
    </w:p>
    <w:p w14:paraId="44837122" w14:textId="77777777" w:rsidR="004C0A79" w:rsidRPr="00731F8E" w:rsidRDefault="004C0A79" w:rsidP="004C0A79">
      <w:pPr>
        <w:pStyle w:val="GvdeMetni"/>
        <w:spacing w:before="41" w:line="276" w:lineRule="auto"/>
        <w:ind w:left="1575" w:right="133"/>
        <w:rPr>
          <w:rFonts w:cs="Times New Roman"/>
          <w:szCs w:val="22"/>
        </w:rPr>
      </w:pPr>
      <w:r w:rsidRPr="00731F8E">
        <w:rPr>
          <w:rFonts w:cs="Times New Roman"/>
          <w:szCs w:val="22"/>
        </w:rPr>
        <w:t>PROVISIONAL ARTICLE 35- (1) In accordance with the Regulation on the Collection and Presentation of Vertical Barrier Data, legal entities holding a generation license based on wind energy, which has been partially or completely put into operation by accepting this article as of the date of entry into force, within the scope of generation licenses, information about all kinds of facilities and structures in the nature of vertical barriers must be submitted to the General Directorate of Mapping within three months from the date of entry into force of this article.</w:t>
      </w:r>
    </w:p>
    <w:p w14:paraId="0197F288"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Technical evaluation in electricity generation facilities based on biomass and geothermal energy</w:t>
      </w:r>
    </w:p>
    <w:p w14:paraId="3D400254" w14:textId="77777777" w:rsidR="004C0A79" w:rsidRPr="00731F8E" w:rsidRDefault="004C0A79" w:rsidP="004C0A79">
      <w:pPr>
        <w:pStyle w:val="GvdeMetni"/>
        <w:spacing w:line="276" w:lineRule="auto"/>
        <w:ind w:left="1576" w:right="132"/>
        <w:rPr>
          <w:rFonts w:cs="Times New Roman"/>
          <w:szCs w:val="22"/>
        </w:rPr>
      </w:pPr>
      <w:r w:rsidRPr="00731F8E">
        <w:rPr>
          <w:rFonts w:cs="Times New Roman"/>
          <w:szCs w:val="22"/>
        </w:rPr>
        <w:t>PROVISIONAL ARTICLE 36- (1) The relevant articles of this Regulation shall not be applied until the effective date of the regulation regarding the procedures and principles regarding the technical evaluation by the Ministry/General Directorate of Energy Affairs within the scope of the ninth paragraph of Article 7 of the Law in the conclusion of preliminary license applications and preliminary license and license amendment applications for electrical energy generation facilities based on biomass and geothermal energy.</w:t>
      </w:r>
    </w:p>
    <w:p w14:paraId="5BA62FD3" w14:textId="77777777" w:rsidR="004C0A79" w:rsidRPr="00731F8E" w:rsidRDefault="004C0A79" w:rsidP="004C0A79">
      <w:pPr>
        <w:pStyle w:val="GvdeMetni"/>
        <w:spacing w:line="268" w:lineRule="exact"/>
        <w:ind w:left="1575"/>
        <w:rPr>
          <w:rFonts w:cs="Times New Roman"/>
          <w:szCs w:val="22"/>
        </w:rPr>
      </w:pPr>
      <w:r w:rsidRPr="00731F8E">
        <w:rPr>
          <w:rFonts w:cs="Times New Roman"/>
          <w:szCs w:val="22"/>
        </w:rPr>
        <w:t xml:space="preserve">Applications for detached electricity storage facilities </w:t>
      </w:r>
    </w:p>
    <w:p w14:paraId="118598C2" w14:textId="77777777" w:rsidR="004C0A79" w:rsidRPr="00731F8E" w:rsidRDefault="004C0A79" w:rsidP="004C0A79">
      <w:pPr>
        <w:pStyle w:val="GvdeMetni"/>
        <w:spacing w:before="41" w:line="276" w:lineRule="auto"/>
        <w:ind w:left="1575" w:right="131"/>
        <w:rPr>
          <w:rFonts w:cs="Times New Roman"/>
          <w:szCs w:val="22"/>
        </w:rPr>
      </w:pPr>
      <w:r w:rsidRPr="00731F8E">
        <w:rPr>
          <w:rFonts w:cs="Times New Roman"/>
          <w:szCs w:val="22"/>
        </w:rPr>
        <w:t xml:space="preserve">PROVISIONAL ARTICLE 37- (1) As of the date of entry into force of this article, in the event that </w:t>
      </w:r>
      <w:r w:rsidRPr="00731F8E">
        <w:rPr>
          <w:rFonts w:cs="Times New Roman"/>
          <w:szCs w:val="22"/>
        </w:rPr>
        <w:lastRenderedPageBreak/>
        <w:t>the supply license holder legal entities approved to have a separate electricity storage facility for their licenses apply for a preliminary license within 3 months from the date of entry into force of this article to establish a storage electricity generation facility, the positive connection opinions given for the said independent electricity storage facilities shall also apply to the preliminary license applications to be made by these legal entities. However, the force to be applied for preliminary license applications shall be as follows under each supply license and shall not exceed;</w:t>
      </w:r>
    </w:p>
    <w:p w14:paraId="4D41FB8E" w14:textId="77777777" w:rsidR="004C0A79" w:rsidRPr="00731F8E" w:rsidRDefault="004C0A79" w:rsidP="00A86526">
      <w:pPr>
        <w:pStyle w:val="P68B1DB1-ListParagraph3"/>
        <w:numPr>
          <w:ilvl w:val="0"/>
          <w:numId w:val="33"/>
        </w:numPr>
        <w:tabs>
          <w:tab w:val="left" w:pos="1840"/>
        </w:tabs>
        <w:spacing w:line="276" w:lineRule="auto"/>
        <w:ind w:left="1575" w:right="134" w:firstLine="0"/>
        <w:rPr>
          <w:rFonts w:ascii="Times New Roman" w:hAnsi="Times New Roman" w:cs="Times New Roman"/>
          <w:szCs w:val="22"/>
        </w:rPr>
      </w:pPr>
      <w:r w:rsidRPr="00731F8E">
        <w:rPr>
          <w:rFonts w:ascii="Times New Roman" w:hAnsi="Times New Roman" w:cs="Times New Roman"/>
          <w:szCs w:val="22"/>
        </w:rPr>
        <w:t>For detached electricity storage facilities of 250 MW and below, the installed capacity for which a positive opinion was given,</w:t>
      </w:r>
    </w:p>
    <w:p w14:paraId="775C4F73" w14:textId="77777777" w:rsidR="004C0A79" w:rsidRPr="00731F8E" w:rsidRDefault="004C0A79" w:rsidP="00A86526">
      <w:pPr>
        <w:pStyle w:val="P68B1DB1-ListParagraph3"/>
        <w:numPr>
          <w:ilvl w:val="0"/>
          <w:numId w:val="33"/>
        </w:numPr>
        <w:tabs>
          <w:tab w:val="left" w:pos="1830"/>
        </w:tabs>
        <w:spacing w:line="276" w:lineRule="auto"/>
        <w:ind w:left="1575" w:right="134" w:firstLine="0"/>
        <w:rPr>
          <w:rFonts w:ascii="Times New Roman" w:hAnsi="Times New Roman" w:cs="Times New Roman"/>
          <w:szCs w:val="22"/>
        </w:rPr>
      </w:pPr>
      <w:r w:rsidRPr="00731F8E">
        <w:rPr>
          <w:rFonts w:ascii="Times New Roman" w:hAnsi="Times New Roman" w:cs="Times New Roman"/>
          <w:szCs w:val="22"/>
        </w:rPr>
        <w:t>In detached electricity storage facilities above 250 MW, the total power to be found by adding the power corresponding to half of the part of the total installed power exceeding 250 MW to the 250 MW power,</w:t>
      </w:r>
    </w:p>
    <w:p w14:paraId="2B60D8F4" w14:textId="77777777" w:rsidR="004C0A79" w:rsidRPr="00E07233" w:rsidRDefault="004C0A79" w:rsidP="004C0A79">
      <w:pPr>
        <w:pStyle w:val="GvdeMetni"/>
        <w:spacing w:line="273" w:lineRule="auto"/>
        <w:ind w:left="1575" w:right="133"/>
        <w:rPr>
          <w:rFonts w:cs="Times New Roman"/>
          <w:sz w:val="22"/>
          <w:szCs w:val="22"/>
        </w:rPr>
      </w:pPr>
      <w:r w:rsidRPr="00E07233">
        <w:rPr>
          <w:rFonts w:cs="Times New Roman"/>
          <w:sz w:val="22"/>
          <w:szCs w:val="22"/>
        </w:rPr>
        <w:t>The power applicable to preliminary license applications under this paragraph may not exceed 500 MW in any case.</w:t>
      </w:r>
    </w:p>
    <w:p w14:paraId="3D6FCAF4" w14:textId="77777777" w:rsidR="004C0A79" w:rsidRPr="00E07233" w:rsidRDefault="004C0A79" w:rsidP="004C0A79">
      <w:pPr>
        <w:pStyle w:val="GvdeMetni"/>
        <w:spacing w:before="3"/>
        <w:ind w:left="1575"/>
        <w:rPr>
          <w:rFonts w:cs="Times New Roman"/>
          <w:sz w:val="22"/>
          <w:szCs w:val="22"/>
        </w:rPr>
      </w:pPr>
      <w:r w:rsidRPr="00E07233">
        <w:rPr>
          <w:rFonts w:cs="Times New Roman"/>
          <w:sz w:val="22"/>
          <w:szCs w:val="22"/>
        </w:rPr>
        <w:t>Evaluation of preliminary license applications for storage electricity generation facility</w:t>
      </w:r>
    </w:p>
    <w:p w14:paraId="04C9C2F8" w14:textId="77777777" w:rsidR="004C0A79" w:rsidRPr="00E07233" w:rsidRDefault="004C0A79" w:rsidP="004C0A79">
      <w:pPr>
        <w:pStyle w:val="GvdeMetni"/>
        <w:spacing w:before="41" w:line="276" w:lineRule="auto"/>
        <w:ind w:left="1575" w:right="131"/>
        <w:rPr>
          <w:rFonts w:cs="Times New Roman"/>
          <w:sz w:val="22"/>
          <w:szCs w:val="22"/>
        </w:rPr>
      </w:pPr>
      <w:r w:rsidRPr="00E07233">
        <w:rPr>
          <w:rFonts w:cs="Times New Roman"/>
          <w:sz w:val="22"/>
          <w:szCs w:val="22"/>
        </w:rPr>
        <w:t>PROVISIONAL ARTICLE 38- (1) From the date of entry into force of this article until 30/6/2023, for preliminary license applications to be made within the scope of the fourteenth paragraph of Article 12 and provisional Article 37; at the stage of evaluating the said applications within the scope of the provisions of Article 13, the obligations regarding the submission of the minimum capital and guarantee are not sought at the application stage. However, it is obligatory to fulfill the minimum capital obligations within 90 days from the date of evaluation of the application made in this context and within 90 days from the date of notification of the Board decision regarding the granting of the preliminary license. If the said obligations are not fulfilled within these periods, the preliminary license application shall be rejected by the decision of the Board, and if a preliminary license is granted, it shall be terminated by the decision of the Board."</w:t>
      </w:r>
    </w:p>
    <w:p w14:paraId="4B494CC8" w14:textId="77777777" w:rsidR="004C0A79" w:rsidRPr="00731F8E" w:rsidRDefault="004C0A79" w:rsidP="004C0A79">
      <w:pPr>
        <w:pStyle w:val="GvdeMetni"/>
        <w:spacing w:before="39"/>
        <w:rPr>
          <w:rFonts w:cs="Times New Roman"/>
          <w:szCs w:val="22"/>
        </w:rPr>
      </w:pPr>
    </w:p>
    <w:p w14:paraId="56136055" w14:textId="77777777" w:rsidR="004C0A79" w:rsidRPr="00731F8E" w:rsidRDefault="004C0A79" w:rsidP="00A86526">
      <w:pPr>
        <w:pStyle w:val="ListeParagraf"/>
        <w:widowControl w:val="0"/>
        <w:numPr>
          <w:ilvl w:val="0"/>
          <w:numId w:val="32"/>
        </w:numPr>
        <w:tabs>
          <w:tab w:val="left" w:pos="856"/>
        </w:tabs>
        <w:autoSpaceDE w:val="0"/>
        <w:autoSpaceDN w:val="0"/>
        <w:spacing w:before="80" w:after="0" w:line="240" w:lineRule="auto"/>
        <w:ind w:left="856" w:hanging="360"/>
        <w:contextualSpacing w:val="0"/>
        <w:jc w:val="left"/>
        <w:rPr>
          <w:rFonts w:ascii="Times New Roman" w:hAnsi="Times New Roman"/>
          <w:b/>
        </w:rPr>
      </w:pPr>
      <w:r w:rsidRPr="00731F8E">
        <w:rPr>
          <w:rFonts w:ascii="Times New Roman" w:hAnsi="Times New Roman"/>
        </w:rPr>
        <w:t>With the Amendment Regulation published in the Official Gazette dated 19.11.2022 and numbered 32018, clause (a) of the first paragraph of Article 3 of the Regulation on Storage Activities in the Electricity Market has been amended as follows and the following clause has been added to the same paragraph.</w:t>
      </w:r>
    </w:p>
    <w:p w14:paraId="40638840" w14:textId="77777777" w:rsidR="004C0A79" w:rsidRPr="00731F8E" w:rsidRDefault="004C0A79" w:rsidP="004C0A79">
      <w:pPr>
        <w:pStyle w:val="GvdeMetni"/>
        <w:spacing w:before="37" w:line="276" w:lineRule="auto"/>
        <w:ind w:left="1576" w:right="130"/>
        <w:rPr>
          <w:rFonts w:cs="Times New Roman"/>
          <w:szCs w:val="22"/>
        </w:rPr>
      </w:pPr>
      <w:r w:rsidRPr="00731F8E">
        <w:rPr>
          <w:rFonts w:cs="Times New Roman"/>
          <w:szCs w:val="22"/>
        </w:rPr>
        <w:t>“a) Electricity storage facility: A facility that can store electrical energy by converting it to another type of energy and can transfer the stored energy to the system by converting it back to electrical energy for use,”</w:t>
      </w:r>
    </w:p>
    <w:p w14:paraId="456EE441" w14:textId="77777777" w:rsidR="004C0A79" w:rsidRPr="00731F8E" w:rsidRDefault="004C0A79" w:rsidP="004C0A79">
      <w:pPr>
        <w:pStyle w:val="GvdeMetni"/>
        <w:spacing w:line="276" w:lineRule="auto"/>
        <w:ind w:left="1576" w:right="136"/>
        <w:rPr>
          <w:rFonts w:cs="Times New Roman"/>
          <w:szCs w:val="22"/>
        </w:rPr>
      </w:pPr>
      <w:r w:rsidRPr="00731F8E">
        <w:rPr>
          <w:rFonts w:cs="Times New Roman"/>
          <w:szCs w:val="22"/>
        </w:rPr>
        <w:t>"l) Storage electricity generation facility: The generation facility established within the scope of the tenth and eleventh paragraphs of Article 7 of the Law,”</w:t>
      </w:r>
    </w:p>
    <w:p w14:paraId="4A3765C2" w14:textId="77777777" w:rsidR="004C0A79" w:rsidRPr="00731F8E" w:rsidRDefault="004C0A79" w:rsidP="004C0A79">
      <w:pPr>
        <w:pStyle w:val="GvdeMetni"/>
        <w:spacing w:before="42"/>
        <w:rPr>
          <w:rFonts w:cs="Times New Roman"/>
          <w:szCs w:val="22"/>
        </w:rPr>
      </w:pPr>
    </w:p>
    <w:p w14:paraId="4A479CA4" w14:textId="77777777" w:rsidR="004C0A79" w:rsidRPr="00731F8E" w:rsidRDefault="004C0A79" w:rsidP="00A86526">
      <w:pPr>
        <w:pStyle w:val="ListeParagraf"/>
        <w:widowControl w:val="0"/>
        <w:numPr>
          <w:ilvl w:val="1"/>
          <w:numId w:val="32"/>
        </w:numPr>
        <w:tabs>
          <w:tab w:val="left" w:pos="1576"/>
        </w:tabs>
        <w:autoSpaceDE w:val="0"/>
        <w:autoSpaceDN w:val="0"/>
        <w:spacing w:after="0"/>
        <w:ind w:right="131"/>
        <w:contextualSpacing w:val="0"/>
        <w:rPr>
          <w:rFonts w:ascii="Times New Roman" w:hAnsi="Times New Roman"/>
        </w:rPr>
      </w:pPr>
      <w:r w:rsidRPr="00731F8E">
        <w:rPr>
          <w:rFonts w:ascii="Times New Roman" w:hAnsi="Times New Roman"/>
        </w:rPr>
        <w:t xml:space="preserve">Clause (ç) of the first paragraph of Article 4 has been amended as follows, the phrase </w:t>
      </w:r>
      <w:r w:rsidRPr="00731F8E">
        <w:rPr>
          <w:rFonts w:ascii="Times New Roman" w:hAnsi="Times New Roman"/>
          <w:i/>
        </w:rPr>
        <w:t xml:space="preserve">"electricity storage unit within the storage electricity </w:t>
      </w:r>
      <w:r w:rsidRPr="00731F8E">
        <w:rPr>
          <w:rFonts w:ascii="Times New Roman" w:hAnsi="Times New Roman"/>
        </w:rPr>
        <w:t>generation</w:t>
      </w:r>
      <w:r w:rsidRPr="00731F8E">
        <w:rPr>
          <w:rFonts w:ascii="Times New Roman" w:hAnsi="Times New Roman"/>
          <w:i/>
        </w:rPr>
        <w:t xml:space="preserve"> facility" has been added to come after the phrase "integrated electricity storage unit" </w:t>
      </w:r>
      <w:r w:rsidRPr="00731F8E">
        <w:rPr>
          <w:rFonts w:ascii="Times New Roman" w:hAnsi="Times New Roman"/>
        </w:rPr>
        <w:t>in the second paragraph and the following paragraph has been added to the same article.</w:t>
      </w:r>
    </w:p>
    <w:p w14:paraId="38511F43" w14:textId="77777777" w:rsidR="004C0A79" w:rsidRPr="00731F8E" w:rsidRDefault="004C0A79" w:rsidP="004C0A79">
      <w:pPr>
        <w:pStyle w:val="GvdeMetni"/>
        <w:spacing w:before="39"/>
        <w:rPr>
          <w:rFonts w:cs="Times New Roman"/>
          <w:i/>
          <w:szCs w:val="22"/>
        </w:rPr>
      </w:pPr>
    </w:p>
    <w:p w14:paraId="1B292575" w14:textId="77777777" w:rsidR="004C0A79" w:rsidRPr="00731F8E" w:rsidRDefault="004C0A79" w:rsidP="004C0A79">
      <w:pPr>
        <w:pStyle w:val="GvdeMetni"/>
        <w:ind w:left="1576"/>
        <w:rPr>
          <w:rFonts w:cs="Times New Roman"/>
          <w:szCs w:val="22"/>
        </w:rPr>
      </w:pPr>
      <w:r w:rsidRPr="00731F8E">
        <w:rPr>
          <w:rFonts w:cs="Times New Roman"/>
          <w:szCs w:val="22"/>
        </w:rPr>
        <w:t>“ç) Electricity storage facility established by network operators,”</w:t>
      </w:r>
    </w:p>
    <w:p w14:paraId="148EC45C" w14:textId="77777777" w:rsidR="004C0A79" w:rsidRPr="00731F8E" w:rsidRDefault="004C0A79" w:rsidP="004C0A79">
      <w:pPr>
        <w:pStyle w:val="GvdeMetni"/>
        <w:spacing w:before="41" w:line="276" w:lineRule="auto"/>
        <w:ind w:left="1576" w:right="133"/>
        <w:rPr>
          <w:rFonts w:cs="Times New Roman"/>
          <w:szCs w:val="22"/>
        </w:rPr>
      </w:pPr>
      <w:r w:rsidRPr="00731F8E">
        <w:rPr>
          <w:rFonts w:cs="Times New Roman"/>
          <w:szCs w:val="22"/>
        </w:rPr>
        <w:t>"(3) Within the framework of the Unlicensed Electricity Generation Regulation in the Electricity Market published in the Official Gazette dated 12/5/2019 and numbered 30772, electricity storage facilities can be established in unlicensed electricity generation facilities that receive a call letter and monthly offset for surplus energy. However, the electricity storage facilities to be established in this context must meet the requirements of the sixth paragraph of Article 37 of the Unlicensed Electricity Generation Regulation in the Electricity Market."</w:t>
      </w:r>
    </w:p>
    <w:p w14:paraId="440FC281" w14:textId="77777777" w:rsidR="004C0A79" w:rsidRPr="00731F8E" w:rsidRDefault="004C0A79" w:rsidP="004C0A79">
      <w:pPr>
        <w:pStyle w:val="GvdeMetni"/>
        <w:spacing w:before="38"/>
        <w:rPr>
          <w:rFonts w:cs="Times New Roman"/>
          <w:szCs w:val="22"/>
        </w:rPr>
      </w:pPr>
    </w:p>
    <w:p w14:paraId="2BA5BAD6" w14:textId="77777777" w:rsidR="004C0A79" w:rsidRPr="00731F8E" w:rsidRDefault="004C0A79" w:rsidP="00A86526">
      <w:pPr>
        <w:pStyle w:val="Balk2"/>
        <w:keepNext w:val="0"/>
        <w:keepLines w:val="0"/>
        <w:widowControl w:val="0"/>
        <w:numPr>
          <w:ilvl w:val="1"/>
          <w:numId w:val="32"/>
        </w:numPr>
        <w:tabs>
          <w:tab w:val="left" w:pos="1576"/>
        </w:tabs>
        <w:autoSpaceDE w:val="0"/>
        <w:autoSpaceDN w:val="0"/>
        <w:spacing w:before="0" w:after="0"/>
        <w:ind w:right="133"/>
        <w:rPr>
          <w:rFonts w:ascii="Times New Roman" w:hAnsi="Times New Roman" w:cs="Times New Roman"/>
          <w:szCs w:val="22"/>
        </w:rPr>
      </w:pPr>
      <w:r w:rsidRPr="00731F8E">
        <w:rPr>
          <w:rFonts w:ascii="Times New Roman" w:hAnsi="Times New Roman" w:cs="Times New Roman"/>
          <w:szCs w:val="22"/>
        </w:rPr>
        <w:t xml:space="preserve">The first, third, fourth, fifth and seventh paragraphs of Article 5 have been amended as follows, the second and sixth paragraphs have been repealed and the </w:t>
      </w:r>
      <w:r w:rsidRPr="00731F8E">
        <w:rPr>
          <w:rFonts w:ascii="Times New Roman" w:hAnsi="Times New Roman" w:cs="Times New Roman"/>
          <w:szCs w:val="22"/>
        </w:rPr>
        <w:lastRenderedPageBreak/>
        <w:t>following paragraphs have been added to the same article.</w:t>
      </w:r>
    </w:p>
    <w:p w14:paraId="0FFD73C5" w14:textId="77777777" w:rsidR="004C0A79" w:rsidRPr="00731F8E" w:rsidRDefault="004C0A79" w:rsidP="004C0A79">
      <w:pPr>
        <w:pStyle w:val="GvdeMetni"/>
        <w:spacing w:line="276" w:lineRule="auto"/>
        <w:ind w:left="1576" w:right="131"/>
        <w:rPr>
          <w:rFonts w:cs="Times New Roman"/>
          <w:szCs w:val="22"/>
        </w:rPr>
      </w:pPr>
      <w:r w:rsidRPr="00731F8E">
        <w:rPr>
          <w:rFonts w:cs="Times New Roman"/>
          <w:szCs w:val="22"/>
        </w:rPr>
        <w:t>“(1) Legal entities holding generation licenses may install an integrated electricity storage unit in a licensed generation facility.”</w:t>
      </w:r>
    </w:p>
    <w:p w14:paraId="094EFFBF"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"(3) With the electricity storage unit established within the storage electricity generation facility, the energy withdrawn from the grid to the electricity storage unit integrated to the generation facility and returned to the grid shall not be covered by any incentive or purchase guarantee given for the energy produced by the relevant generation facility.</w:t>
      </w:r>
    </w:p>
    <w:p w14:paraId="36B5F830" w14:textId="77777777" w:rsidR="004C0A79" w:rsidRPr="00731F8E" w:rsidRDefault="004C0A79" w:rsidP="00A86526">
      <w:pPr>
        <w:pStyle w:val="P68B1DB1-ListParagraph3"/>
        <w:numPr>
          <w:ilvl w:val="0"/>
          <w:numId w:val="34"/>
        </w:numPr>
        <w:tabs>
          <w:tab w:val="left" w:pos="1881"/>
        </w:tabs>
        <w:spacing w:before="1" w:line="276" w:lineRule="auto"/>
        <w:ind w:left="1576" w:right="133" w:firstLine="0"/>
        <w:rPr>
          <w:rFonts w:ascii="Times New Roman" w:hAnsi="Times New Roman" w:cs="Times New Roman"/>
          <w:szCs w:val="22"/>
        </w:rPr>
      </w:pPr>
      <w:r w:rsidRPr="00731F8E">
        <w:rPr>
          <w:rFonts w:ascii="Times New Roman" w:hAnsi="Times New Roman" w:cs="Times New Roman"/>
          <w:szCs w:val="22"/>
        </w:rPr>
        <w:t>The lost energy in the electricity storage unit installed within the storage electricity generation facility and the electricity storage unit integrated into the generation facility is not covered by any incentive or purchase guarantee given for the energy produced by the relevant generation facility. No fee shall be paid for the lost energy within this scope.</w:t>
      </w:r>
    </w:p>
    <w:p w14:paraId="7DFF0CF2" w14:textId="77777777" w:rsidR="004C0A79" w:rsidRPr="00731F8E" w:rsidRDefault="004C0A79" w:rsidP="00A86526">
      <w:pPr>
        <w:pStyle w:val="P68B1DB1-ListParagraph3"/>
        <w:numPr>
          <w:ilvl w:val="0"/>
          <w:numId w:val="34"/>
        </w:numPr>
        <w:tabs>
          <w:tab w:val="left" w:pos="1881"/>
        </w:tabs>
        <w:spacing w:line="276" w:lineRule="auto"/>
        <w:ind w:left="1576" w:right="133" w:firstLine="0"/>
        <w:rPr>
          <w:rFonts w:ascii="Times New Roman" w:hAnsi="Times New Roman" w:cs="Times New Roman"/>
          <w:szCs w:val="22"/>
        </w:rPr>
      </w:pPr>
      <w:r w:rsidRPr="00731F8E">
        <w:rPr>
          <w:rFonts w:ascii="Times New Roman" w:hAnsi="Times New Roman" w:cs="Times New Roman"/>
          <w:szCs w:val="22"/>
        </w:rPr>
        <w:t>The electricity storage unit established within the storage electricity generation facility and the electricity storage unit integrated into the generation facility are recorded as a separate settlement aggregation unit."</w:t>
      </w:r>
    </w:p>
    <w:p w14:paraId="3CA09301" w14:textId="77777777" w:rsidR="004C0A79" w:rsidRPr="00731F8E" w:rsidRDefault="004C0A79" w:rsidP="004C0A79">
      <w:pPr>
        <w:pStyle w:val="GvdeMetni"/>
        <w:spacing w:line="276" w:lineRule="auto"/>
        <w:ind w:left="1576" w:right="133"/>
        <w:rPr>
          <w:rFonts w:cs="Times New Roman"/>
          <w:szCs w:val="22"/>
        </w:rPr>
      </w:pPr>
      <w:r w:rsidRPr="00731F8E">
        <w:rPr>
          <w:rFonts w:cs="Times New Roman"/>
          <w:szCs w:val="22"/>
        </w:rPr>
        <w:t>"(7) The amount of energy to be provided to the system on the basis of the settlement period by the generation facilities where the storage electricity generation facilities and the integrated electricity storage unit are located shall not exceed the amount of production that the generation facility can make with the electrical installed power specified in the license."</w:t>
      </w:r>
    </w:p>
    <w:p w14:paraId="77346733"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"(8) The connection of the electricity storage unit within the storage electricity generation facility and the electricity storage unit integrated into the generation facility shall be made according to the connection method given in ANNEX-1.</w:t>
      </w:r>
    </w:p>
    <w:p w14:paraId="30680790" w14:textId="77777777" w:rsidR="004C0A79" w:rsidRPr="00731F8E" w:rsidRDefault="004C0A79" w:rsidP="00A86526">
      <w:pPr>
        <w:pStyle w:val="P68B1DB1-ListParagraph3"/>
        <w:numPr>
          <w:ilvl w:val="0"/>
          <w:numId w:val="31"/>
        </w:numPr>
        <w:tabs>
          <w:tab w:val="left" w:pos="1916"/>
        </w:tabs>
        <w:spacing w:line="276" w:lineRule="auto"/>
        <w:ind w:left="1575" w:right="131" w:firstLine="0"/>
        <w:rPr>
          <w:rFonts w:ascii="Times New Roman" w:hAnsi="Times New Roman" w:cs="Times New Roman"/>
          <w:szCs w:val="22"/>
        </w:rPr>
      </w:pPr>
      <w:r w:rsidRPr="00731F8E">
        <w:rPr>
          <w:rFonts w:ascii="Times New Roman" w:hAnsi="Times New Roman" w:cs="Times New Roman"/>
          <w:szCs w:val="22"/>
        </w:rPr>
        <w:t>The electrical energy generated in storage electricity generation facilities must be supplied to the transmission or distribution system through the electricity storage unit. If storage electricity generation facilities are established according to the connection type defined in the eighth paragraph, the energy given to the system is considered to be given to the system through the electricity storage unit.</w:t>
      </w:r>
    </w:p>
    <w:p w14:paraId="21F6F8DB" w14:textId="77777777" w:rsidR="004C0A79" w:rsidRPr="00731F8E" w:rsidRDefault="004C0A79" w:rsidP="004C0A79">
      <w:pPr>
        <w:pStyle w:val="GvdeMetni"/>
        <w:spacing w:before="37" w:line="276" w:lineRule="auto"/>
        <w:ind w:left="1576" w:right="135"/>
        <w:rPr>
          <w:rFonts w:cs="Times New Roman"/>
          <w:szCs w:val="22"/>
        </w:rPr>
      </w:pPr>
      <w:r w:rsidRPr="00731F8E">
        <w:rPr>
          <w:rFonts w:cs="Times New Roman"/>
          <w:szCs w:val="22"/>
        </w:rPr>
        <w:t>It is mandatory for the relevant network operator to take all necessary measures to ensure the implementation of the provisions of this paragraph regarding connection configurations, measurement and monitoring of operational status.</w:t>
      </w:r>
    </w:p>
    <w:p w14:paraId="1AB59F5C" w14:textId="77777777" w:rsidR="004C0A79" w:rsidRPr="00731F8E" w:rsidRDefault="004C0A79" w:rsidP="00A86526">
      <w:pPr>
        <w:pStyle w:val="P68B1DB1-ListParagraph3"/>
        <w:numPr>
          <w:ilvl w:val="0"/>
          <w:numId w:val="31"/>
        </w:numPr>
        <w:tabs>
          <w:tab w:val="left" w:pos="2011"/>
        </w:tabs>
        <w:spacing w:line="276" w:lineRule="auto"/>
        <w:ind w:left="1575" w:right="133" w:firstLine="0"/>
        <w:rPr>
          <w:rFonts w:ascii="Times New Roman" w:hAnsi="Times New Roman" w:cs="Times New Roman"/>
          <w:szCs w:val="22"/>
        </w:rPr>
      </w:pPr>
      <w:r w:rsidRPr="00731F8E">
        <w:rPr>
          <w:rFonts w:ascii="Times New Roman" w:hAnsi="Times New Roman" w:cs="Times New Roman"/>
          <w:szCs w:val="22"/>
        </w:rPr>
        <w:t>Among the electricity storage units established within the scope of this article; those who meet the necessary conditions in accordance with the relevant legislation can participate in ancillary services, and those who have the qualification of balancing unit can participate in the balancing power market.</w:t>
      </w:r>
    </w:p>
    <w:p w14:paraId="44AF4FEF" w14:textId="77777777" w:rsidR="004C0A79" w:rsidRPr="00731F8E" w:rsidRDefault="004C0A79" w:rsidP="00A86526">
      <w:pPr>
        <w:pStyle w:val="P68B1DB1-ListParagraph3"/>
        <w:numPr>
          <w:ilvl w:val="0"/>
          <w:numId w:val="31"/>
        </w:numPr>
        <w:tabs>
          <w:tab w:val="left" w:pos="1970"/>
        </w:tabs>
        <w:spacing w:line="276" w:lineRule="auto"/>
        <w:ind w:left="1575" w:right="130" w:firstLine="0"/>
        <w:rPr>
          <w:rFonts w:ascii="Times New Roman" w:hAnsi="Times New Roman" w:cs="Times New Roman"/>
          <w:szCs w:val="22"/>
        </w:rPr>
      </w:pPr>
      <w:r w:rsidRPr="00731F8E">
        <w:rPr>
          <w:rFonts w:ascii="Times New Roman" w:hAnsi="Times New Roman" w:cs="Times New Roman"/>
          <w:szCs w:val="22"/>
        </w:rPr>
        <w:t>Without prejudice to the special regulations for the electricity storage unit established within the storage electricity generation facility, the provisions within the scope of this article shall apply. "</w:t>
      </w:r>
    </w:p>
    <w:p w14:paraId="149A508E" w14:textId="77777777" w:rsidR="004C0A79" w:rsidRPr="00731F8E" w:rsidRDefault="004C0A79" w:rsidP="004C0A79">
      <w:pPr>
        <w:pStyle w:val="GvdeMetni"/>
        <w:spacing w:before="40"/>
        <w:rPr>
          <w:rFonts w:cs="Times New Roman"/>
          <w:szCs w:val="22"/>
        </w:rPr>
      </w:pPr>
    </w:p>
    <w:p w14:paraId="7F110B0F" w14:textId="77777777" w:rsidR="004C0A79" w:rsidRPr="00731F8E" w:rsidRDefault="004C0A79" w:rsidP="00A86526">
      <w:pPr>
        <w:pStyle w:val="ListeParagraf"/>
        <w:widowControl w:val="0"/>
        <w:numPr>
          <w:ilvl w:val="1"/>
          <w:numId w:val="32"/>
        </w:numPr>
        <w:tabs>
          <w:tab w:val="left" w:pos="1575"/>
        </w:tabs>
        <w:autoSpaceDE w:val="0"/>
        <w:autoSpaceDN w:val="0"/>
        <w:spacing w:before="1" w:after="0" w:line="240" w:lineRule="auto"/>
        <w:ind w:left="1575"/>
        <w:contextualSpacing w:val="0"/>
        <w:jc w:val="left"/>
        <w:rPr>
          <w:rFonts w:ascii="Times New Roman" w:hAnsi="Times New Roman"/>
        </w:rPr>
      </w:pPr>
      <w:r w:rsidRPr="00731F8E">
        <w:rPr>
          <w:rFonts w:ascii="Times New Roman" w:hAnsi="Times New Roman"/>
        </w:rPr>
        <w:t>The second paragraph of Article 6 has been repealed.</w:t>
      </w:r>
    </w:p>
    <w:p w14:paraId="4BE2367C" w14:textId="77777777" w:rsidR="004C0A79" w:rsidRPr="00731F8E" w:rsidRDefault="004C0A79" w:rsidP="00A86526">
      <w:pPr>
        <w:pStyle w:val="ListeParagraf"/>
        <w:widowControl w:val="0"/>
        <w:numPr>
          <w:ilvl w:val="1"/>
          <w:numId w:val="32"/>
        </w:numPr>
        <w:tabs>
          <w:tab w:val="left" w:pos="1575"/>
        </w:tabs>
        <w:autoSpaceDE w:val="0"/>
        <w:autoSpaceDN w:val="0"/>
        <w:spacing w:before="41" w:after="0" w:line="273" w:lineRule="auto"/>
        <w:ind w:left="1575" w:right="134"/>
        <w:contextualSpacing w:val="0"/>
        <w:jc w:val="left"/>
        <w:rPr>
          <w:rFonts w:ascii="Times New Roman" w:hAnsi="Times New Roman"/>
        </w:rPr>
      </w:pPr>
      <w:r w:rsidRPr="00731F8E">
        <w:rPr>
          <w:rFonts w:ascii="Times New Roman" w:hAnsi="Times New Roman"/>
        </w:rPr>
        <w:t>The title of Article 8 has been changed to "Electricity storage facilities established by network operators".</w:t>
      </w:r>
    </w:p>
    <w:p w14:paraId="40510C96" w14:textId="77777777" w:rsidR="004C0A79" w:rsidRPr="00731F8E" w:rsidRDefault="004C0A79" w:rsidP="00A86526">
      <w:pPr>
        <w:pStyle w:val="ListeParagraf"/>
        <w:widowControl w:val="0"/>
        <w:numPr>
          <w:ilvl w:val="1"/>
          <w:numId w:val="32"/>
        </w:numPr>
        <w:tabs>
          <w:tab w:val="left" w:pos="1575"/>
        </w:tabs>
        <w:autoSpaceDE w:val="0"/>
        <w:autoSpaceDN w:val="0"/>
        <w:spacing w:before="4" w:after="0" w:line="240" w:lineRule="auto"/>
        <w:ind w:left="1575"/>
        <w:contextualSpacing w:val="0"/>
        <w:jc w:val="left"/>
        <w:rPr>
          <w:rFonts w:ascii="Times New Roman" w:hAnsi="Times New Roman"/>
        </w:rPr>
      </w:pPr>
      <w:r w:rsidRPr="00731F8E">
        <w:rPr>
          <w:rFonts w:ascii="Times New Roman" w:hAnsi="Times New Roman"/>
        </w:rPr>
        <w:t>Article 10 has been repealed.</w:t>
      </w:r>
    </w:p>
    <w:p w14:paraId="005CB2A8" w14:textId="77777777" w:rsidR="004C0A79" w:rsidRPr="00731F8E" w:rsidRDefault="004C0A79" w:rsidP="00A86526">
      <w:pPr>
        <w:pStyle w:val="ListeParagraf"/>
        <w:widowControl w:val="0"/>
        <w:numPr>
          <w:ilvl w:val="1"/>
          <w:numId w:val="32"/>
        </w:numPr>
        <w:tabs>
          <w:tab w:val="left" w:pos="1575"/>
        </w:tabs>
        <w:autoSpaceDE w:val="0"/>
        <w:autoSpaceDN w:val="0"/>
        <w:spacing w:before="41" w:after="0" w:line="240" w:lineRule="auto"/>
        <w:ind w:left="1575"/>
        <w:contextualSpacing w:val="0"/>
        <w:jc w:val="left"/>
        <w:rPr>
          <w:rFonts w:ascii="Times New Roman" w:hAnsi="Times New Roman"/>
        </w:rPr>
      </w:pPr>
      <w:r w:rsidRPr="00731F8E">
        <w:rPr>
          <w:rFonts w:ascii="Times New Roman" w:hAnsi="Times New Roman"/>
        </w:rPr>
        <w:t>ANNEX-1 in the annex has been added.</w:t>
      </w:r>
    </w:p>
    <w:p w14:paraId="7F3E9A8A" w14:textId="77777777" w:rsidR="004C0A79" w:rsidRPr="00731F8E" w:rsidRDefault="004C0A79" w:rsidP="004C0A79">
      <w:pPr>
        <w:pStyle w:val="GvdeMetni"/>
        <w:spacing w:before="80"/>
        <w:rPr>
          <w:rFonts w:cs="Times New Roman"/>
          <w:i/>
          <w:szCs w:val="22"/>
        </w:rPr>
      </w:pPr>
    </w:p>
    <w:p w14:paraId="1FBB933A" w14:textId="77777777" w:rsidR="004C0A79" w:rsidRPr="00731F8E" w:rsidRDefault="004C0A79" w:rsidP="00A86526">
      <w:pPr>
        <w:pStyle w:val="ListeParagraf"/>
        <w:widowControl w:val="0"/>
        <w:numPr>
          <w:ilvl w:val="0"/>
          <w:numId w:val="32"/>
        </w:numPr>
        <w:tabs>
          <w:tab w:val="left" w:pos="855"/>
        </w:tabs>
        <w:autoSpaceDE w:val="0"/>
        <w:autoSpaceDN w:val="0"/>
        <w:spacing w:after="0" w:line="240" w:lineRule="auto"/>
        <w:ind w:hanging="360"/>
        <w:contextualSpacing w:val="0"/>
        <w:jc w:val="left"/>
        <w:rPr>
          <w:rFonts w:ascii="Times New Roman" w:hAnsi="Times New Roman"/>
        </w:rPr>
      </w:pPr>
      <w:r w:rsidRPr="00731F8E">
        <w:rPr>
          <w:rFonts w:ascii="Times New Roman" w:hAnsi="Times New Roman"/>
        </w:rPr>
        <w:t>•With the Amendment Regulation published in the Official Gazette dated 19.11.2022 and numbered 32018, the following paragraph was added to Article 29 of the Electricity Network Regulation.</w:t>
      </w:r>
    </w:p>
    <w:p w14:paraId="7A0BD9EE" w14:textId="77777777" w:rsidR="004C0A79" w:rsidRPr="00731F8E" w:rsidRDefault="004C0A79" w:rsidP="004C0A79">
      <w:pPr>
        <w:pStyle w:val="GvdeMetni"/>
        <w:spacing w:before="79"/>
        <w:rPr>
          <w:rFonts w:cs="Times New Roman"/>
          <w:i/>
          <w:szCs w:val="22"/>
        </w:rPr>
      </w:pPr>
    </w:p>
    <w:p w14:paraId="33B472B4"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 xml:space="preserve">“(11) Legal entities holding a distribution license shall provide the MW and MVAr information given to and withdrawn from the network by the electricity storage unit integrated to the generation facility, independent electricity storage facilities and storage electricity generation facilities connected to the </w:t>
      </w:r>
      <w:r w:rsidRPr="00731F8E">
        <w:rPr>
          <w:rFonts w:cs="Times New Roman"/>
          <w:szCs w:val="22"/>
        </w:rPr>
        <w:lastRenderedPageBreak/>
        <w:t>distribution system for which they are responsible at the MV voltage level, and information regarding the connection points and other information requested by TEİAŞ, including the generation source, to the TEİAŞ SCADA system through the SCADA control center belonging to the legal entity holding the relevant distribution license. The said facility owner legal entities are obliged to establish the necessary systems for this purpose and to connect to the SCADA control center of the relevant distribution license holder legal entity by providing the necessary communication link. The works to be carried out by the SCADA control center regarding the other equipment that will be needed for this purpose other than the communication link are under the responsibility of the relevant distribution license holder legal entity."</w:t>
      </w:r>
    </w:p>
    <w:p w14:paraId="2CA124F4" w14:textId="77777777" w:rsidR="004C0A79" w:rsidRPr="00731F8E" w:rsidRDefault="004C0A79" w:rsidP="004C0A79">
      <w:pPr>
        <w:pStyle w:val="GvdeMetni"/>
        <w:spacing w:before="40"/>
        <w:rPr>
          <w:rFonts w:cs="Times New Roman"/>
          <w:szCs w:val="22"/>
        </w:rPr>
      </w:pPr>
    </w:p>
    <w:p w14:paraId="3D137C02" w14:textId="77777777" w:rsidR="004C0A79" w:rsidRPr="00731F8E" w:rsidRDefault="004C0A79" w:rsidP="00A86526">
      <w:pPr>
        <w:pStyle w:val="ListeParagraf"/>
        <w:widowControl w:val="0"/>
        <w:numPr>
          <w:ilvl w:val="0"/>
          <w:numId w:val="32"/>
        </w:numPr>
        <w:tabs>
          <w:tab w:val="left" w:pos="853"/>
          <w:tab w:val="left" w:pos="855"/>
        </w:tabs>
        <w:autoSpaceDE w:val="0"/>
        <w:autoSpaceDN w:val="0"/>
        <w:spacing w:after="0"/>
        <w:ind w:right="131"/>
        <w:contextualSpacing w:val="0"/>
        <w:rPr>
          <w:rFonts w:ascii="Times New Roman" w:hAnsi="Times New Roman"/>
          <w:b/>
        </w:rPr>
      </w:pPr>
      <w:r w:rsidRPr="00731F8E">
        <w:rPr>
          <w:rFonts w:ascii="Times New Roman" w:hAnsi="Times New Roman"/>
        </w:rPr>
        <w:t xml:space="preserve">With the Amendment Regulation published in the Official Gazette dated 19.11.2022 and numbered 32018, the phrase "7th and" has been added after the phrase "Electricity Market Law No. 6446" in the 2nd </w:t>
      </w:r>
      <w:r w:rsidRPr="00731F8E">
        <w:rPr>
          <w:rFonts w:ascii="Times New Roman" w:hAnsi="Times New Roman"/>
          <w:b/>
        </w:rPr>
        <w:t>article of the Regulation on the Certification and Support of Renewable Energy Resources</w:t>
      </w:r>
      <w:r w:rsidRPr="00731F8E">
        <w:rPr>
          <w:rFonts w:ascii="Times New Roman" w:hAnsi="Times New Roman"/>
        </w:rPr>
        <w:t>.</w:t>
      </w:r>
    </w:p>
    <w:p w14:paraId="2F892AA0" w14:textId="77777777" w:rsidR="004C0A79" w:rsidRPr="00731F8E" w:rsidRDefault="004C0A79" w:rsidP="004C0A79">
      <w:pPr>
        <w:pStyle w:val="GvdeMetni"/>
        <w:spacing w:before="40"/>
        <w:rPr>
          <w:rFonts w:cs="Times New Roman"/>
          <w:i/>
          <w:szCs w:val="22"/>
        </w:rPr>
      </w:pPr>
    </w:p>
    <w:p w14:paraId="3C35040F" w14:textId="77777777" w:rsidR="004C0A79" w:rsidRPr="00731F8E" w:rsidRDefault="004C0A79" w:rsidP="00A86526">
      <w:pPr>
        <w:pStyle w:val="ListeParagraf"/>
        <w:widowControl w:val="0"/>
        <w:numPr>
          <w:ilvl w:val="1"/>
          <w:numId w:val="32"/>
        </w:numPr>
        <w:tabs>
          <w:tab w:val="left" w:pos="1575"/>
        </w:tabs>
        <w:autoSpaceDE w:val="0"/>
        <w:autoSpaceDN w:val="0"/>
        <w:spacing w:before="1" w:after="0" w:line="240" w:lineRule="auto"/>
        <w:ind w:left="1575"/>
        <w:contextualSpacing w:val="0"/>
        <w:jc w:val="left"/>
        <w:rPr>
          <w:rFonts w:ascii="Times New Roman" w:hAnsi="Times New Roman"/>
        </w:rPr>
      </w:pPr>
      <w:r w:rsidRPr="00731F8E">
        <w:rPr>
          <w:rFonts w:ascii="Times New Roman" w:hAnsi="Times New Roman"/>
        </w:rPr>
        <w:t>The following clause has been added to the first paragraph of Article 3.</w:t>
      </w:r>
    </w:p>
    <w:p w14:paraId="58E9754F" w14:textId="77777777" w:rsidR="004C0A79" w:rsidRPr="00731F8E" w:rsidRDefault="004C0A79" w:rsidP="004C0A79">
      <w:pPr>
        <w:pStyle w:val="GvdeMetni"/>
        <w:spacing w:before="41" w:line="276" w:lineRule="auto"/>
        <w:ind w:left="1575" w:right="134"/>
        <w:rPr>
          <w:rFonts w:cs="Times New Roman"/>
          <w:szCs w:val="22"/>
        </w:rPr>
      </w:pPr>
      <w:r w:rsidRPr="00731F8E">
        <w:rPr>
          <w:rFonts w:cs="Times New Roman"/>
          <w:szCs w:val="22"/>
        </w:rPr>
        <w:t>"ee) Storage electricity generation facility: The generation facility established within the scope of the tenth and eleventh paragraphs of Article 7 of the Law,”</w:t>
      </w:r>
    </w:p>
    <w:p w14:paraId="0F464AF1" w14:textId="77777777" w:rsidR="004C0A79" w:rsidRPr="00731F8E" w:rsidRDefault="004C0A79" w:rsidP="00A86526">
      <w:pPr>
        <w:pStyle w:val="Balk2"/>
        <w:keepNext w:val="0"/>
        <w:keepLines w:val="0"/>
        <w:widowControl w:val="0"/>
        <w:numPr>
          <w:ilvl w:val="1"/>
          <w:numId w:val="32"/>
        </w:numPr>
        <w:tabs>
          <w:tab w:val="left" w:pos="1575"/>
        </w:tabs>
        <w:autoSpaceDE w:val="0"/>
        <w:autoSpaceDN w:val="0"/>
        <w:spacing w:before="77" w:after="0"/>
        <w:ind w:left="1575" w:right="134"/>
        <w:rPr>
          <w:rFonts w:ascii="Times New Roman" w:hAnsi="Times New Roman" w:cs="Times New Roman"/>
          <w:szCs w:val="22"/>
        </w:rPr>
      </w:pPr>
      <w:r w:rsidRPr="00731F8E">
        <w:rPr>
          <w:rFonts w:ascii="Times New Roman" w:hAnsi="Times New Roman" w:cs="Times New Roman"/>
          <w:szCs w:val="22"/>
        </w:rPr>
        <w:t>The first paragraph of Article 8 has been amended as follows, the fifth paragraph has been repealed and the following paragraphs have been added to the same article.</w:t>
      </w:r>
    </w:p>
    <w:p w14:paraId="16B5C0F7" w14:textId="77777777" w:rsidR="004C0A79" w:rsidRPr="00731F8E" w:rsidRDefault="004C0A79" w:rsidP="004C0A79">
      <w:pPr>
        <w:pStyle w:val="GvdeMetni"/>
        <w:spacing w:line="276" w:lineRule="auto"/>
        <w:ind w:left="1575" w:right="132"/>
        <w:rPr>
          <w:rFonts w:cs="Times New Roman"/>
          <w:szCs w:val="22"/>
        </w:rPr>
      </w:pPr>
      <w:r w:rsidRPr="00731F8E">
        <w:rPr>
          <w:rFonts w:cs="Times New Roman"/>
          <w:szCs w:val="22"/>
        </w:rPr>
        <w:t>"(1) Legal entities holding generation licenses related to generation facilities established within the scope of the tenth paragraph of Article 7 of the Law and generation facilities that are based on renewable energy sources within the scope of this Regulation and have been or will be partially put into operation until the date determined by the Council of Ministers Decision dated 18/11/2013 and numbered 2013/5625;</w:t>
      </w:r>
    </w:p>
    <w:p w14:paraId="55B88D29" w14:textId="77777777" w:rsidR="004C0A79" w:rsidRPr="00731F8E" w:rsidRDefault="004C0A79" w:rsidP="00A86526">
      <w:pPr>
        <w:pStyle w:val="P68B1DB1-ListParagraph3"/>
        <w:numPr>
          <w:ilvl w:val="2"/>
          <w:numId w:val="32"/>
        </w:numPr>
        <w:tabs>
          <w:tab w:val="left" w:pos="1804"/>
        </w:tabs>
        <w:spacing w:line="267" w:lineRule="exact"/>
        <w:ind w:left="1804" w:hanging="229"/>
        <w:rPr>
          <w:rFonts w:ascii="Times New Roman" w:hAnsi="Times New Roman" w:cs="Times New Roman"/>
          <w:szCs w:val="22"/>
        </w:rPr>
      </w:pPr>
      <w:r w:rsidRPr="00731F8E">
        <w:rPr>
          <w:rFonts w:ascii="Times New Roman" w:hAnsi="Times New Roman" w:cs="Times New Roman"/>
          <w:szCs w:val="22"/>
        </w:rPr>
        <w:t>All will be accepted from the date of entry into operation,</w:t>
      </w:r>
    </w:p>
    <w:p w14:paraId="240C3809" w14:textId="77777777" w:rsidR="004C0A79" w:rsidRPr="00731F8E" w:rsidRDefault="004C0A79" w:rsidP="00A86526">
      <w:pPr>
        <w:pStyle w:val="P68B1DB1-ListParagraph3"/>
        <w:numPr>
          <w:ilvl w:val="2"/>
          <w:numId w:val="32"/>
        </w:numPr>
        <w:tabs>
          <w:tab w:val="left" w:pos="1837"/>
        </w:tabs>
        <w:spacing w:before="41" w:line="276" w:lineRule="auto"/>
        <w:ind w:left="1575" w:right="132" w:firstLine="0"/>
        <w:rPr>
          <w:rFonts w:ascii="Times New Roman" w:hAnsi="Times New Roman" w:cs="Times New Roman"/>
          <w:szCs w:val="22"/>
        </w:rPr>
      </w:pPr>
      <w:r w:rsidRPr="00731F8E">
        <w:rPr>
          <w:rFonts w:ascii="Times New Roman" w:hAnsi="Times New Roman" w:cs="Times New Roman"/>
          <w:szCs w:val="22"/>
        </w:rPr>
        <w:t>If all of them participate in YEKDEM before entering into operation, they can benefit from YEKDEM for ten years from the date of their first participation in YEKDEM. Within the scope of the Presidential Decision dated 17/9/2020 and numbered 2949, the generation facilities that will be partially or completely put into operation from 1/1/2021 to 30/6/2021 can benefit from YEKDEM until 31/12/2030. Except for the capacity increases made within the scope of the eleventh paragraph of Article 7 of the Law, legal entities whose installed power increase requests are approved by the Authority as of 28/2/2019 and whose license modifications are carried out within this scope cannot benefit from YEKDEM for the said installed power increase. However, capacity increases within the scope of the eleventh paragraph of Article 7 of the Law shall benefit from YEKDEM during the remaining YEKDEM period of the said generation facility."</w:t>
      </w:r>
    </w:p>
    <w:p w14:paraId="03CE7875" w14:textId="77777777" w:rsidR="004C0A79" w:rsidRPr="00731F8E" w:rsidRDefault="004C0A79" w:rsidP="004C0A79">
      <w:pPr>
        <w:pStyle w:val="GvdeMetni"/>
        <w:spacing w:line="276" w:lineRule="auto"/>
        <w:ind w:left="1575" w:right="133"/>
        <w:rPr>
          <w:rFonts w:cs="Times New Roman"/>
          <w:szCs w:val="22"/>
        </w:rPr>
      </w:pPr>
      <w:r w:rsidRPr="00731F8E">
        <w:rPr>
          <w:rFonts w:cs="Times New Roman"/>
          <w:szCs w:val="22"/>
        </w:rPr>
        <w:t>"(7) Regarding the settlement amount of the electricity storage unit established within the storage electricity generation facility and the electricity storage unit integrated into the generation facility within the scope of YEKDEM;</w:t>
      </w:r>
    </w:p>
    <w:p w14:paraId="22EFC30C" w14:textId="77777777" w:rsidR="004C0A79" w:rsidRPr="00731F8E" w:rsidRDefault="004C0A79" w:rsidP="00A86526">
      <w:pPr>
        <w:pStyle w:val="P68B1DB1-ListParagraph3"/>
        <w:numPr>
          <w:ilvl w:val="0"/>
          <w:numId w:val="30"/>
        </w:numPr>
        <w:tabs>
          <w:tab w:val="left" w:pos="1804"/>
        </w:tabs>
        <w:spacing w:line="276" w:lineRule="auto"/>
        <w:ind w:right="135" w:firstLine="0"/>
        <w:rPr>
          <w:rFonts w:ascii="Times New Roman" w:hAnsi="Times New Roman" w:cs="Times New Roman"/>
          <w:szCs w:val="22"/>
        </w:rPr>
      </w:pPr>
      <w:r w:rsidRPr="00731F8E">
        <w:rPr>
          <w:rFonts w:ascii="Times New Roman" w:hAnsi="Times New Roman" w:cs="Times New Roman"/>
          <w:szCs w:val="22"/>
        </w:rPr>
        <w:t>The energy given to the network after it is produced and stored in the generation facility is within the scope of YEKDEM,</w:t>
      </w:r>
    </w:p>
    <w:p w14:paraId="631A7315" w14:textId="77777777" w:rsidR="004C0A79" w:rsidRPr="00731F8E" w:rsidRDefault="004C0A79" w:rsidP="00A86526">
      <w:pPr>
        <w:pStyle w:val="P68B1DB1-ListParagraph3"/>
        <w:numPr>
          <w:ilvl w:val="0"/>
          <w:numId w:val="30"/>
        </w:numPr>
        <w:tabs>
          <w:tab w:val="left" w:pos="1824"/>
        </w:tabs>
        <w:spacing w:line="276" w:lineRule="auto"/>
        <w:ind w:right="131" w:firstLine="0"/>
        <w:rPr>
          <w:rFonts w:ascii="Times New Roman" w:hAnsi="Times New Roman" w:cs="Times New Roman"/>
          <w:szCs w:val="22"/>
        </w:rPr>
      </w:pPr>
      <w:r w:rsidRPr="00731F8E">
        <w:rPr>
          <w:rFonts w:ascii="Times New Roman" w:hAnsi="Times New Roman" w:cs="Times New Roman"/>
          <w:szCs w:val="22"/>
        </w:rPr>
        <w:t>In the event that energy is withdrawn from the electricity storage unit established within the storage electricity generation facility and the electricity storage unit integrated into the generation facility within the scope of YEKDEM during any settlement period, the said energy is primarily withdrawn from the grid and the amount of energy withdrawn from the grid is given from the electricity storage unit without being subject to YEKDEM,</w:t>
      </w:r>
    </w:p>
    <w:p w14:paraId="08BDD0A9" w14:textId="77777777" w:rsidR="004C0A79" w:rsidRPr="00731F8E" w:rsidRDefault="004C0A79" w:rsidP="00A86526">
      <w:pPr>
        <w:pStyle w:val="P68B1DB1-ListParagraph3"/>
        <w:numPr>
          <w:ilvl w:val="0"/>
          <w:numId w:val="30"/>
        </w:numPr>
        <w:tabs>
          <w:tab w:val="left" w:pos="1845"/>
        </w:tabs>
        <w:spacing w:line="276" w:lineRule="auto"/>
        <w:ind w:right="131" w:firstLine="0"/>
        <w:rPr>
          <w:rFonts w:ascii="Times New Roman" w:hAnsi="Times New Roman" w:cs="Times New Roman"/>
          <w:szCs w:val="22"/>
        </w:rPr>
      </w:pPr>
      <w:r w:rsidRPr="00731F8E">
        <w:rPr>
          <w:rFonts w:ascii="Times New Roman" w:hAnsi="Times New Roman" w:cs="Times New Roman"/>
          <w:szCs w:val="22"/>
        </w:rPr>
        <w:lastRenderedPageBreak/>
        <w:t>The energy given from the electricity storage unit to the grid in excess of the amount withdrawn from the grid within the scope of clause (b) is within the scope of YEKDEM,</w:t>
      </w:r>
    </w:p>
    <w:p w14:paraId="74FAA9AD" w14:textId="77777777" w:rsidR="004C0A79" w:rsidRPr="00731F8E" w:rsidRDefault="004C0A79" w:rsidP="00A86526">
      <w:pPr>
        <w:pStyle w:val="P68B1DB1-ListParagraph3"/>
        <w:numPr>
          <w:ilvl w:val="0"/>
          <w:numId w:val="29"/>
        </w:numPr>
        <w:tabs>
          <w:tab w:val="left" w:pos="1952"/>
        </w:tabs>
        <w:spacing w:before="38" w:line="276" w:lineRule="auto"/>
        <w:ind w:right="132" w:firstLine="0"/>
        <w:rPr>
          <w:rFonts w:ascii="Times New Roman" w:hAnsi="Times New Roman" w:cs="Times New Roman"/>
          <w:szCs w:val="22"/>
        </w:rPr>
      </w:pPr>
      <w:r w:rsidRPr="00731F8E">
        <w:rPr>
          <w:rFonts w:ascii="Times New Roman" w:hAnsi="Times New Roman" w:cs="Times New Roman"/>
          <w:szCs w:val="22"/>
        </w:rPr>
        <w:t>In the generation facilities where there is an integrated electricity storage unit to the storage electricity generation facility and the generation facility within the scope of YEKDEM; in the event that more energy is given to the network than the electricity that the generation facility can produce with its electrical installed power, the said energy is primarily deducted from the settlement amount of the relevant generation facility.</w:t>
      </w:r>
    </w:p>
    <w:p w14:paraId="4F4C3A39" w14:textId="77777777" w:rsidR="004C0A79" w:rsidRPr="00731F8E" w:rsidRDefault="004C0A79" w:rsidP="00A86526">
      <w:pPr>
        <w:pStyle w:val="P68B1DB1-ListParagraph3"/>
        <w:numPr>
          <w:ilvl w:val="0"/>
          <w:numId w:val="29"/>
        </w:numPr>
        <w:tabs>
          <w:tab w:val="left" w:pos="1911"/>
        </w:tabs>
        <w:spacing w:before="1" w:line="276" w:lineRule="auto"/>
        <w:ind w:right="135" w:firstLine="0"/>
        <w:rPr>
          <w:rFonts w:ascii="Times New Roman" w:hAnsi="Times New Roman" w:cs="Times New Roman"/>
          <w:szCs w:val="22"/>
        </w:rPr>
      </w:pPr>
      <w:r w:rsidRPr="00731F8E">
        <w:rPr>
          <w:rFonts w:ascii="Times New Roman" w:hAnsi="Times New Roman" w:cs="Times New Roman"/>
          <w:szCs w:val="22"/>
        </w:rPr>
        <w:t>The energy provided to the system from the storage electricity generation facilities within the scope of the eighth paragraph of Article 27 of the Electricity Market License Regulation published in the Official Gazette dated 2/11/2013 and numbered 28809 is not taken into account in the reconciliation calculations."</w:t>
      </w:r>
    </w:p>
    <w:p w14:paraId="3A627799" w14:textId="77777777" w:rsidR="004C0A79" w:rsidRPr="00731F8E" w:rsidRDefault="004C0A79" w:rsidP="004C0A79">
      <w:pPr>
        <w:pStyle w:val="GvdeMetni"/>
        <w:spacing w:before="39"/>
        <w:rPr>
          <w:rFonts w:cs="Times New Roman"/>
          <w:szCs w:val="22"/>
        </w:rPr>
      </w:pPr>
    </w:p>
    <w:p w14:paraId="6E92E8B8" w14:textId="77777777" w:rsidR="004C0A79" w:rsidRPr="00731F8E" w:rsidRDefault="004C0A79" w:rsidP="00A86526">
      <w:pPr>
        <w:pStyle w:val="ListeParagraf"/>
        <w:widowControl w:val="0"/>
        <w:numPr>
          <w:ilvl w:val="1"/>
          <w:numId w:val="32"/>
        </w:numPr>
        <w:tabs>
          <w:tab w:val="left" w:pos="1575"/>
        </w:tabs>
        <w:autoSpaceDE w:val="0"/>
        <w:autoSpaceDN w:val="0"/>
        <w:spacing w:before="1" w:after="0"/>
        <w:ind w:left="1575" w:right="133"/>
        <w:contextualSpacing w:val="0"/>
        <w:rPr>
          <w:rFonts w:ascii="Times New Roman" w:hAnsi="Times New Roman"/>
        </w:rPr>
      </w:pPr>
      <w:r w:rsidRPr="00731F8E">
        <w:rPr>
          <w:rFonts w:ascii="Times New Roman" w:hAnsi="Times New Roman"/>
        </w:rPr>
        <w:t>The phrase "within the scope of YEKDEM</w:t>
      </w:r>
      <w:r w:rsidRPr="00731F8E">
        <w:rPr>
          <w:rFonts w:ascii="Times New Roman" w:hAnsi="Times New Roman"/>
          <w:i/>
        </w:rPr>
        <w:t xml:space="preserve">" has been added after the phrase "belonging to the settlement period" </w:t>
      </w:r>
      <w:r w:rsidRPr="00731F8E">
        <w:rPr>
          <w:rFonts w:ascii="Times New Roman" w:hAnsi="Times New Roman"/>
        </w:rPr>
        <w:t xml:space="preserve">in the definition of </w:t>
      </w:r>
      <w:r w:rsidRPr="00731F8E">
        <w:rPr>
          <w:rFonts w:ascii="Times New Roman" w:hAnsi="Times New Roman"/>
          <w:i/>
        </w:rPr>
        <w:t>"UEVMi, b, t,u</w:t>
      </w:r>
      <w:r w:rsidRPr="00731F8E">
        <w:rPr>
          <w:rFonts w:ascii="Times New Roman" w:hAnsi="Times New Roman"/>
        </w:rPr>
        <w:t xml:space="preserve"> </w:t>
      </w:r>
      <w:r w:rsidRPr="00731F8E">
        <w:rPr>
          <w:rFonts w:ascii="Times New Roman" w:hAnsi="Times New Roman"/>
          <w:i/>
        </w:rPr>
        <w:t xml:space="preserve">" </w:t>
      </w:r>
      <w:r w:rsidRPr="00731F8E">
        <w:rPr>
          <w:rFonts w:ascii="Times New Roman" w:hAnsi="Times New Roman"/>
        </w:rPr>
        <w:t>in the first paragraph of Article 12.</w:t>
      </w:r>
    </w:p>
    <w:p w14:paraId="14F6C745" w14:textId="77777777" w:rsidR="004C0A79" w:rsidRPr="00731F8E" w:rsidRDefault="004C0A79" w:rsidP="00A86526">
      <w:pPr>
        <w:pStyle w:val="ListeParagraf"/>
        <w:widowControl w:val="0"/>
        <w:numPr>
          <w:ilvl w:val="1"/>
          <w:numId w:val="32"/>
        </w:numPr>
        <w:tabs>
          <w:tab w:val="left" w:pos="1575"/>
        </w:tabs>
        <w:autoSpaceDE w:val="0"/>
        <w:autoSpaceDN w:val="0"/>
        <w:spacing w:before="66" w:after="0"/>
        <w:ind w:left="1575" w:right="131"/>
        <w:contextualSpacing w:val="0"/>
        <w:rPr>
          <w:rFonts w:ascii="Times New Roman" w:hAnsi="Times New Roman"/>
        </w:rPr>
      </w:pPr>
      <w:r w:rsidRPr="00731F8E">
        <w:rPr>
          <w:rFonts w:ascii="Times New Roman" w:hAnsi="Times New Roman"/>
        </w:rPr>
        <w:t>The phrase "within the scope of YEKDEM</w:t>
      </w:r>
      <w:r w:rsidRPr="00731F8E">
        <w:rPr>
          <w:rFonts w:ascii="Times New Roman" w:hAnsi="Times New Roman"/>
          <w:i/>
        </w:rPr>
        <w:t>" has been added after the phrase "</w:t>
      </w:r>
      <w:r w:rsidRPr="00731F8E">
        <w:rPr>
          <w:rFonts w:ascii="Times New Roman" w:hAnsi="Times New Roman"/>
        </w:rPr>
        <w:t xml:space="preserve">belonging to the settlement period" in the definitions of </w:t>
      </w:r>
      <w:r w:rsidRPr="00731F8E">
        <w:rPr>
          <w:rFonts w:ascii="Times New Roman" w:hAnsi="Times New Roman"/>
          <w:i/>
        </w:rPr>
        <w:t xml:space="preserve">"UEVMc,b,t,u" </w:t>
      </w:r>
      <w:r w:rsidRPr="00731F8E">
        <w:rPr>
          <w:rFonts w:ascii="Times New Roman" w:hAnsi="Times New Roman"/>
        </w:rPr>
        <w:t xml:space="preserve">in the second paragraph of Article 15 and </w:t>
      </w:r>
      <w:r w:rsidRPr="00731F8E">
        <w:rPr>
          <w:rFonts w:ascii="Times New Roman" w:hAnsi="Times New Roman"/>
          <w:i/>
        </w:rPr>
        <w:t>"UEVMi, b, t, u</w:t>
      </w:r>
      <w:r w:rsidRPr="00731F8E">
        <w:rPr>
          <w:rFonts w:ascii="Times New Roman" w:hAnsi="Times New Roman"/>
        </w:rPr>
        <w:t xml:space="preserve"> </w:t>
      </w:r>
      <w:r w:rsidRPr="00731F8E">
        <w:rPr>
          <w:rFonts w:ascii="Times New Roman" w:hAnsi="Times New Roman"/>
          <w:i/>
        </w:rPr>
        <w:t xml:space="preserve">" </w:t>
      </w:r>
      <w:r w:rsidRPr="00731F8E">
        <w:rPr>
          <w:rFonts w:ascii="Times New Roman" w:hAnsi="Times New Roman"/>
        </w:rPr>
        <w:t>in the fourth paragraph.</w:t>
      </w:r>
    </w:p>
    <w:p w14:paraId="5A474F3F" w14:textId="77777777" w:rsidR="004C0A79" w:rsidRPr="00731F8E" w:rsidRDefault="004C0A79" w:rsidP="004C0A79">
      <w:pPr>
        <w:pStyle w:val="GvdeMetni"/>
        <w:spacing w:before="41"/>
        <w:rPr>
          <w:rFonts w:cs="Times New Roman"/>
          <w:i/>
          <w:szCs w:val="22"/>
        </w:rPr>
      </w:pPr>
    </w:p>
    <w:p w14:paraId="7CB81207" w14:textId="77777777" w:rsidR="004C0A79" w:rsidRPr="00731F8E" w:rsidRDefault="004C0A79" w:rsidP="00A86526">
      <w:pPr>
        <w:pStyle w:val="ListeParagraf"/>
        <w:widowControl w:val="0"/>
        <w:numPr>
          <w:ilvl w:val="1"/>
          <w:numId w:val="32"/>
        </w:numPr>
        <w:tabs>
          <w:tab w:val="left" w:pos="1574"/>
          <w:tab w:val="left" w:pos="1576"/>
        </w:tabs>
        <w:autoSpaceDE w:val="0"/>
        <w:autoSpaceDN w:val="0"/>
        <w:spacing w:after="0"/>
        <w:ind w:right="133" w:hanging="361"/>
        <w:contextualSpacing w:val="0"/>
        <w:rPr>
          <w:rFonts w:ascii="Times New Roman" w:hAnsi="Times New Roman"/>
        </w:rPr>
      </w:pPr>
      <w:r w:rsidRPr="00731F8E">
        <w:rPr>
          <w:rFonts w:ascii="Times New Roman" w:hAnsi="Times New Roman"/>
        </w:rPr>
        <w:t>The phrase "within the scope of YEKDEM</w:t>
      </w:r>
      <w:r w:rsidRPr="00731F8E">
        <w:rPr>
          <w:rFonts w:ascii="Times New Roman" w:hAnsi="Times New Roman"/>
          <w:i/>
        </w:rPr>
        <w:t xml:space="preserve">" has been added after the phrase "belonging to the settlement period" </w:t>
      </w:r>
      <w:r w:rsidRPr="00731F8E">
        <w:rPr>
          <w:rFonts w:ascii="Times New Roman" w:hAnsi="Times New Roman"/>
        </w:rPr>
        <w:t xml:space="preserve">in the definition of </w:t>
      </w:r>
      <w:r w:rsidRPr="00731F8E">
        <w:rPr>
          <w:rFonts w:ascii="Times New Roman" w:hAnsi="Times New Roman"/>
          <w:i/>
        </w:rPr>
        <w:t xml:space="preserve">"UEVMi, b, t,u" </w:t>
      </w:r>
      <w:r w:rsidRPr="00731F8E">
        <w:rPr>
          <w:rFonts w:ascii="Times New Roman" w:hAnsi="Times New Roman"/>
        </w:rPr>
        <w:t>in the first paragraph of Article 12.</w:t>
      </w:r>
    </w:p>
    <w:p w14:paraId="3C989732" w14:textId="77777777" w:rsidR="004C0A79" w:rsidRPr="00731F8E" w:rsidRDefault="004C0A79" w:rsidP="004C0A79">
      <w:pPr>
        <w:pStyle w:val="GvdeMetni"/>
        <w:spacing w:before="41"/>
        <w:rPr>
          <w:rFonts w:cs="Times New Roman"/>
          <w:i/>
          <w:szCs w:val="22"/>
        </w:rPr>
      </w:pPr>
    </w:p>
    <w:p w14:paraId="44ED2E5C" w14:textId="77777777" w:rsidR="004C0A79" w:rsidRPr="00731F8E" w:rsidRDefault="004C0A79" w:rsidP="00A86526">
      <w:pPr>
        <w:pStyle w:val="ListeParagraf"/>
        <w:widowControl w:val="0"/>
        <w:numPr>
          <w:ilvl w:val="0"/>
          <w:numId w:val="32"/>
        </w:numPr>
        <w:tabs>
          <w:tab w:val="left" w:pos="856"/>
        </w:tabs>
        <w:autoSpaceDE w:val="0"/>
        <w:autoSpaceDN w:val="0"/>
        <w:spacing w:before="4" w:after="0"/>
        <w:ind w:left="1576" w:right="133" w:firstLine="0"/>
        <w:contextualSpacing w:val="0"/>
        <w:rPr>
          <w:rFonts w:ascii="Times New Roman" w:hAnsi="Times New Roman"/>
        </w:rPr>
      </w:pPr>
      <w:r w:rsidRPr="00731F8E">
        <w:rPr>
          <w:rFonts w:ascii="Times New Roman" w:hAnsi="Times New Roman"/>
        </w:rPr>
        <w:t xml:space="preserve">With the Amendment Regulation published in the Official Gazette dated 31.12.2022 and numbered 32060 (5th repeating), the phrase "3 (three) months" in the first paragraph of the Provisional Article 7 of the Unlicensed Electricity Production Regulation in the Electricity Market has been changed to "9 (nine) months" and the phrases "1/1/2023" in the second and third paragraphs of the same article have been changed to "1/7/2023". </w:t>
      </w:r>
    </w:p>
    <w:p w14:paraId="5A18470D" w14:textId="77777777" w:rsidR="004C0A79" w:rsidRPr="00731F8E" w:rsidRDefault="004C0A79" w:rsidP="004C0A79">
      <w:pPr>
        <w:tabs>
          <w:tab w:val="left" w:pos="856"/>
        </w:tabs>
        <w:spacing w:before="4"/>
        <w:ind w:right="133"/>
        <w:rPr>
          <w:rFonts w:ascii="Times New Roman" w:hAnsi="Times New Roman"/>
        </w:rPr>
      </w:pPr>
    </w:p>
    <w:p w14:paraId="706AB06F" w14:textId="77777777" w:rsidR="004C0A79" w:rsidRPr="00731F8E" w:rsidRDefault="004C0A79" w:rsidP="004C0A79">
      <w:pPr>
        <w:tabs>
          <w:tab w:val="left" w:pos="856"/>
        </w:tabs>
        <w:spacing w:before="4"/>
        <w:ind w:right="133"/>
        <w:rPr>
          <w:rFonts w:ascii="Times New Roman" w:hAnsi="Times New Roman"/>
        </w:rPr>
      </w:pPr>
    </w:p>
    <w:p w14:paraId="47FF960C" w14:textId="77777777" w:rsidR="004C0A79" w:rsidRPr="00731F8E" w:rsidRDefault="004C0A79" w:rsidP="004C0A79">
      <w:pPr>
        <w:tabs>
          <w:tab w:val="left" w:pos="856"/>
        </w:tabs>
        <w:spacing w:before="4"/>
        <w:ind w:right="133"/>
        <w:rPr>
          <w:rFonts w:ascii="Times New Roman" w:hAnsi="Times New Roman"/>
        </w:rPr>
      </w:pPr>
    </w:p>
    <w:p w14:paraId="332C30CA" w14:textId="77777777" w:rsidR="004C0A79" w:rsidRPr="00731F8E" w:rsidRDefault="004C0A79" w:rsidP="004C0A79">
      <w:pPr>
        <w:tabs>
          <w:tab w:val="left" w:pos="856"/>
        </w:tabs>
        <w:spacing w:before="4"/>
        <w:ind w:right="133"/>
        <w:rPr>
          <w:rFonts w:ascii="Times New Roman" w:hAnsi="Times New Roman"/>
        </w:rPr>
      </w:pPr>
    </w:p>
    <w:p w14:paraId="41587479" w14:textId="77777777" w:rsidR="004C0A79" w:rsidRPr="00731F8E" w:rsidRDefault="004C0A79" w:rsidP="004C0A79">
      <w:pPr>
        <w:tabs>
          <w:tab w:val="left" w:pos="856"/>
        </w:tabs>
        <w:spacing w:before="4"/>
        <w:ind w:right="133"/>
        <w:rPr>
          <w:rFonts w:ascii="Times New Roman" w:hAnsi="Times New Roman"/>
        </w:rPr>
      </w:pPr>
    </w:p>
    <w:p w14:paraId="79791D8C" w14:textId="77777777" w:rsidR="004C0A79" w:rsidRPr="00731F8E" w:rsidRDefault="004C0A79" w:rsidP="004C0A79">
      <w:pPr>
        <w:tabs>
          <w:tab w:val="left" w:pos="856"/>
        </w:tabs>
        <w:spacing w:before="4"/>
        <w:ind w:right="133"/>
        <w:rPr>
          <w:rFonts w:ascii="Times New Roman" w:hAnsi="Times New Roman"/>
        </w:rPr>
      </w:pPr>
    </w:p>
    <w:p w14:paraId="366F6AA9" w14:textId="77777777" w:rsidR="004C0A79" w:rsidRPr="00731F8E" w:rsidRDefault="004C0A79" w:rsidP="004C0A79">
      <w:pPr>
        <w:tabs>
          <w:tab w:val="left" w:pos="856"/>
        </w:tabs>
        <w:spacing w:before="4"/>
        <w:ind w:right="133"/>
        <w:rPr>
          <w:rFonts w:ascii="Times New Roman" w:hAnsi="Times New Roman"/>
        </w:rPr>
      </w:pPr>
    </w:p>
    <w:p w14:paraId="6B5BB753" w14:textId="77777777" w:rsidR="004C0A79" w:rsidRPr="00731F8E" w:rsidRDefault="004C0A79" w:rsidP="00A86526">
      <w:pPr>
        <w:pStyle w:val="Balk1"/>
        <w:keepNext w:val="0"/>
        <w:keepLines w:val="0"/>
        <w:widowControl w:val="0"/>
        <w:numPr>
          <w:ilvl w:val="2"/>
          <w:numId w:val="68"/>
        </w:numPr>
        <w:tabs>
          <w:tab w:val="left" w:pos="816"/>
        </w:tabs>
        <w:autoSpaceDE w:val="0"/>
        <w:autoSpaceDN w:val="0"/>
        <w:spacing w:before="36" w:after="0" w:line="240" w:lineRule="auto"/>
        <w:jc w:val="left"/>
        <w:rPr>
          <w:rFonts w:ascii="Times New Roman" w:hAnsi="Times New Roman" w:cs="Times New Roman"/>
          <w:szCs w:val="22"/>
        </w:rPr>
      </w:pPr>
      <w:bookmarkStart w:id="34" w:name="2.1.3_____Tebliğler"/>
      <w:bookmarkEnd w:id="34"/>
      <w:r w:rsidRPr="00731F8E">
        <w:rPr>
          <w:rFonts w:ascii="Times New Roman" w:hAnsi="Times New Roman" w:cs="Times New Roman"/>
          <w:szCs w:val="22"/>
        </w:rPr>
        <w:t xml:space="preserve">Communiqués </w:t>
      </w:r>
    </w:p>
    <w:p w14:paraId="3894D481" w14:textId="77777777" w:rsidR="004C0A79" w:rsidRPr="00731F8E" w:rsidRDefault="004C0A79" w:rsidP="004C0A79">
      <w:pPr>
        <w:pStyle w:val="GvdeMetni"/>
        <w:spacing w:before="12"/>
        <w:rPr>
          <w:rFonts w:cs="Times New Roman"/>
          <w:b/>
          <w:i/>
          <w:szCs w:val="22"/>
        </w:rPr>
      </w:pPr>
    </w:p>
    <w:p w14:paraId="40A91B53" w14:textId="77777777" w:rsidR="004C0A79" w:rsidRPr="00731F8E" w:rsidRDefault="004C0A79" w:rsidP="004C0A79">
      <w:pPr>
        <w:ind w:left="116"/>
        <w:rPr>
          <w:rFonts w:ascii="Times New Roman" w:hAnsi="Times New Roman"/>
        </w:rPr>
      </w:pPr>
      <w:r w:rsidRPr="00731F8E">
        <w:rPr>
          <w:rFonts w:ascii="Times New Roman" w:hAnsi="Times New Roman"/>
        </w:rPr>
        <w:t>In 2022, the following Communiqué studies were carried out in the electricity market:</w:t>
      </w:r>
    </w:p>
    <w:p w14:paraId="328A1D6A" w14:textId="77777777" w:rsidR="004C0A79" w:rsidRPr="00731F8E" w:rsidRDefault="004C0A79" w:rsidP="004C0A79">
      <w:pPr>
        <w:pStyle w:val="GvdeMetni"/>
        <w:spacing w:before="83"/>
        <w:rPr>
          <w:rFonts w:cs="Times New Roman"/>
          <w:i/>
          <w:szCs w:val="22"/>
        </w:rPr>
      </w:pPr>
    </w:p>
    <w:p w14:paraId="77973250" w14:textId="77777777" w:rsidR="004C0A79" w:rsidRPr="00731F8E" w:rsidRDefault="004C0A79" w:rsidP="00A86526">
      <w:pPr>
        <w:pStyle w:val="ListeParagraf"/>
        <w:widowControl w:val="0"/>
        <w:numPr>
          <w:ilvl w:val="3"/>
          <w:numId w:val="68"/>
        </w:numPr>
        <w:tabs>
          <w:tab w:val="left" w:pos="834"/>
          <w:tab w:val="left" w:pos="836"/>
        </w:tabs>
        <w:autoSpaceDE w:val="0"/>
        <w:autoSpaceDN w:val="0"/>
        <w:spacing w:after="0"/>
        <w:ind w:right="131"/>
        <w:contextualSpacing w:val="0"/>
        <w:rPr>
          <w:rFonts w:ascii="Times New Roman" w:hAnsi="Times New Roman"/>
        </w:rPr>
      </w:pPr>
      <w:r w:rsidRPr="00731F8E">
        <w:rPr>
          <w:rFonts w:ascii="Times New Roman" w:hAnsi="Times New Roman"/>
        </w:rPr>
        <w:t xml:space="preserve">Upon the determination of the administrative fines, the purpose of which was regulated in Article 16 of the Electricity Market Law dated 14/3/2013 and numbered 6446, published in the Official Gazette dated 28.12.2022 and numbered 32057, by increasing the revaluation rate for </w:t>
      </w:r>
      <w:r w:rsidRPr="00731F8E">
        <w:rPr>
          <w:rFonts w:ascii="Times New Roman" w:hAnsi="Times New Roman"/>
        </w:rPr>
        <w:lastRenderedPageBreak/>
        <w:t>2022 by 122.93% (one hundred and twenty-two point ninety-three) in the General Communiqué on Tax Procedure Law (Sequence No: 542) published in the Official Gazette dated 24/11/2022 and numbered 32023, the administrative fines to be applied in 2023 were determined with the Communiqué dated 28.12.2022 and numbered 32057.</w:t>
      </w:r>
    </w:p>
    <w:p w14:paraId="7E7219D9" w14:textId="77777777" w:rsidR="004C0A79" w:rsidRPr="00731F8E" w:rsidRDefault="004C0A79" w:rsidP="004C0A79">
      <w:pPr>
        <w:pStyle w:val="GvdeMetni"/>
        <w:spacing w:before="21"/>
        <w:rPr>
          <w:rFonts w:cs="Times New Roman"/>
          <w:i/>
          <w:szCs w:val="22"/>
        </w:rPr>
      </w:pPr>
    </w:p>
    <w:p w14:paraId="7A56A485" w14:textId="77777777" w:rsidR="004C0A79" w:rsidRPr="00731F8E" w:rsidRDefault="004C0A79" w:rsidP="00A86526">
      <w:pPr>
        <w:pStyle w:val="ListeParagraf"/>
        <w:widowControl w:val="0"/>
        <w:numPr>
          <w:ilvl w:val="3"/>
          <w:numId w:val="68"/>
        </w:numPr>
        <w:tabs>
          <w:tab w:val="left" w:pos="835"/>
        </w:tabs>
        <w:autoSpaceDE w:val="0"/>
        <w:autoSpaceDN w:val="0"/>
        <w:spacing w:after="0"/>
        <w:ind w:left="835" w:right="133" w:hanging="360"/>
        <w:contextualSpacing w:val="0"/>
        <w:rPr>
          <w:rFonts w:ascii="Times New Roman" w:hAnsi="Times New Roman"/>
        </w:rPr>
      </w:pPr>
      <w:r w:rsidRPr="00731F8E">
        <w:rPr>
          <w:rFonts w:ascii="Times New Roman" w:hAnsi="Times New Roman"/>
        </w:rPr>
        <w:t xml:space="preserve">With the Amendment Communiqué published in the Official Gazette dated 31.12.2022 and numbered 32060 (5th Repeat), Article 9 of the Communiqué on the Regulation of Transmission Revenue published in the Official Gazette dated 30/12/2015 and numbered 29578 has been amended as follows. </w:t>
      </w:r>
    </w:p>
    <w:p w14:paraId="68F28AE9" w14:textId="77777777" w:rsidR="004C0A79" w:rsidRPr="00731F8E" w:rsidRDefault="004C0A79" w:rsidP="004C0A79">
      <w:pPr>
        <w:pStyle w:val="GvdeMetni"/>
        <w:spacing w:before="63"/>
        <w:rPr>
          <w:rFonts w:cs="Times New Roman"/>
          <w:i/>
          <w:szCs w:val="22"/>
        </w:rPr>
      </w:pPr>
    </w:p>
    <w:p w14:paraId="3BC7EB94" w14:textId="77777777" w:rsidR="004C0A79" w:rsidRPr="00731F8E" w:rsidRDefault="004C0A79" w:rsidP="004C0A79">
      <w:pPr>
        <w:pStyle w:val="GvdeMetni"/>
        <w:spacing w:line="276" w:lineRule="auto"/>
        <w:ind w:left="1555"/>
        <w:rPr>
          <w:rFonts w:cs="Times New Roman"/>
          <w:szCs w:val="22"/>
        </w:rPr>
      </w:pPr>
      <w:r w:rsidRPr="00731F8E">
        <w:rPr>
          <w:rFonts w:cs="Times New Roman"/>
          <w:szCs w:val="22"/>
        </w:rPr>
        <w:t>"ARTICLE 9 - (1) The income ceiling (GTt) of TEİAŞ for the t tariff year is calculated according to the following equation (2):</w:t>
      </w:r>
    </w:p>
    <w:p w14:paraId="7FA56BEC" w14:textId="77777777" w:rsidR="004C0A79" w:rsidRPr="00731F8E" w:rsidRDefault="004C0A79" w:rsidP="004C0A79">
      <w:pPr>
        <w:pStyle w:val="GvdeMetni"/>
        <w:spacing w:before="40"/>
        <w:rPr>
          <w:rFonts w:cs="Times New Roman"/>
          <w:szCs w:val="22"/>
        </w:rPr>
      </w:pPr>
    </w:p>
    <w:p w14:paraId="082A30CD" w14:textId="77777777" w:rsidR="004C0A79" w:rsidRPr="00731F8E" w:rsidRDefault="004C0A79" w:rsidP="004C0A79">
      <w:pPr>
        <w:pStyle w:val="GvdeMetni"/>
        <w:tabs>
          <w:tab w:val="left" w:pos="8241"/>
        </w:tabs>
        <w:ind w:left="1555"/>
        <w:rPr>
          <w:rFonts w:cs="Times New Roman"/>
          <w:szCs w:val="22"/>
        </w:rPr>
      </w:pPr>
      <w:r w:rsidRPr="00731F8E">
        <w:rPr>
          <w:rFonts w:cs="Times New Roman"/>
          <w:szCs w:val="22"/>
        </w:rPr>
        <w:t>GTt = GGt x (CPIt/CPIbase) + DGt + GFDBt-YFDBu,t</w:t>
      </w:r>
      <w:r w:rsidRPr="00731F8E">
        <w:rPr>
          <w:rFonts w:cs="Times New Roman"/>
          <w:szCs w:val="22"/>
        </w:rPr>
        <w:tab/>
        <w:t>(2)</w:t>
      </w:r>
    </w:p>
    <w:p w14:paraId="559EE9E2" w14:textId="77777777" w:rsidR="004C0A79" w:rsidRPr="00731F8E" w:rsidRDefault="004C0A79" w:rsidP="004C0A79">
      <w:pPr>
        <w:pStyle w:val="GvdeMetni"/>
        <w:spacing w:before="80"/>
        <w:rPr>
          <w:rFonts w:cs="Times New Roman"/>
          <w:szCs w:val="22"/>
        </w:rPr>
      </w:pPr>
    </w:p>
    <w:p w14:paraId="4C7F72E5" w14:textId="77777777" w:rsidR="004C0A79" w:rsidRPr="00731F8E" w:rsidRDefault="004C0A79" w:rsidP="004C0A79">
      <w:pPr>
        <w:pStyle w:val="GvdeMetni"/>
        <w:tabs>
          <w:tab w:val="left" w:pos="2947"/>
        </w:tabs>
        <w:spacing w:line="276" w:lineRule="auto"/>
        <w:ind w:left="1556" w:right="137" w:hanging="1"/>
        <w:rPr>
          <w:rFonts w:cs="Times New Roman"/>
          <w:szCs w:val="22"/>
        </w:rPr>
      </w:pPr>
      <w:r w:rsidRPr="00731F8E">
        <w:rPr>
          <w:rFonts w:cs="Times New Roman"/>
          <w:szCs w:val="22"/>
        </w:rPr>
        <w:t>GTt:</w:t>
      </w:r>
      <w:r w:rsidRPr="00731F8E">
        <w:rPr>
          <w:rFonts w:cs="Times New Roman"/>
          <w:szCs w:val="22"/>
        </w:rPr>
        <w:tab/>
        <w:t>The revenue ceiling that TEİAŞ can obtain in the t tariff year and calculated for the relevant activity,</w:t>
      </w:r>
    </w:p>
    <w:p w14:paraId="50679554" w14:textId="77777777" w:rsidR="004C0A79" w:rsidRPr="00731F8E" w:rsidRDefault="004C0A79" w:rsidP="004C0A79">
      <w:pPr>
        <w:pStyle w:val="GvdeMetni"/>
        <w:tabs>
          <w:tab w:val="left" w:pos="2948"/>
        </w:tabs>
        <w:spacing w:line="273" w:lineRule="auto"/>
        <w:ind w:left="1556" w:right="2845"/>
        <w:rPr>
          <w:rFonts w:cs="Times New Roman"/>
          <w:szCs w:val="22"/>
        </w:rPr>
      </w:pPr>
      <w:r w:rsidRPr="00731F8E">
        <w:rPr>
          <w:rFonts w:cs="Times New Roman"/>
          <w:szCs w:val="22"/>
        </w:rPr>
        <w:t>GGt: income requirement for tariff year t, GFDBt:</w:t>
      </w:r>
      <w:r w:rsidRPr="00731F8E">
        <w:rPr>
          <w:rFonts w:cs="Times New Roman"/>
          <w:szCs w:val="22"/>
        </w:rPr>
        <w:tab/>
        <w:t>income difference adjustment component,</w:t>
      </w:r>
    </w:p>
    <w:p w14:paraId="30D8A510" w14:textId="77777777" w:rsidR="004C0A79" w:rsidRPr="00731F8E" w:rsidRDefault="004C0A79" w:rsidP="004C0A79">
      <w:pPr>
        <w:pStyle w:val="GvdeMetni"/>
        <w:tabs>
          <w:tab w:val="left" w:pos="2948"/>
        </w:tabs>
        <w:spacing w:before="5" w:line="276" w:lineRule="auto"/>
        <w:ind w:left="1556" w:right="137" w:hanging="1"/>
        <w:rPr>
          <w:rFonts w:cs="Times New Roman"/>
          <w:szCs w:val="22"/>
        </w:rPr>
      </w:pPr>
      <w:r w:rsidRPr="00731F8E">
        <w:rPr>
          <w:rFonts w:cs="Times New Roman"/>
          <w:szCs w:val="22"/>
        </w:rPr>
        <w:t>YFDBu,t:</w:t>
      </w:r>
      <w:r w:rsidRPr="00731F8E">
        <w:rPr>
          <w:rFonts w:cs="Times New Roman"/>
          <w:szCs w:val="22"/>
        </w:rPr>
        <w:tab/>
        <w:t>The investment difference adjustment component taken into account in the income ceiling calculations of the implementation period,</w:t>
      </w:r>
    </w:p>
    <w:p w14:paraId="02411FB9" w14:textId="77777777" w:rsidR="004C0A79" w:rsidRPr="00731F8E" w:rsidRDefault="004C0A79" w:rsidP="004C0A79">
      <w:pPr>
        <w:pStyle w:val="GvdeMetni"/>
        <w:tabs>
          <w:tab w:val="left" w:pos="2948"/>
        </w:tabs>
        <w:spacing w:line="276" w:lineRule="auto"/>
        <w:ind w:left="1556" w:right="1064"/>
        <w:rPr>
          <w:rFonts w:cs="Times New Roman"/>
          <w:szCs w:val="22"/>
        </w:rPr>
      </w:pPr>
      <w:r w:rsidRPr="00731F8E">
        <w:rPr>
          <w:rFonts w:cs="Times New Roman"/>
          <w:szCs w:val="22"/>
        </w:rPr>
        <w:t>CPIt:</w:t>
      </w:r>
      <w:r w:rsidRPr="00731F8E">
        <w:rPr>
          <w:rFonts w:cs="Times New Roman"/>
          <w:szCs w:val="22"/>
        </w:rPr>
        <w:tab/>
        <w:t>t is the estimated CPI value for June of the tariff year,CPIbase: Base CPI value,</w:t>
      </w:r>
    </w:p>
    <w:p w14:paraId="176AA592" w14:textId="77777777" w:rsidR="004C0A79" w:rsidRPr="00731F8E" w:rsidRDefault="004C0A79" w:rsidP="004C0A79">
      <w:pPr>
        <w:pStyle w:val="GvdeMetni"/>
        <w:tabs>
          <w:tab w:val="left" w:pos="2948"/>
        </w:tabs>
        <w:spacing w:line="273" w:lineRule="auto"/>
        <w:ind w:left="1556" w:right="137" w:hanging="1"/>
        <w:rPr>
          <w:rFonts w:cs="Times New Roman"/>
          <w:szCs w:val="22"/>
        </w:rPr>
      </w:pPr>
      <w:r w:rsidRPr="00731F8E">
        <w:rPr>
          <w:rFonts w:cs="Times New Roman"/>
          <w:szCs w:val="22"/>
        </w:rPr>
        <w:t>DGt:</w:t>
      </w:r>
      <w:r w:rsidRPr="00731F8E">
        <w:rPr>
          <w:rFonts w:cs="Times New Roman"/>
          <w:szCs w:val="22"/>
        </w:rPr>
        <w:tab/>
        <w:t>The amount envisaged for the t tariff year of the expenses within the scope of Article 12 to be taken into account in the income ceiling,"</w:t>
      </w:r>
    </w:p>
    <w:p w14:paraId="715E8FB4" w14:textId="77777777" w:rsidR="004C0A79" w:rsidRPr="00731F8E" w:rsidRDefault="004C0A79" w:rsidP="004C0A79">
      <w:pPr>
        <w:pStyle w:val="Balk1"/>
        <w:tabs>
          <w:tab w:val="left" w:pos="836"/>
        </w:tabs>
        <w:spacing w:before="241"/>
        <w:ind w:left="115"/>
        <w:rPr>
          <w:rFonts w:ascii="Times New Roman" w:hAnsi="Times New Roman" w:cs="Times New Roman"/>
          <w:szCs w:val="22"/>
        </w:rPr>
      </w:pPr>
      <w:bookmarkStart w:id="35" w:name="1.1.1._Kurul_Kararları"/>
      <w:bookmarkEnd w:id="35"/>
      <w:r>
        <w:rPr>
          <w:rFonts w:ascii="Times New Roman" w:hAnsi="Times New Roman" w:cs="Times New Roman"/>
          <w:szCs w:val="22"/>
        </w:rPr>
        <w:t xml:space="preserve">2.1.4. </w:t>
      </w:r>
      <w:r w:rsidRPr="00731F8E">
        <w:rPr>
          <w:rFonts w:ascii="Times New Roman" w:hAnsi="Times New Roman" w:cs="Times New Roman"/>
          <w:szCs w:val="22"/>
        </w:rPr>
        <w:t>Board Decisions</w:t>
      </w:r>
    </w:p>
    <w:p w14:paraId="53BBF00A" w14:textId="77777777" w:rsidR="004C0A79" w:rsidRPr="00731F8E" w:rsidRDefault="004C0A79" w:rsidP="004C0A79">
      <w:pPr>
        <w:pStyle w:val="GvdeMetni"/>
        <w:spacing w:before="12"/>
        <w:rPr>
          <w:rFonts w:cs="Times New Roman"/>
          <w:b/>
          <w:i/>
          <w:szCs w:val="22"/>
        </w:rPr>
      </w:pPr>
    </w:p>
    <w:p w14:paraId="6BF48F04" w14:textId="77777777" w:rsidR="004C0A79" w:rsidRPr="00731F8E" w:rsidRDefault="004C0A79" w:rsidP="004C0A79">
      <w:pPr>
        <w:ind w:left="116"/>
        <w:rPr>
          <w:rFonts w:ascii="Times New Roman" w:hAnsi="Times New Roman"/>
        </w:rPr>
      </w:pPr>
      <w:r w:rsidRPr="00731F8E">
        <w:rPr>
          <w:rFonts w:ascii="Times New Roman" w:hAnsi="Times New Roman"/>
        </w:rPr>
        <w:t>In 2022, the following Board Decisions were issued as a regulatory action in the electricity market:</w:t>
      </w:r>
    </w:p>
    <w:p w14:paraId="201F6F10" w14:textId="77777777" w:rsidR="004C0A79" w:rsidRPr="00731F8E" w:rsidRDefault="004C0A79" w:rsidP="004C0A79">
      <w:pPr>
        <w:pStyle w:val="GvdeMetni"/>
        <w:spacing w:before="80"/>
        <w:rPr>
          <w:rFonts w:cs="Times New Roman"/>
          <w:i/>
          <w:szCs w:val="22"/>
        </w:rPr>
      </w:pPr>
    </w:p>
    <w:p w14:paraId="70F46DC9" w14:textId="77777777" w:rsidR="004C0A79" w:rsidRPr="00731F8E" w:rsidRDefault="004C0A79" w:rsidP="00A86526">
      <w:pPr>
        <w:pStyle w:val="ListeParagraf"/>
        <w:widowControl w:val="0"/>
        <w:numPr>
          <w:ilvl w:val="3"/>
          <w:numId w:val="67"/>
        </w:numPr>
        <w:tabs>
          <w:tab w:val="left" w:pos="827"/>
          <w:tab w:val="left" w:pos="829"/>
        </w:tabs>
        <w:autoSpaceDE w:val="0"/>
        <w:autoSpaceDN w:val="0"/>
        <w:spacing w:after="0"/>
        <w:ind w:right="132"/>
        <w:contextualSpacing w:val="0"/>
        <w:rPr>
          <w:rFonts w:ascii="Times New Roman" w:hAnsi="Times New Roman"/>
        </w:rPr>
      </w:pPr>
      <w:r w:rsidRPr="00731F8E">
        <w:rPr>
          <w:rFonts w:ascii="Times New Roman" w:hAnsi="Times New Roman"/>
        </w:rPr>
        <w:t>With the Board Decision dated 29.12.2022 and numbered 11496 published in the Official Gazette dated 30.12.2022 and numbered 32059, it was decided to apply the eligible consumer limit for 2023 as 1,000 kWh in accordance with the provisions of Article 5, paragraph six, clause (b) of the Law No. 4628 on the Organization and Duties of the Energy Market Regulatory Authority and Article 41 of the Electricity Market Consumer Services Regulation. The theoretical market openness rate corresponding to this limit was calculated as 98.4%.</w:t>
      </w:r>
    </w:p>
    <w:p w14:paraId="6C24A1F7" w14:textId="77777777" w:rsidR="004C0A79" w:rsidRPr="00731F8E" w:rsidRDefault="004C0A79" w:rsidP="004C0A79">
      <w:pPr>
        <w:spacing w:before="120"/>
        <w:ind w:left="116" w:right="135" w:firstLine="708"/>
        <w:rPr>
          <w:rFonts w:ascii="Times New Roman" w:hAnsi="Times New Roman"/>
        </w:rPr>
      </w:pPr>
      <w:r w:rsidRPr="00731F8E">
        <w:rPr>
          <w:rFonts w:ascii="Times New Roman" w:hAnsi="Times New Roman"/>
        </w:rPr>
        <w:t>The change of the eligible consumer limit in the electricity market over the years is given in Table 2.1.</w:t>
      </w:r>
    </w:p>
    <w:p w14:paraId="54667AF0" w14:textId="77777777" w:rsidR="004C0A79" w:rsidRPr="00731F8E" w:rsidRDefault="004C0A79" w:rsidP="004C0A79">
      <w:pPr>
        <w:rPr>
          <w:rFonts w:ascii="Times New Roman" w:hAnsi="Times New Roman"/>
        </w:rPr>
        <w:sectPr w:rsidR="004C0A79" w:rsidRPr="00731F8E" w:rsidSect="004C0A79">
          <w:footerReference w:type="default" r:id="rId18"/>
          <w:pgSz w:w="11910" w:h="16840"/>
          <w:pgMar w:top="1560" w:right="1280" w:bottom="280" w:left="1300" w:header="720" w:footer="720" w:gutter="0"/>
          <w:cols w:space="720"/>
        </w:sectPr>
      </w:pPr>
    </w:p>
    <w:p w14:paraId="7A872CEA" w14:textId="77777777" w:rsidR="004C0A79" w:rsidRPr="00731F8E" w:rsidRDefault="004C0A79" w:rsidP="004C0A79">
      <w:pPr>
        <w:pStyle w:val="Balk1"/>
        <w:spacing w:before="26" w:after="42"/>
        <w:ind w:left="416"/>
        <w:rPr>
          <w:rFonts w:ascii="Times New Roman" w:hAnsi="Times New Roman" w:cs="Times New Roman"/>
          <w:szCs w:val="22"/>
        </w:rPr>
      </w:pPr>
      <w:bookmarkStart w:id="36" w:name="Tablo_2.1:_Yıllar_İtibarıyla_Elektrik_Pi"/>
      <w:bookmarkEnd w:id="36"/>
      <w:r w:rsidRPr="00731F8E">
        <w:rPr>
          <w:rFonts w:ascii="Times New Roman" w:hAnsi="Times New Roman" w:cs="Times New Roman"/>
          <w:szCs w:val="22"/>
        </w:rPr>
        <w:lastRenderedPageBreak/>
        <w:t>Table 2.1: Change of Eligible Consumer Limit in the Electricity Market by Years (2003-2022)</w:t>
      </w:r>
    </w:p>
    <w:tbl>
      <w:tblPr>
        <w:tblStyle w:val="TableNormal"/>
        <w:tblW w:w="0" w:type="auto"/>
        <w:tblInd w:w="1599"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Layout w:type="fixed"/>
        <w:tblLook w:val="01E0" w:firstRow="1" w:lastRow="1" w:firstColumn="1" w:lastColumn="1" w:noHBand="0" w:noVBand="0"/>
      </w:tblPr>
      <w:tblGrid>
        <w:gridCol w:w="1409"/>
        <w:gridCol w:w="2722"/>
        <w:gridCol w:w="1988"/>
      </w:tblGrid>
      <w:tr w:rsidR="004C0A79" w:rsidRPr="00731F8E" w14:paraId="08CF8620" w14:textId="77777777" w:rsidTr="004C0A79">
        <w:trPr>
          <w:trHeight w:val="1084"/>
        </w:trPr>
        <w:tc>
          <w:tcPr>
            <w:tcW w:w="1409" w:type="dxa"/>
            <w:shd w:val="clear" w:color="auto" w:fill="6E9ECA"/>
          </w:tcPr>
          <w:p w14:paraId="2ED30425" w14:textId="77777777" w:rsidR="004C0A79" w:rsidRPr="00731F8E" w:rsidRDefault="004C0A79" w:rsidP="004C0A79">
            <w:pPr>
              <w:pStyle w:val="TableParagraph"/>
              <w:spacing w:before="136"/>
              <w:rPr>
                <w:rFonts w:ascii="Times New Roman" w:hAnsi="Times New Roman" w:cs="Times New Roman"/>
                <w:b/>
                <w:szCs w:val="22"/>
              </w:rPr>
            </w:pPr>
          </w:p>
          <w:p w14:paraId="7052D216" w14:textId="77777777" w:rsidR="004C0A79" w:rsidRPr="00731F8E" w:rsidRDefault="004C0A79" w:rsidP="004C0A79">
            <w:pPr>
              <w:pStyle w:val="P68B1DB1-TableParagraph1"/>
              <w:ind w:left="11"/>
              <w:rPr>
                <w:rFonts w:ascii="Times New Roman" w:hAnsi="Times New Roman" w:cs="Times New Roman"/>
                <w:sz w:val="22"/>
                <w:szCs w:val="22"/>
              </w:rPr>
            </w:pPr>
            <w:r w:rsidRPr="00731F8E">
              <w:rPr>
                <w:rFonts w:ascii="Times New Roman" w:hAnsi="Times New Roman" w:cs="Times New Roman"/>
                <w:sz w:val="22"/>
                <w:szCs w:val="22"/>
              </w:rPr>
              <w:t>The Year Applied</w:t>
            </w:r>
          </w:p>
        </w:tc>
        <w:tc>
          <w:tcPr>
            <w:tcW w:w="2722" w:type="dxa"/>
            <w:shd w:val="clear" w:color="auto" w:fill="6E9ECA"/>
          </w:tcPr>
          <w:p w14:paraId="34527D3F" w14:textId="77777777" w:rsidR="004C0A79" w:rsidRPr="00731F8E" w:rsidRDefault="004C0A79" w:rsidP="004C0A79">
            <w:pPr>
              <w:pStyle w:val="TableParagraph"/>
              <w:spacing w:before="37"/>
              <w:rPr>
                <w:rFonts w:ascii="Times New Roman" w:hAnsi="Times New Roman" w:cs="Times New Roman"/>
                <w:b/>
                <w:szCs w:val="22"/>
              </w:rPr>
            </w:pPr>
          </w:p>
          <w:p w14:paraId="5B9B990D" w14:textId="77777777" w:rsidR="004C0A79" w:rsidRPr="00731F8E" w:rsidRDefault="004C0A79" w:rsidP="004C0A79">
            <w:pPr>
              <w:pStyle w:val="P68B1DB1-TableParagraph1"/>
              <w:spacing w:before="1"/>
              <w:ind w:right="96"/>
              <w:jc w:val="right"/>
              <w:rPr>
                <w:rFonts w:ascii="Times New Roman" w:hAnsi="Times New Roman" w:cs="Times New Roman"/>
                <w:sz w:val="22"/>
                <w:szCs w:val="22"/>
              </w:rPr>
            </w:pPr>
            <w:r w:rsidRPr="00731F8E">
              <w:rPr>
                <w:rFonts w:ascii="Times New Roman" w:hAnsi="Times New Roman" w:cs="Times New Roman"/>
                <w:sz w:val="22"/>
                <w:szCs w:val="22"/>
              </w:rPr>
              <w:t>Eligible Consumer Limit (kWh)</w:t>
            </w:r>
          </w:p>
        </w:tc>
        <w:tc>
          <w:tcPr>
            <w:tcW w:w="1988" w:type="dxa"/>
            <w:shd w:val="clear" w:color="auto" w:fill="6E9ECA"/>
          </w:tcPr>
          <w:p w14:paraId="7B4B6647" w14:textId="77777777" w:rsidR="004C0A79" w:rsidRPr="00731F8E" w:rsidRDefault="004C0A79" w:rsidP="004C0A79">
            <w:pPr>
              <w:pStyle w:val="TableParagraph"/>
              <w:spacing w:before="37"/>
              <w:rPr>
                <w:rFonts w:ascii="Times New Roman" w:hAnsi="Times New Roman" w:cs="Times New Roman"/>
                <w:b/>
                <w:szCs w:val="22"/>
              </w:rPr>
            </w:pPr>
          </w:p>
          <w:p w14:paraId="169FBAD7" w14:textId="77777777" w:rsidR="004C0A79" w:rsidRPr="00731F8E" w:rsidRDefault="004C0A79" w:rsidP="004C0A79">
            <w:pPr>
              <w:pStyle w:val="P68B1DB1-TableParagraph1"/>
              <w:spacing w:before="1" w:line="276" w:lineRule="auto"/>
              <w:ind w:left="584" w:hanging="478"/>
              <w:jc w:val="left"/>
              <w:rPr>
                <w:rFonts w:ascii="Times New Roman" w:hAnsi="Times New Roman" w:cs="Times New Roman"/>
                <w:sz w:val="22"/>
                <w:szCs w:val="22"/>
              </w:rPr>
            </w:pPr>
            <w:r w:rsidRPr="00731F8E">
              <w:rPr>
                <w:rFonts w:ascii="Times New Roman" w:hAnsi="Times New Roman" w:cs="Times New Roman"/>
                <w:sz w:val="22"/>
                <w:szCs w:val="22"/>
              </w:rPr>
              <w:t>Theoretical Market Openness Ratio (%)</w:t>
            </w:r>
          </w:p>
        </w:tc>
      </w:tr>
      <w:tr w:rsidR="004C0A79" w:rsidRPr="00731F8E" w14:paraId="3600B069" w14:textId="77777777" w:rsidTr="004C0A79">
        <w:trPr>
          <w:trHeight w:val="359"/>
        </w:trPr>
        <w:tc>
          <w:tcPr>
            <w:tcW w:w="1409" w:type="dxa"/>
          </w:tcPr>
          <w:p w14:paraId="1C59400F"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2003</w:t>
            </w:r>
          </w:p>
        </w:tc>
        <w:tc>
          <w:tcPr>
            <w:tcW w:w="2722" w:type="dxa"/>
          </w:tcPr>
          <w:p w14:paraId="26FB4F66" w14:textId="77777777" w:rsidR="004C0A79" w:rsidRPr="00731F8E" w:rsidRDefault="004C0A79" w:rsidP="004C0A79">
            <w:pPr>
              <w:pStyle w:val="TableParagraph"/>
              <w:spacing w:before="23"/>
              <w:ind w:right="94"/>
              <w:jc w:val="right"/>
              <w:rPr>
                <w:rFonts w:ascii="Times New Roman" w:hAnsi="Times New Roman" w:cs="Times New Roman"/>
                <w:szCs w:val="22"/>
              </w:rPr>
            </w:pPr>
            <w:r w:rsidRPr="00731F8E">
              <w:rPr>
                <w:rFonts w:ascii="Times New Roman" w:hAnsi="Times New Roman" w:cs="Times New Roman"/>
                <w:szCs w:val="22"/>
              </w:rPr>
              <w:t>9.000.000</w:t>
            </w:r>
          </w:p>
        </w:tc>
        <w:tc>
          <w:tcPr>
            <w:tcW w:w="1988" w:type="dxa"/>
          </w:tcPr>
          <w:p w14:paraId="1221CEA1" w14:textId="77777777" w:rsidR="004C0A79" w:rsidRPr="00731F8E" w:rsidRDefault="004C0A79" w:rsidP="004C0A79">
            <w:pPr>
              <w:pStyle w:val="TableParagraph"/>
              <w:spacing w:line="268" w:lineRule="exact"/>
              <w:ind w:right="97"/>
              <w:jc w:val="right"/>
              <w:rPr>
                <w:rFonts w:ascii="Times New Roman" w:hAnsi="Times New Roman" w:cs="Times New Roman"/>
                <w:szCs w:val="22"/>
              </w:rPr>
            </w:pPr>
            <w:r w:rsidRPr="00731F8E">
              <w:rPr>
                <w:rFonts w:ascii="Times New Roman" w:hAnsi="Times New Roman" w:cs="Times New Roman"/>
                <w:szCs w:val="22"/>
              </w:rPr>
              <w:t>-</w:t>
            </w:r>
          </w:p>
        </w:tc>
      </w:tr>
      <w:tr w:rsidR="004C0A79" w:rsidRPr="00731F8E" w14:paraId="17A9CC16" w14:textId="77777777" w:rsidTr="004C0A79">
        <w:trPr>
          <w:trHeight w:val="357"/>
        </w:trPr>
        <w:tc>
          <w:tcPr>
            <w:tcW w:w="1409" w:type="dxa"/>
          </w:tcPr>
          <w:p w14:paraId="537C6F48"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2004</w:t>
            </w:r>
          </w:p>
        </w:tc>
        <w:tc>
          <w:tcPr>
            <w:tcW w:w="2722" w:type="dxa"/>
          </w:tcPr>
          <w:p w14:paraId="67C5ED67" w14:textId="77777777" w:rsidR="004C0A79" w:rsidRPr="00731F8E" w:rsidRDefault="004C0A79" w:rsidP="004C0A79">
            <w:pPr>
              <w:pStyle w:val="TableParagraph"/>
              <w:spacing w:before="23"/>
              <w:ind w:right="94"/>
              <w:jc w:val="right"/>
              <w:rPr>
                <w:rFonts w:ascii="Times New Roman" w:hAnsi="Times New Roman" w:cs="Times New Roman"/>
                <w:szCs w:val="22"/>
              </w:rPr>
            </w:pPr>
            <w:r w:rsidRPr="00731F8E">
              <w:rPr>
                <w:rFonts w:ascii="Times New Roman" w:hAnsi="Times New Roman" w:cs="Times New Roman"/>
                <w:szCs w:val="22"/>
              </w:rPr>
              <w:t>7.800.000</w:t>
            </w:r>
          </w:p>
        </w:tc>
        <w:tc>
          <w:tcPr>
            <w:tcW w:w="1988" w:type="dxa"/>
          </w:tcPr>
          <w:p w14:paraId="2F3176DD"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27.8</w:t>
            </w:r>
          </w:p>
        </w:tc>
      </w:tr>
      <w:tr w:rsidR="004C0A79" w:rsidRPr="00731F8E" w14:paraId="22F24388" w14:textId="77777777" w:rsidTr="004C0A79">
        <w:trPr>
          <w:trHeight w:val="359"/>
        </w:trPr>
        <w:tc>
          <w:tcPr>
            <w:tcW w:w="1409" w:type="dxa"/>
          </w:tcPr>
          <w:p w14:paraId="68072CA0"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2005</w:t>
            </w:r>
          </w:p>
        </w:tc>
        <w:tc>
          <w:tcPr>
            <w:tcW w:w="2722" w:type="dxa"/>
          </w:tcPr>
          <w:p w14:paraId="7647DEA6" w14:textId="77777777" w:rsidR="004C0A79" w:rsidRPr="00731F8E" w:rsidRDefault="004C0A79" w:rsidP="004C0A79">
            <w:pPr>
              <w:pStyle w:val="TableParagraph"/>
              <w:spacing w:before="25"/>
              <w:ind w:right="94"/>
              <w:jc w:val="right"/>
              <w:rPr>
                <w:rFonts w:ascii="Times New Roman" w:hAnsi="Times New Roman" w:cs="Times New Roman"/>
                <w:szCs w:val="22"/>
              </w:rPr>
            </w:pPr>
            <w:r w:rsidRPr="00731F8E">
              <w:rPr>
                <w:rFonts w:ascii="Times New Roman" w:hAnsi="Times New Roman" w:cs="Times New Roman"/>
                <w:szCs w:val="22"/>
              </w:rPr>
              <w:t>7.700.000</w:t>
            </w:r>
          </w:p>
        </w:tc>
        <w:tc>
          <w:tcPr>
            <w:tcW w:w="1988" w:type="dxa"/>
          </w:tcPr>
          <w:p w14:paraId="3E356F0E"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30</w:t>
            </w:r>
          </w:p>
        </w:tc>
      </w:tr>
      <w:tr w:rsidR="004C0A79" w:rsidRPr="00731F8E" w14:paraId="3A46D461" w14:textId="77777777" w:rsidTr="004C0A79">
        <w:trPr>
          <w:trHeight w:val="359"/>
        </w:trPr>
        <w:tc>
          <w:tcPr>
            <w:tcW w:w="1409" w:type="dxa"/>
          </w:tcPr>
          <w:p w14:paraId="43156AE8"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2006</w:t>
            </w:r>
          </w:p>
        </w:tc>
        <w:tc>
          <w:tcPr>
            <w:tcW w:w="2722" w:type="dxa"/>
          </w:tcPr>
          <w:p w14:paraId="27B33075" w14:textId="77777777" w:rsidR="004C0A79" w:rsidRPr="00731F8E" w:rsidRDefault="004C0A79" w:rsidP="004C0A79">
            <w:pPr>
              <w:pStyle w:val="TableParagraph"/>
              <w:spacing w:before="25"/>
              <w:ind w:right="94"/>
              <w:jc w:val="right"/>
              <w:rPr>
                <w:rFonts w:ascii="Times New Roman" w:hAnsi="Times New Roman" w:cs="Times New Roman"/>
                <w:szCs w:val="22"/>
              </w:rPr>
            </w:pPr>
            <w:r w:rsidRPr="00731F8E">
              <w:rPr>
                <w:rFonts w:ascii="Times New Roman" w:hAnsi="Times New Roman" w:cs="Times New Roman"/>
                <w:szCs w:val="22"/>
              </w:rPr>
              <w:t>6.000.000</w:t>
            </w:r>
          </w:p>
        </w:tc>
        <w:tc>
          <w:tcPr>
            <w:tcW w:w="1988" w:type="dxa"/>
          </w:tcPr>
          <w:p w14:paraId="2056BABE"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32</w:t>
            </w:r>
          </w:p>
        </w:tc>
      </w:tr>
      <w:tr w:rsidR="004C0A79" w:rsidRPr="00731F8E" w14:paraId="4A30FCF2" w14:textId="77777777" w:rsidTr="004C0A79">
        <w:trPr>
          <w:trHeight w:val="359"/>
        </w:trPr>
        <w:tc>
          <w:tcPr>
            <w:tcW w:w="1409" w:type="dxa"/>
          </w:tcPr>
          <w:p w14:paraId="4A4E6069"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2007</w:t>
            </w:r>
          </w:p>
        </w:tc>
        <w:tc>
          <w:tcPr>
            <w:tcW w:w="2722" w:type="dxa"/>
          </w:tcPr>
          <w:p w14:paraId="3BD56773" w14:textId="77777777" w:rsidR="004C0A79" w:rsidRPr="00731F8E" w:rsidRDefault="004C0A79" w:rsidP="004C0A79">
            <w:pPr>
              <w:pStyle w:val="TableParagraph"/>
              <w:spacing w:before="23"/>
              <w:ind w:right="94"/>
              <w:jc w:val="right"/>
              <w:rPr>
                <w:rFonts w:ascii="Times New Roman" w:hAnsi="Times New Roman" w:cs="Times New Roman"/>
                <w:szCs w:val="22"/>
              </w:rPr>
            </w:pPr>
            <w:r w:rsidRPr="00731F8E">
              <w:rPr>
                <w:rFonts w:ascii="Times New Roman" w:hAnsi="Times New Roman" w:cs="Times New Roman"/>
                <w:szCs w:val="22"/>
              </w:rPr>
              <w:t>3.000.000</w:t>
            </w:r>
          </w:p>
        </w:tc>
        <w:tc>
          <w:tcPr>
            <w:tcW w:w="1988" w:type="dxa"/>
          </w:tcPr>
          <w:p w14:paraId="04EE6F50"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38,6</w:t>
            </w:r>
          </w:p>
        </w:tc>
      </w:tr>
      <w:tr w:rsidR="004C0A79" w:rsidRPr="00731F8E" w14:paraId="49BAAFE4" w14:textId="77777777" w:rsidTr="004C0A79">
        <w:trPr>
          <w:trHeight w:val="357"/>
        </w:trPr>
        <w:tc>
          <w:tcPr>
            <w:tcW w:w="1409" w:type="dxa"/>
          </w:tcPr>
          <w:p w14:paraId="5464A22F"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2008</w:t>
            </w:r>
          </w:p>
        </w:tc>
        <w:tc>
          <w:tcPr>
            <w:tcW w:w="2722" w:type="dxa"/>
          </w:tcPr>
          <w:p w14:paraId="33AECFD9" w14:textId="77777777" w:rsidR="004C0A79" w:rsidRPr="00731F8E" w:rsidRDefault="004C0A79" w:rsidP="004C0A79">
            <w:pPr>
              <w:pStyle w:val="TableParagraph"/>
              <w:spacing w:before="23"/>
              <w:ind w:right="94"/>
              <w:jc w:val="right"/>
              <w:rPr>
                <w:rFonts w:ascii="Times New Roman" w:hAnsi="Times New Roman" w:cs="Times New Roman"/>
                <w:szCs w:val="22"/>
              </w:rPr>
            </w:pPr>
            <w:r w:rsidRPr="00731F8E">
              <w:rPr>
                <w:rFonts w:ascii="Times New Roman" w:hAnsi="Times New Roman" w:cs="Times New Roman"/>
                <w:szCs w:val="22"/>
              </w:rPr>
              <w:t>1,200,000</w:t>
            </w:r>
          </w:p>
        </w:tc>
        <w:tc>
          <w:tcPr>
            <w:tcW w:w="1988" w:type="dxa"/>
          </w:tcPr>
          <w:p w14:paraId="54688B73"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41</w:t>
            </w:r>
          </w:p>
        </w:tc>
      </w:tr>
      <w:tr w:rsidR="004C0A79" w:rsidRPr="00731F8E" w14:paraId="02E57002" w14:textId="77777777" w:rsidTr="004C0A79">
        <w:trPr>
          <w:trHeight w:val="359"/>
        </w:trPr>
        <w:tc>
          <w:tcPr>
            <w:tcW w:w="1409" w:type="dxa"/>
          </w:tcPr>
          <w:p w14:paraId="19FA9400"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2009</w:t>
            </w:r>
          </w:p>
        </w:tc>
        <w:tc>
          <w:tcPr>
            <w:tcW w:w="2722" w:type="dxa"/>
          </w:tcPr>
          <w:p w14:paraId="3D0C7321" w14:textId="77777777" w:rsidR="004C0A79" w:rsidRPr="00731F8E" w:rsidRDefault="004C0A79" w:rsidP="004C0A79">
            <w:pPr>
              <w:pStyle w:val="TableParagraph"/>
              <w:spacing w:before="25"/>
              <w:ind w:right="94"/>
              <w:jc w:val="right"/>
              <w:rPr>
                <w:rFonts w:ascii="Times New Roman" w:hAnsi="Times New Roman" w:cs="Times New Roman"/>
                <w:szCs w:val="22"/>
              </w:rPr>
            </w:pPr>
            <w:r w:rsidRPr="00731F8E">
              <w:rPr>
                <w:rFonts w:ascii="Times New Roman" w:hAnsi="Times New Roman" w:cs="Times New Roman"/>
                <w:szCs w:val="22"/>
              </w:rPr>
              <w:t>480.000</w:t>
            </w:r>
          </w:p>
        </w:tc>
        <w:tc>
          <w:tcPr>
            <w:tcW w:w="1988" w:type="dxa"/>
          </w:tcPr>
          <w:p w14:paraId="21A99C7F"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49,2</w:t>
            </w:r>
          </w:p>
        </w:tc>
      </w:tr>
      <w:tr w:rsidR="004C0A79" w:rsidRPr="00731F8E" w14:paraId="2E3EC280" w14:textId="77777777" w:rsidTr="004C0A79">
        <w:trPr>
          <w:trHeight w:val="359"/>
        </w:trPr>
        <w:tc>
          <w:tcPr>
            <w:tcW w:w="1409" w:type="dxa"/>
          </w:tcPr>
          <w:p w14:paraId="3706B539"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2010</w:t>
            </w:r>
          </w:p>
        </w:tc>
        <w:tc>
          <w:tcPr>
            <w:tcW w:w="2722" w:type="dxa"/>
          </w:tcPr>
          <w:p w14:paraId="176323E7" w14:textId="77777777" w:rsidR="004C0A79" w:rsidRPr="00731F8E" w:rsidRDefault="004C0A79" w:rsidP="004C0A79">
            <w:pPr>
              <w:pStyle w:val="TableParagraph"/>
              <w:spacing w:before="25"/>
              <w:ind w:right="94"/>
              <w:jc w:val="right"/>
              <w:rPr>
                <w:rFonts w:ascii="Times New Roman" w:hAnsi="Times New Roman" w:cs="Times New Roman"/>
                <w:szCs w:val="22"/>
              </w:rPr>
            </w:pPr>
            <w:r w:rsidRPr="00731F8E">
              <w:rPr>
                <w:rFonts w:ascii="Times New Roman" w:hAnsi="Times New Roman" w:cs="Times New Roman"/>
                <w:szCs w:val="22"/>
              </w:rPr>
              <w:t>100,000</w:t>
            </w:r>
          </w:p>
        </w:tc>
        <w:tc>
          <w:tcPr>
            <w:tcW w:w="1988" w:type="dxa"/>
          </w:tcPr>
          <w:p w14:paraId="51651761"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63.3</w:t>
            </w:r>
          </w:p>
        </w:tc>
      </w:tr>
      <w:tr w:rsidR="004C0A79" w:rsidRPr="00731F8E" w14:paraId="53992BCC" w14:textId="77777777" w:rsidTr="004C0A79">
        <w:trPr>
          <w:trHeight w:val="359"/>
        </w:trPr>
        <w:tc>
          <w:tcPr>
            <w:tcW w:w="1409" w:type="dxa"/>
          </w:tcPr>
          <w:p w14:paraId="38B86F4F"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2011</w:t>
            </w:r>
          </w:p>
        </w:tc>
        <w:tc>
          <w:tcPr>
            <w:tcW w:w="2722" w:type="dxa"/>
          </w:tcPr>
          <w:p w14:paraId="1692F621" w14:textId="77777777" w:rsidR="004C0A79" w:rsidRPr="00731F8E" w:rsidRDefault="004C0A79" w:rsidP="004C0A79">
            <w:pPr>
              <w:pStyle w:val="TableParagraph"/>
              <w:spacing w:before="23"/>
              <w:ind w:right="96"/>
              <w:jc w:val="right"/>
              <w:rPr>
                <w:rFonts w:ascii="Times New Roman" w:hAnsi="Times New Roman" w:cs="Times New Roman"/>
                <w:szCs w:val="22"/>
              </w:rPr>
            </w:pPr>
            <w:r w:rsidRPr="00731F8E">
              <w:rPr>
                <w:rFonts w:ascii="Times New Roman" w:hAnsi="Times New Roman" w:cs="Times New Roman"/>
                <w:szCs w:val="22"/>
              </w:rPr>
              <w:t>30.000</w:t>
            </w:r>
          </w:p>
        </w:tc>
        <w:tc>
          <w:tcPr>
            <w:tcW w:w="1988" w:type="dxa"/>
          </w:tcPr>
          <w:p w14:paraId="1EF90DF5"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78</w:t>
            </w:r>
          </w:p>
        </w:tc>
      </w:tr>
      <w:tr w:rsidR="004C0A79" w:rsidRPr="00731F8E" w14:paraId="123E2514" w14:textId="77777777" w:rsidTr="004C0A79">
        <w:trPr>
          <w:trHeight w:val="357"/>
        </w:trPr>
        <w:tc>
          <w:tcPr>
            <w:tcW w:w="1409" w:type="dxa"/>
          </w:tcPr>
          <w:p w14:paraId="36320900"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2012</w:t>
            </w:r>
          </w:p>
        </w:tc>
        <w:tc>
          <w:tcPr>
            <w:tcW w:w="2722" w:type="dxa"/>
          </w:tcPr>
          <w:p w14:paraId="38902150" w14:textId="77777777" w:rsidR="004C0A79" w:rsidRPr="00731F8E" w:rsidRDefault="004C0A79" w:rsidP="004C0A79">
            <w:pPr>
              <w:pStyle w:val="TableParagraph"/>
              <w:spacing w:before="23"/>
              <w:ind w:right="96"/>
              <w:jc w:val="right"/>
              <w:rPr>
                <w:rFonts w:ascii="Times New Roman" w:hAnsi="Times New Roman" w:cs="Times New Roman"/>
                <w:szCs w:val="22"/>
              </w:rPr>
            </w:pPr>
            <w:r w:rsidRPr="00731F8E">
              <w:rPr>
                <w:rFonts w:ascii="Times New Roman" w:hAnsi="Times New Roman" w:cs="Times New Roman"/>
                <w:szCs w:val="22"/>
              </w:rPr>
              <w:t>25.000</w:t>
            </w:r>
          </w:p>
        </w:tc>
        <w:tc>
          <w:tcPr>
            <w:tcW w:w="1988" w:type="dxa"/>
          </w:tcPr>
          <w:p w14:paraId="0C5ACB83"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83</w:t>
            </w:r>
          </w:p>
        </w:tc>
      </w:tr>
      <w:tr w:rsidR="004C0A79" w:rsidRPr="00731F8E" w14:paraId="02548058" w14:textId="77777777" w:rsidTr="004C0A79">
        <w:trPr>
          <w:trHeight w:val="359"/>
        </w:trPr>
        <w:tc>
          <w:tcPr>
            <w:tcW w:w="1409" w:type="dxa"/>
          </w:tcPr>
          <w:p w14:paraId="7521247D"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2013</w:t>
            </w:r>
          </w:p>
        </w:tc>
        <w:tc>
          <w:tcPr>
            <w:tcW w:w="2722" w:type="dxa"/>
          </w:tcPr>
          <w:p w14:paraId="1381C068" w14:textId="77777777" w:rsidR="004C0A79" w:rsidRPr="00731F8E" w:rsidRDefault="004C0A79" w:rsidP="004C0A79">
            <w:pPr>
              <w:pStyle w:val="TableParagraph"/>
              <w:spacing w:before="25"/>
              <w:ind w:right="95"/>
              <w:jc w:val="right"/>
              <w:rPr>
                <w:rFonts w:ascii="Times New Roman" w:hAnsi="Times New Roman" w:cs="Times New Roman"/>
                <w:szCs w:val="22"/>
              </w:rPr>
            </w:pPr>
            <w:r w:rsidRPr="00731F8E">
              <w:rPr>
                <w:rFonts w:ascii="Times New Roman" w:hAnsi="Times New Roman" w:cs="Times New Roman"/>
                <w:szCs w:val="22"/>
              </w:rPr>
              <w:t>5.000</w:t>
            </w:r>
          </w:p>
        </w:tc>
        <w:tc>
          <w:tcPr>
            <w:tcW w:w="1988" w:type="dxa"/>
          </w:tcPr>
          <w:p w14:paraId="73BF05F5"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84</w:t>
            </w:r>
          </w:p>
        </w:tc>
      </w:tr>
      <w:tr w:rsidR="004C0A79" w:rsidRPr="00731F8E" w14:paraId="755A77CB" w14:textId="77777777" w:rsidTr="004C0A79">
        <w:trPr>
          <w:trHeight w:val="359"/>
        </w:trPr>
        <w:tc>
          <w:tcPr>
            <w:tcW w:w="1409" w:type="dxa"/>
          </w:tcPr>
          <w:p w14:paraId="7ECC58A7"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2014</w:t>
            </w:r>
          </w:p>
        </w:tc>
        <w:tc>
          <w:tcPr>
            <w:tcW w:w="2722" w:type="dxa"/>
          </w:tcPr>
          <w:p w14:paraId="0071F0B7" w14:textId="77777777" w:rsidR="004C0A79" w:rsidRPr="00731F8E" w:rsidRDefault="004C0A79" w:rsidP="004C0A79">
            <w:pPr>
              <w:pStyle w:val="TableParagraph"/>
              <w:spacing w:before="25"/>
              <w:ind w:right="95"/>
              <w:jc w:val="right"/>
              <w:rPr>
                <w:rFonts w:ascii="Times New Roman" w:hAnsi="Times New Roman" w:cs="Times New Roman"/>
                <w:szCs w:val="22"/>
              </w:rPr>
            </w:pPr>
            <w:r w:rsidRPr="00731F8E">
              <w:rPr>
                <w:rFonts w:ascii="Times New Roman" w:hAnsi="Times New Roman" w:cs="Times New Roman"/>
                <w:szCs w:val="22"/>
              </w:rPr>
              <w:t>4.500</w:t>
            </w:r>
          </w:p>
        </w:tc>
        <w:tc>
          <w:tcPr>
            <w:tcW w:w="1988" w:type="dxa"/>
          </w:tcPr>
          <w:p w14:paraId="2E2C5235"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85</w:t>
            </w:r>
          </w:p>
        </w:tc>
      </w:tr>
      <w:tr w:rsidR="004C0A79" w:rsidRPr="00731F8E" w14:paraId="104773FA" w14:textId="77777777" w:rsidTr="004C0A79">
        <w:trPr>
          <w:trHeight w:val="359"/>
        </w:trPr>
        <w:tc>
          <w:tcPr>
            <w:tcW w:w="1409" w:type="dxa"/>
          </w:tcPr>
          <w:p w14:paraId="2AB2A976"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2015</w:t>
            </w:r>
          </w:p>
        </w:tc>
        <w:tc>
          <w:tcPr>
            <w:tcW w:w="2722" w:type="dxa"/>
          </w:tcPr>
          <w:p w14:paraId="231BD5BB" w14:textId="77777777" w:rsidR="004C0A79" w:rsidRPr="00731F8E" w:rsidRDefault="004C0A79" w:rsidP="004C0A79">
            <w:pPr>
              <w:pStyle w:val="TableParagraph"/>
              <w:spacing w:before="23"/>
              <w:ind w:right="95"/>
              <w:jc w:val="right"/>
              <w:rPr>
                <w:rFonts w:ascii="Times New Roman" w:hAnsi="Times New Roman" w:cs="Times New Roman"/>
                <w:szCs w:val="22"/>
              </w:rPr>
            </w:pPr>
            <w:r w:rsidRPr="00731F8E">
              <w:rPr>
                <w:rFonts w:ascii="Times New Roman" w:hAnsi="Times New Roman" w:cs="Times New Roman"/>
                <w:szCs w:val="22"/>
              </w:rPr>
              <w:t>4,000</w:t>
            </w:r>
          </w:p>
        </w:tc>
        <w:tc>
          <w:tcPr>
            <w:tcW w:w="1988" w:type="dxa"/>
          </w:tcPr>
          <w:p w14:paraId="7DE333CE" w14:textId="77777777" w:rsidR="004C0A79" w:rsidRPr="00731F8E" w:rsidRDefault="004C0A79" w:rsidP="004C0A79">
            <w:pPr>
              <w:pStyle w:val="TableParagraph"/>
              <w:spacing w:line="268" w:lineRule="exact"/>
              <w:ind w:right="94"/>
              <w:jc w:val="right"/>
              <w:rPr>
                <w:rFonts w:ascii="Times New Roman" w:hAnsi="Times New Roman" w:cs="Times New Roman"/>
                <w:szCs w:val="22"/>
              </w:rPr>
            </w:pPr>
            <w:r w:rsidRPr="00731F8E">
              <w:rPr>
                <w:rFonts w:ascii="Times New Roman" w:hAnsi="Times New Roman" w:cs="Times New Roman"/>
                <w:szCs w:val="22"/>
              </w:rPr>
              <w:t>85,04</w:t>
            </w:r>
          </w:p>
        </w:tc>
      </w:tr>
      <w:tr w:rsidR="004C0A79" w:rsidRPr="00731F8E" w14:paraId="2F156DB3" w14:textId="77777777" w:rsidTr="004C0A79">
        <w:trPr>
          <w:trHeight w:val="357"/>
        </w:trPr>
        <w:tc>
          <w:tcPr>
            <w:tcW w:w="1409" w:type="dxa"/>
          </w:tcPr>
          <w:p w14:paraId="20390754"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2016</w:t>
            </w:r>
          </w:p>
        </w:tc>
        <w:tc>
          <w:tcPr>
            <w:tcW w:w="2722" w:type="dxa"/>
          </w:tcPr>
          <w:p w14:paraId="46DADC42" w14:textId="77777777" w:rsidR="004C0A79" w:rsidRPr="00731F8E" w:rsidRDefault="004C0A79" w:rsidP="004C0A79">
            <w:pPr>
              <w:pStyle w:val="TableParagraph"/>
              <w:spacing w:before="23"/>
              <w:ind w:right="95"/>
              <w:jc w:val="right"/>
              <w:rPr>
                <w:rFonts w:ascii="Times New Roman" w:hAnsi="Times New Roman" w:cs="Times New Roman"/>
                <w:szCs w:val="22"/>
              </w:rPr>
            </w:pPr>
            <w:r w:rsidRPr="00731F8E">
              <w:rPr>
                <w:rFonts w:ascii="Times New Roman" w:hAnsi="Times New Roman" w:cs="Times New Roman"/>
                <w:szCs w:val="22"/>
              </w:rPr>
              <w:t>3.600</w:t>
            </w:r>
          </w:p>
        </w:tc>
        <w:tc>
          <w:tcPr>
            <w:tcW w:w="1988" w:type="dxa"/>
          </w:tcPr>
          <w:p w14:paraId="5540B966"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85,8</w:t>
            </w:r>
          </w:p>
        </w:tc>
      </w:tr>
      <w:tr w:rsidR="004C0A79" w:rsidRPr="00731F8E" w14:paraId="1713041C" w14:textId="77777777" w:rsidTr="004C0A79">
        <w:trPr>
          <w:trHeight w:val="359"/>
        </w:trPr>
        <w:tc>
          <w:tcPr>
            <w:tcW w:w="1409" w:type="dxa"/>
          </w:tcPr>
          <w:p w14:paraId="641E383A"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2017</w:t>
            </w:r>
          </w:p>
        </w:tc>
        <w:tc>
          <w:tcPr>
            <w:tcW w:w="2722" w:type="dxa"/>
          </w:tcPr>
          <w:p w14:paraId="765FFEDB" w14:textId="77777777" w:rsidR="004C0A79" w:rsidRPr="00731F8E" w:rsidRDefault="004C0A79" w:rsidP="004C0A79">
            <w:pPr>
              <w:pStyle w:val="TableParagraph"/>
              <w:spacing w:before="25"/>
              <w:ind w:right="95"/>
              <w:jc w:val="right"/>
              <w:rPr>
                <w:rFonts w:ascii="Times New Roman" w:hAnsi="Times New Roman" w:cs="Times New Roman"/>
                <w:szCs w:val="22"/>
              </w:rPr>
            </w:pPr>
            <w:r w:rsidRPr="00731F8E">
              <w:rPr>
                <w:rFonts w:ascii="Times New Roman" w:hAnsi="Times New Roman" w:cs="Times New Roman"/>
                <w:szCs w:val="22"/>
              </w:rPr>
              <w:t>2.400</w:t>
            </w:r>
          </w:p>
        </w:tc>
        <w:tc>
          <w:tcPr>
            <w:tcW w:w="1988" w:type="dxa"/>
          </w:tcPr>
          <w:p w14:paraId="5BC10614"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90</w:t>
            </w:r>
          </w:p>
        </w:tc>
      </w:tr>
      <w:tr w:rsidR="004C0A79" w:rsidRPr="00731F8E" w14:paraId="0E7751FC" w14:textId="77777777" w:rsidTr="004C0A79">
        <w:trPr>
          <w:trHeight w:val="359"/>
        </w:trPr>
        <w:tc>
          <w:tcPr>
            <w:tcW w:w="1409" w:type="dxa"/>
          </w:tcPr>
          <w:p w14:paraId="4F916DA7"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2018</w:t>
            </w:r>
          </w:p>
        </w:tc>
        <w:tc>
          <w:tcPr>
            <w:tcW w:w="2722" w:type="dxa"/>
          </w:tcPr>
          <w:p w14:paraId="19288473" w14:textId="77777777" w:rsidR="004C0A79" w:rsidRPr="00731F8E" w:rsidRDefault="004C0A79" w:rsidP="004C0A79">
            <w:pPr>
              <w:pStyle w:val="TableParagraph"/>
              <w:spacing w:before="25"/>
              <w:ind w:right="95"/>
              <w:jc w:val="right"/>
              <w:rPr>
                <w:rFonts w:ascii="Times New Roman" w:hAnsi="Times New Roman" w:cs="Times New Roman"/>
                <w:szCs w:val="22"/>
              </w:rPr>
            </w:pPr>
            <w:r w:rsidRPr="00731F8E">
              <w:rPr>
                <w:rFonts w:ascii="Times New Roman" w:hAnsi="Times New Roman" w:cs="Times New Roman"/>
                <w:szCs w:val="22"/>
              </w:rPr>
              <w:t>2,000</w:t>
            </w:r>
          </w:p>
        </w:tc>
        <w:tc>
          <w:tcPr>
            <w:tcW w:w="1988" w:type="dxa"/>
          </w:tcPr>
          <w:p w14:paraId="426DEF04"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92,6</w:t>
            </w:r>
          </w:p>
        </w:tc>
      </w:tr>
      <w:tr w:rsidR="004C0A79" w:rsidRPr="00731F8E" w14:paraId="6DE01C7D" w14:textId="77777777" w:rsidTr="004C0A79">
        <w:trPr>
          <w:trHeight w:val="359"/>
        </w:trPr>
        <w:tc>
          <w:tcPr>
            <w:tcW w:w="1409" w:type="dxa"/>
          </w:tcPr>
          <w:p w14:paraId="1290E8BF"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2019</w:t>
            </w:r>
          </w:p>
        </w:tc>
        <w:tc>
          <w:tcPr>
            <w:tcW w:w="2722" w:type="dxa"/>
          </w:tcPr>
          <w:p w14:paraId="5C3DA3B4" w14:textId="77777777" w:rsidR="004C0A79" w:rsidRPr="00731F8E" w:rsidRDefault="004C0A79" w:rsidP="004C0A79">
            <w:pPr>
              <w:pStyle w:val="TableParagraph"/>
              <w:spacing w:before="23"/>
              <w:ind w:right="95"/>
              <w:jc w:val="right"/>
              <w:rPr>
                <w:rFonts w:ascii="Times New Roman" w:hAnsi="Times New Roman" w:cs="Times New Roman"/>
                <w:szCs w:val="22"/>
              </w:rPr>
            </w:pPr>
            <w:r w:rsidRPr="00731F8E">
              <w:rPr>
                <w:rFonts w:ascii="Times New Roman" w:hAnsi="Times New Roman" w:cs="Times New Roman"/>
                <w:szCs w:val="22"/>
              </w:rPr>
              <w:t>1,600</w:t>
            </w:r>
          </w:p>
        </w:tc>
        <w:tc>
          <w:tcPr>
            <w:tcW w:w="1988" w:type="dxa"/>
          </w:tcPr>
          <w:p w14:paraId="43BE12B2"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95,4</w:t>
            </w:r>
          </w:p>
        </w:tc>
      </w:tr>
      <w:tr w:rsidR="004C0A79" w:rsidRPr="00731F8E" w14:paraId="64991DD5" w14:textId="77777777" w:rsidTr="004C0A79">
        <w:trPr>
          <w:trHeight w:val="357"/>
        </w:trPr>
        <w:tc>
          <w:tcPr>
            <w:tcW w:w="1409" w:type="dxa"/>
          </w:tcPr>
          <w:p w14:paraId="49B1E1D8"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2020</w:t>
            </w:r>
          </w:p>
        </w:tc>
        <w:tc>
          <w:tcPr>
            <w:tcW w:w="2722" w:type="dxa"/>
          </w:tcPr>
          <w:p w14:paraId="4831EDD1" w14:textId="77777777" w:rsidR="004C0A79" w:rsidRPr="00731F8E" w:rsidRDefault="004C0A79" w:rsidP="004C0A79">
            <w:pPr>
              <w:pStyle w:val="TableParagraph"/>
              <w:spacing w:before="23"/>
              <w:ind w:right="95"/>
              <w:jc w:val="right"/>
              <w:rPr>
                <w:rFonts w:ascii="Times New Roman" w:hAnsi="Times New Roman" w:cs="Times New Roman"/>
                <w:szCs w:val="22"/>
              </w:rPr>
            </w:pPr>
            <w:r w:rsidRPr="00731F8E">
              <w:rPr>
                <w:rFonts w:ascii="Times New Roman" w:hAnsi="Times New Roman" w:cs="Times New Roman"/>
                <w:szCs w:val="22"/>
              </w:rPr>
              <w:t>1.400</w:t>
            </w:r>
          </w:p>
        </w:tc>
        <w:tc>
          <w:tcPr>
            <w:tcW w:w="1988" w:type="dxa"/>
          </w:tcPr>
          <w:p w14:paraId="3E7D364E"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96,8</w:t>
            </w:r>
          </w:p>
        </w:tc>
      </w:tr>
      <w:tr w:rsidR="004C0A79" w:rsidRPr="00731F8E" w14:paraId="21F41D84" w14:textId="77777777" w:rsidTr="004C0A79">
        <w:trPr>
          <w:trHeight w:val="359"/>
        </w:trPr>
        <w:tc>
          <w:tcPr>
            <w:tcW w:w="1409" w:type="dxa"/>
          </w:tcPr>
          <w:p w14:paraId="611A69DD" w14:textId="77777777" w:rsidR="004C0A79" w:rsidRPr="00731F8E" w:rsidRDefault="004C0A79" w:rsidP="004C0A79">
            <w:pPr>
              <w:pStyle w:val="TableParagraph"/>
              <w:spacing w:before="25"/>
              <w:ind w:left="11" w:right="2"/>
              <w:rPr>
                <w:rFonts w:ascii="Times New Roman" w:hAnsi="Times New Roman" w:cs="Times New Roman"/>
                <w:szCs w:val="22"/>
              </w:rPr>
            </w:pPr>
            <w:r w:rsidRPr="00731F8E">
              <w:rPr>
                <w:rFonts w:ascii="Times New Roman" w:hAnsi="Times New Roman" w:cs="Times New Roman"/>
                <w:szCs w:val="22"/>
              </w:rPr>
              <w:t>2021</w:t>
            </w:r>
          </w:p>
        </w:tc>
        <w:tc>
          <w:tcPr>
            <w:tcW w:w="2722" w:type="dxa"/>
          </w:tcPr>
          <w:p w14:paraId="4D5C3C4B" w14:textId="77777777" w:rsidR="004C0A79" w:rsidRPr="00731F8E" w:rsidRDefault="004C0A79" w:rsidP="004C0A79">
            <w:pPr>
              <w:pStyle w:val="TableParagraph"/>
              <w:spacing w:before="25"/>
              <w:ind w:right="95"/>
              <w:jc w:val="right"/>
              <w:rPr>
                <w:rFonts w:ascii="Times New Roman" w:hAnsi="Times New Roman" w:cs="Times New Roman"/>
                <w:szCs w:val="22"/>
              </w:rPr>
            </w:pPr>
            <w:r w:rsidRPr="00731F8E">
              <w:rPr>
                <w:rFonts w:ascii="Times New Roman" w:hAnsi="Times New Roman" w:cs="Times New Roman"/>
                <w:szCs w:val="22"/>
              </w:rPr>
              <w:t>1.200</w:t>
            </w:r>
          </w:p>
        </w:tc>
        <w:tc>
          <w:tcPr>
            <w:tcW w:w="1988" w:type="dxa"/>
          </w:tcPr>
          <w:p w14:paraId="6681F07F"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97.2</w:t>
            </w:r>
          </w:p>
        </w:tc>
      </w:tr>
      <w:tr w:rsidR="004C0A79" w:rsidRPr="00731F8E" w14:paraId="34D420A0" w14:textId="77777777" w:rsidTr="004C0A79">
        <w:trPr>
          <w:trHeight w:val="359"/>
        </w:trPr>
        <w:tc>
          <w:tcPr>
            <w:tcW w:w="1409" w:type="dxa"/>
          </w:tcPr>
          <w:p w14:paraId="2D1D2194" w14:textId="77777777" w:rsidR="004C0A79" w:rsidRPr="00731F8E" w:rsidRDefault="004C0A79" w:rsidP="004C0A79">
            <w:pPr>
              <w:pStyle w:val="TableParagraph"/>
              <w:spacing w:before="25"/>
              <w:ind w:left="11" w:right="3"/>
              <w:rPr>
                <w:rFonts w:ascii="Times New Roman" w:hAnsi="Times New Roman" w:cs="Times New Roman"/>
                <w:szCs w:val="22"/>
              </w:rPr>
            </w:pPr>
            <w:r w:rsidRPr="00731F8E">
              <w:rPr>
                <w:rFonts w:ascii="Times New Roman" w:hAnsi="Times New Roman" w:cs="Times New Roman"/>
                <w:szCs w:val="22"/>
              </w:rPr>
              <w:t>2022</w:t>
            </w:r>
          </w:p>
        </w:tc>
        <w:tc>
          <w:tcPr>
            <w:tcW w:w="2722" w:type="dxa"/>
          </w:tcPr>
          <w:p w14:paraId="519DEF53" w14:textId="77777777" w:rsidR="004C0A79" w:rsidRPr="00731F8E" w:rsidRDefault="004C0A79" w:rsidP="004C0A79">
            <w:pPr>
              <w:pStyle w:val="TableParagraph"/>
              <w:spacing w:before="25"/>
              <w:ind w:right="96"/>
              <w:jc w:val="right"/>
              <w:rPr>
                <w:rFonts w:ascii="Times New Roman" w:hAnsi="Times New Roman" w:cs="Times New Roman"/>
                <w:szCs w:val="22"/>
              </w:rPr>
            </w:pPr>
            <w:r w:rsidRPr="00731F8E">
              <w:rPr>
                <w:rFonts w:ascii="Times New Roman" w:hAnsi="Times New Roman" w:cs="Times New Roman"/>
                <w:szCs w:val="22"/>
              </w:rPr>
              <w:t>1.100</w:t>
            </w:r>
          </w:p>
        </w:tc>
        <w:tc>
          <w:tcPr>
            <w:tcW w:w="1988" w:type="dxa"/>
          </w:tcPr>
          <w:p w14:paraId="32F324B6"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98,1</w:t>
            </w:r>
          </w:p>
        </w:tc>
      </w:tr>
      <w:tr w:rsidR="004C0A79" w:rsidRPr="00731F8E" w14:paraId="65813F84" w14:textId="77777777" w:rsidTr="004C0A79">
        <w:trPr>
          <w:trHeight w:val="359"/>
        </w:trPr>
        <w:tc>
          <w:tcPr>
            <w:tcW w:w="1409" w:type="dxa"/>
          </w:tcPr>
          <w:p w14:paraId="48F4710B" w14:textId="77777777" w:rsidR="004C0A79" w:rsidRPr="00731F8E" w:rsidRDefault="004C0A79" w:rsidP="004C0A79">
            <w:pPr>
              <w:pStyle w:val="TableParagraph"/>
              <w:spacing w:before="23"/>
              <w:ind w:left="11" w:right="2"/>
              <w:rPr>
                <w:rFonts w:ascii="Times New Roman" w:hAnsi="Times New Roman" w:cs="Times New Roman"/>
                <w:szCs w:val="22"/>
              </w:rPr>
            </w:pPr>
            <w:r w:rsidRPr="00731F8E">
              <w:rPr>
                <w:rFonts w:ascii="Times New Roman" w:hAnsi="Times New Roman" w:cs="Times New Roman"/>
                <w:szCs w:val="22"/>
              </w:rPr>
              <w:t>2023</w:t>
            </w:r>
          </w:p>
        </w:tc>
        <w:tc>
          <w:tcPr>
            <w:tcW w:w="2722" w:type="dxa"/>
          </w:tcPr>
          <w:p w14:paraId="64A18172" w14:textId="77777777" w:rsidR="004C0A79" w:rsidRPr="00731F8E" w:rsidRDefault="004C0A79" w:rsidP="004C0A79">
            <w:pPr>
              <w:pStyle w:val="TableParagraph"/>
              <w:spacing w:before="23"/>
              <w:ind w:right="95"/>
              <w:jc w:val="right"/>
              <w:rPr>
                <w:rFonts w:ascii="Times New Roman" w:hAnsi="Times New Roman" w:cs="Times New Roman"/>
                <w:szCs w:val="22"/>
              </w:rPr>
            </w:pPr>
            <w:r w:rsidRPr="00731F8E">
              <w:rPr>
                <w:rFonts w:ascii="Times New Roman" w:hAnsi="Times New Roman" w:cs="Times New Roman"/>
                <w:szCs w:val="22"/>
              </w:rPr>
              <w:t>1,000</w:t>
            </w:r>
          </w:p>
        </w:tc>
        <w:tc>
          <w:tcPr>
            <w:tcW w:w="1988" w:type="dxa"/>
          </w:tcPr>
          <w:p w14:paraId="22EFD313" w14:textId="77777777" w:rsidR="004C0A79" w:rsidRPr="00731F8E" w:rsidRDefault="004C0A79" w:rsidP="004C0A79">
            <w:pPr>
              <w:pStyle w:val="TableParagraph"/>
              <w:spacing w:line="268" w:lineRule="exact"/>
              <w:ind w:right="95"/>
              <w:jc w:val="right"/>
              <w:rPr>
                <w:rFonts w:ascii="Times New Roman" w:hAnsi="Times New Roman" w:cs="Times New Roman"/>
                <w:szCs w:val="22"/>
              </w:rPr>
            </w:pPr>
            <w:r w:rsidRPr="00731F8E">
              <w:rPr>
                <w:rFonts w:ascii="Times New Roman" w:hAnsi="Times New Roman" w:cs="Times New Roman"/>
                <w:szCs w:val="22"/>
              </w:rPr>
              <w:t>98,4</w:t>
            </w:r>
          </w:p>
        </w:tc>
      </w:tr>
    </w:tbl>
    <w:p w14:paraId="2A6E8CF6" w14:textId="77777777" w:rsidR="004C0A79" w:rsidRPr="00731F8E" w:rsidRDefault="004C0A79" w:rsidP="004C0A79">
      <w:pPr>
        <w:pStyle w:val="GvdeMetni"/>
        <w:spacing w:before="48"/>
        <w:rPr>
          <w:rFonts w:cs="Times New Roman"/>
          <w:b/>
          <w:i/>
          <w:szCs w:val="22"/>
        </w:rPr>
      </w:pPr>
    </w:p>
    <w:p w14:paraId="6E228352"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before="1" w:after="0"/>
        <w:ind w:left="836" w:right="132" w:hanging="361"/>
        <w:contextualSpacing w:val="0"/>
        <w:rPr>
          <w:rFonts w:ascii="Times New Roman" w:hAnsi="Times New Roman"/>
        </w:rPr>
      </w:pPr>
      <w:r w:rsidRPr="00731F8E">
        <w:rPr>
          <w:rFonts w:ascii="Times New Roman" w:hAnsi="Times New Roman"/>
        </w:rPr>
        <w:t>With the Board Decision dated 06.01.2022 and numbered 10712 published in the Official Gazette dated 08.01.2022 and numbered 31713, Article 1 of the Procedures and Principles on Ensuring Transparency in Organized Wholesale Electricity Markets published in the Official Gazette dated 28.05.2016 and numbered 29725 has been amended as follows.</w:t>
      </w:r>
    </w:p>
    <w:p w14:paraId="3D14C558" w14:textId="77777777" w:rsidR="004C0A79" w:rsidRPr="00731F8E" w:rsidRDefault="004C0A79" w:rsidP="004C0A79">
      <w:pPr>
        <w:pStyle w:val="GvdeMetni"/>
        <w:spacing w:before="40"/>
        <w:rPr>
          <w:rFonts w:cs="Times New Roman"/>
          <w:i/>
          <w:szCs w:val="22"/>
        </w:rPr>
      </w:pPr>
    </w:p>
    <w:p w14:paraId="60E391D1" w14:textId="77777777" w:rsidR="004C0A79" w:rsidRPr="00731F8E" w:rsidRDefault="004C0A79" w:rsidP="00A86526">
      <w:pPr>
        <w:pStyle w:val="ListeParagraf"/>
        <w:widowControl w:val="0"/>
        <w:numPr>
          <w:ilvl w:val="4"/>
          <w:numId w:val="67"/>
        </w:numPr>
        <w:tabs>
          <w:tab w:val="left" w:pos="1556"/>
        </w:tabs>
        <w:autoSpaceDE w:val="0"/>
        <w:autoSpaceDN w:val="0"/>
        <w:spacing w:after="0" w:line="240" w:lineRule="auto"/>
        <w:contextualSpacing w:val="0"/>
        <w:jc w:val="left"/>
        <w:rPr>
          <w:rFonts w:ascii="Times New Roman" w:hAnsi="Times New Roman"/>
        </w:rPr>
      </w:pPr>
      <w:r w:rsidRPr="00731F8E">
        <w:rPr>
          <w:rFonts w:ascii="Times New Roman" w:hAnsi="Times New Roman"/>
        </w:rPr>
        <w:t>Article 1 has been amended as follows.</w:t>
      </w:r>
    </w:p>
    <w:p w14:paraId="155DD865" w14:textId="77777777" w:rsidR="004C0A79" w:rsidRPr="00731F8E" w:rsidRDefault="004C0A79" w:rsidP="004C0A79">
      <w:pPr>
        <w:pStyle w:val="GvdeMetni"/>
        <w:spacing w:before="80"/>
        <w:rPr>
          <w:rFonts w:cs="Times New Roman"/>
          <w:i/>
          <w:szCs w:val="22"/>
        </w:rPr>
      </w:pPr>
    </w:p>
    <w:p w14:paraId="4C434985"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"Article 1- (1) The purpose of these Procedures and Principles is to determine the data sharing procedures, reporting procedures and obligations of market participants regarding the provision of transparency in organized wholesale electricity markets and other markets operated by EPİAŞ outside the scope of market operation license."</w:t>
      </w:r>
    </w:p>
    <w:p w14:paraId="4C686150" w14:textId="77777777" w:rsidR="004C0A79" w:rsidRPr="00731F8E" w:rsidRDefault="004C0A79" w:rsidP="004C0A79">
      <w:pPr>
        <w:pStyle w:val="GvdeMetni"/>
        <w:spacing w:before="41"/>
        <w:rPr>
          <w:rFonts w:cs="Times New Roman"/>
          <w:szCs w:val="22"/>
        </w:rPr>
      </w:pPr>
    </w:p>
    <w:p w14:paraId="5B6A066A" w14:textId="77777777" w:rsidR="004C0A79" w:rsidRPr="00731F8E" w:rsidRDefault="004C0A79" w:rsidP="00A86526">
      <w:pPr>
        <w:pStyle w:val="ListeParagraf"/>
        <w:widowControl w:val="0"/>
        <w:numPr>
          <w:ilvl w:val="4"/>
          <w:numId w:val="67"/>
        </w:numPr>
        <w:tabs>
          <w:tab w:val="left" w:pos="1556"/>
        </w:tabs>
        <w:autoSpaceDE w:val="0"/>
        <w:autoSpaceDN w:val="0"/>
        <w:spacing w:after="0" w:line="240" w:lineRule="auto"/>
        <w:contextualSpacing w:val="0"/>
        <w:jc w:val="left"/>
        <w:rPr>
          <w:rFonts w:ascii="Times New Roman" w:hAnsi="Times New Roman"/>
        </w:rPr>
      </w:pPr>
      <w:r w:rsidRPr="00731F8E">
        <w:rPr>
          <w:rFonts w:ascii="Times New Roman" w:hAnsi="Times New Roman"/>
        </w:rPr>
        <w:t>Article 2 has been amended as follows.</w:t>
      </w:r>
    </w:p>
    <w:p w14:paraId="0D84EDDF" w14:textId="77777777" w:rsidR="004C0A79" w:rsidRPr="00731F8E" w:rsidRDefault="004C0A79" w:rsidP="004C0A79">
      <w:pPr>
        <w:rPr>
          <w:rFonts w:ascii="Times New Roman" w:hAnsi="Times New Roman"/>
        </w:rPr>
        <w:sectPr w:rsidR="004C0A79" w:rsidRPr="00731F8E">
          <w:pgSz w:w="11910" w:h="16840"/>
          <w:pgMar w:top="1680" w:right="1280" w:bottom="280" w:left="1300" w:header="720" w:footer="720" w:gutter="0"/>
          <w:cols w:space="720"/>
        </w:sectPr>
      </w:pPr>
    </w:p>
    <w:p w14:paraId="3FA643ED"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lastRenderedPageBreak/>
        <w:t>"Article 2 - (1) These Procedures and Principles have been prepared based on Article 136 of the Electricity Market Balancing and Settlement Regulation and Article 9 of the Organized Wholesale Natural Gas Sales Market Regulation."</w:t>
      </w:r>
    </w:p>
    <w:p w14:paraId="6888B29D" w14:textId="77777777" w:rsidR="004C0A79" w:rsidRPr="00731F8E" w:rsidRDefault="004C0A79" w:rsidP="004C0A79">
      <w:pPr>
        <w:pStyle w:val="GvdeMetni"/>
        <w:spacing w:before="40"/>
        <w:rPr>
          <w:rFonts w:cs="Times New Roman"/>
          <w:szCs w:val="22"/>
        </w:rPr>
      </w:pPr>
    </w:p>
    <w:p w14:paraId="5F3910DE" w14:textId="77777777" w:rsidR="004C0A79" w:rsidRPr="00731F8E" w:rsidRDefault="004C0A79" w:rsidP="00A86526">
      <w:pPr>
        <w:pStyle w:val="ListeParagraf"/>
        <w:widowControl w:val="0"/>
        <w:numPr>
          <w:ilvl w:val="4"/>
          <w:numId w:val="67"/>
        </w:numPr>
        <w:tabs>
          <w:tab w:val="left" w:pos="1606"/>
        </w:tabs>
        <w:autoSpaceDE w:val="0"/>
        <w:autoSpaceDN w:val="0"/>
        <w:spacing w:before="1" w:after="0" w:line="240" w:lineRule="auto"/>
        <w:ind w:left="1606" w:hanging="410"/>
        <w:contextualSpacing w:val="0"/>
        <w:jc w:val="left"/>
        <w:rPr>
          <w:rFonts w:ascii="Times New Roman" w:hAnsi="Times New Roman"/>
        </w:rPr>
      </w:pPr>
      <w:r w:rsidRPr="00731F8E">
        <w:rPr>
          <w:rFonts w:ascii="Times New Roman" w:hAnsi="Times New Roman"/>
        </w:rPr>
        <w:t>The first and second paragraphs of Article 3 have been amended as follows.</w:t>
      </w:r>
    </w:p>
    <w:p w14:paraId="2B48FAB4" w14:textId="77777777" w:rsidR="004C0A79" w:rsidRPr="00731F8E" w:rsidRDefault="004C0A79" w:rsidP="004C0A79">
      <w:pPr>
        <w:pStyle w:val="GvdeMetni"/>
        <w:spacing w:before="62"/>
        <w:rPr>
          <w:rFonts w:cs="Times New Roman"/>
          <w:i/>
          <w:szCs w:val="22"/>
        </w:rPr>
      </w:pPr>
    </w:p>
    <w:p w14:paraId="29C68E01"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"(1) EPİAŞ is obliged to operate a central data and analysis platform under the name of transparency platform in order to ensure that market participants can carry out their market activities within the framework of equality of opportunity in the markets it operates or performs financial reconciliation, to prevent information asymmetry between market participants, and to access the information they need to make the right decisions in their activities and purchases in the relevant markets.</w:t>
      </w:r>
    </w:p>
    <w:p w14:paraId="41428232" w14:textId="77777777" w:rsidR="004C0A79" w:rsidRPr="00731F8E" w:rsidRDefault="004C0A79" w:rsidP="00A86526">
      <w:pPr>
        <w:pStyle w:val="P68B1DB1-ListParagraph2"/>
        <w:numPr>
          <w:ilvl w:val="0"/>
          <w:numId w:val="66"/>
        </w:numPr>
        <w:tabs>
          <w:tab w:val="left" w:pos="1919"/>
        </w:tabs>
        <w:spacing w:line="276" w:lineRule="auto"/>
        <w:ind w:right="132" w:firstLine="0"/>
        <w:rPr>
          <w:rFonts w:ascii="Times New Roman" w:hAnsi="Times New Roman" w:cs="Times New Roman"/>
          <w:szCs w:val="22"/>
        </w:rPr>
      </w:pPr>
      <w:r w:rsidRPr="00731F8E">
        <w:rPr>
          <w:rFonts w:ascii="Times New Roman" w:hAnsi="Times New Roman" w:cs="Times New Roman"/>
          <w:szCs w:val="22"/>
        </w:rPr>
        <w:t>EPİAŞ organizes a workshop every year in the last quarter of the year to determine and update the data to be published on the transparency platform and to consult on the improvement of the platform's contribution to the market. In order to ensure that the opinions of sector associations, representatives of relevant institutions and organizations and representatives of the Authority, as well as market participants, are reflected in the workshop, it is ensured that willing sector representatives and observers participate in the workshop. EPİAŞ submits a report to the Agency on the issues discussed in the workshop and the results achieved. "</w:t>
      </w:r>
    </w:p>
    <w:p w14:paraId="2F899D18" w14:textId="77777777" w:rsidR="004C0A79" w:rsidRPr="00731F8E" w:rsidRDefault="004C0A79" w:rsidP="004C0A79">
      <w:pPr>
        <w:pStyle w:val="GvdeMetni"/>
        <w:spacing w:before="38"/>
        <w:rPr>
          <w:rFonts w:cs="Times New Roman"/>
          <w:szCs w:val="22"/>
        </w:rPr>
      </w:pPr>
    </w:p>
    <w:p w14:paraId="4D5C6EE5" w14:textId="77777777" w:rsidR="004C0A79" w:rsidRPr="00731F8E" w:rsidRDefault="004C0A79" w:rsidP="00A86526">
      <w:pPr>
        <w:pStyle w:val="ListeParagraf"/>
        <w:widowControl w:val="0"/>
        <w:numPr>
          <w:ilvl w:val="4"/>
          <w:numId w:val="67"/>
        </w:numPr>
        <w:tabs>
          <w:tab w:val="left" w:pos="1556"/>
        </w:tabs>
        <w:autoSpaceDE w:val="0"/>
        <w:autoSpaceDN w:val="0"/>
        <w:spacing w:before="1" w:after="0" w:line="259" w:lineRule="auto"/>
        <w:ind w:right="136"/>
        <w:contextualSpacing w:val="0"/>
        <w:jc w:val="left"/>
        <w:rPr>
          <w:rFonts w:ascii="Times New Roman" w:hAnsi="Times New Roman"/>
        </w:rPr>
      </w:pPr>
      <w:r w:rsidRPr="00731F8E">
        <w:rPr>
          <w:rFonts w:ascii="Times New Roman" w:hAnsi="Times New Roman"/>
        </w:rPr>
        <w:t>The first paragraph of Article 4 has been amended as follows and the following paragraph has been added to the end of the article.</w:t>
      </w:r>
    </w:p>
    <w:p w14:paraId="6E17247A" w14:textId="77777777" w:rsidR="004C0A79" w:rsidRPr="00731F8E" w:rsidRDefault="004C0A79" w:rsidP="004C0A79">
      <w:pPr>
        <w:pStyle w:val="GvdeMetni"/>
        <w:spacing w:before="39"/>
        <w:rPr>
          <w:rFonts w:cs="Times New Roman"/>
          <w:i/>
          <w:szCs w:val="22"/>
        </w:rPr>
      </w:pPr>
    </w:p>
    <w:p w14:paraId="08DF3BA2" w14:textId="77777777" w:rsidR="004C0A79" w:rsidRPr="00731F8E" w:rsidRDefault="004C0A79" w:rsidP="004C0A79">
      <w:pPr>
        <w:pStyle w:val="GvdeMetni"/>
        <w:spacing w:line="276" w:lineRule="auto"/>
        <w:ind w:left="1556" w:right="137"/>
        <w:rPr>
          <w:rFonts w:cs="Times New Roman"/>
          <w:szCs w:val="22"/>
        </w:rPr>
      </w:pPr>
      <w:r w:rsidRPr="00731F8E">
        <w:rPr>
          <w:rFonts w:cs="Times New Roman"/>
          <w:szCs w:val="22"/>
        </w:rPr>
        <w:t>"(1) The data to be published on the transparency platform shall be requested by EPİAŞ from the organizations that have the relevant data on the basis of this legislation.</w:t>
      </w:r>
    </w:p>
    <w:p w14:paraId="76FF6B1F" w14:textId="77777777" w:rsidR="004C0A79" w:rsidRPr="00731F8E" w:rsidRDefault="004C0A79" w:rsidP="00A86526">
      <w:pPr>
        <w:pStyle w:val="P68B1DB1-ListParagraph2"/>
        <w:numPr>
          <w:ilvl w:val="0"/>
          <w:numId w:val="66"/>
        </w:numPr>
        <w:tabs>
          <w:tab w:val="left" w:pos="1868"/>
        </w:tabs>
        <w:spacing w:before="1" w:line="273" w:lineRule="auto"/>
        <w:ind w:right="134" w:firstLine="0"/>
        <w:rPr>
          <w:rFonts w:ascii="Times New Roman" w:hAnsi="Times New Roman" w:cs="Times New Roman"/>
          <w:szCs w:val="22"/>
        </w:rPr>
      </w:pPr>
      <w:r w:rsidRPr="00731F8E">
        <w:rPr>
          <w:rFonts w:ascii="Times New Roman" w:hAnsi="Times New Roman" w:cs="Times New Roman"/>
          <w:szCs w:val="22"/>
        </w:rPr>
        <w:t>EPİAŞ may charge a fee for additional services related to the data published on the transparency platform."</w:t>
      </w:r>
    </w:p>
    <w:p w14:paraId="3FBD8A16" w14:textId="77777777" w:rsidR="004C0A79" w:rsidRPr="00731F8E" w:rsidRDefault="004C0A79" w:rsidP="004C0A79">
      <w:pPr>
        <w:pStyle w:val="GvdeMetni"/>
        <w:spacing w:before="45"/>
        <w:rPr>
          <w:rFonts w:cs="Times New Roman"/>
          <w:szCs w:val="22"/>
        </w:rPr>
      </w:pPr>
    </w:p>
    <w:p w14:paraId="6567315A" w14:textId="77777777" w:rsidR="004C0A79" w:rsidRPr="00731F8E" w:rsidRDefault="004C0A79" w:rsidP="00A86526">
      <w:pPr>
        <w:pStyle w:val="ListeParagraf"/>
        <w:widowControl w:val="0"/>
        <w:numPr>
          <w:ilvl w:val="4"/>
          <w:numId w:val="67"/>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The first paragraph of Article 5 has been amended as follows.</w:t>
      </w:r>
    </w:p>
    <w:p w14:paraId="42DD2ED9" w14:textId="77777777" w:rsidR="004C0A79" w:rsidRPr="00731F8E" w:rsidRDefault="004C0A79" w:rsidP="004C0A79">
      <w:pPr>
        <w:pStyle w:val="GvdeMetni"/>
        <w:spacing w:before="60"/>
        <w:rPr>
          <w:rFonts w:cs="Times New Roman"/>
          <w:i/>
          <w:szCs w:val="22"/>
        </w:rPr>
      </w:pPr>
    </w:p>
    <w:p w14:paraId="3A5B1CEA"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"(1) Relevant licensee legal entities are obliged to submit the data in the list of data to be published on the transparency platform approved by the Board Decision to EPİAŞ to be shared on the transparency platform in a timely, determined form and with an accurate content. EPİAŞ may publish the data that is not included in the Board Decision but which it deems useful to publish, provided that it receives the positive opinion of the Authority."</w:t>
      </w:r>
    </w:p>
    <w:p w14:paraId="54710DEE" w14:textId="77777777" w:rsidR="004C0A79" w:rsidRPr="00731F8E" w:rsidRDefault="004C0A79" w:rsidP="004C0A79">
      <w:pPr>
        <w:pStyle w:val="GvdeMetni"/>
        <w:spacing w:before="40"/>
        <w:rPr>
          <w:rFonts w:cs="Times New Roman"/>
          <w:szCs w:val="22"/>
        </w:rPr>
      </w:pPr>
    </w:p>
    <w:p w14:paraId="103043E6" w14:textId="77777777" w:rsidR="004C0A79" w:rsidRPr="00731F8E" w:rsidRDefault="004C0A79" w:rsidP="00A86526">
      <w:pPr>
        <w:pStyle w:val="ListeParagraf"/>
        <w:widowControl w:val="0"/>
        <w:numPr>
          <w:ilvl w:val="0"/>
          <w:numId w:val="72"/>
        </w:numPr>
        <w:tabs>
          <w:tab w:val="left" w:pos="834"/>
          <w:tab w:val="left" w:pos="836"/>
          <w:tab w:val="left" w:pos="1959"/>
        </w:tabs>
        <w:autoSpaceDE w:val="0"/>
        <w:autoSpaceDN w:val="0"/>
        <w:spacing w:before="169" w:after="0" w:line="256" w:lineRule="auto"/>
        <w:ind w:left="851" w:right="134" w:hanging="425"/>
        <w:contextualSpacing w:val="0"/>
        <w:rPr>
          <w:rFonts w:ascii="Times New Roman" w:hAnsi="Times New Roman"/>
        </w:rPr>
      </w:pPr>
      <w:r w:rsidRPr="00731F8E">
        <w:rPr>
          <w:rFonts w:ascii="Times New Roman" w:hAnsi="Times New Roman"/>
        </w:rPr>
        <w:t xml:space="preserve">Regarding the application of the provision "different according to the amount of electricity consumption for these subscriber groups" added to the fourth paragraph of Article 17 of the Electricity Market Law No. 6446 with the Board Decision dated 03.02.2022 and numbered 10759 published in the Official Gazette dated 04.02.2022 and numbered 31740 to the unlicensed electricity generation facilities associated with the residence subscription it has been decided that;  </w:t>
      </w:r>
    </w:p>
    <w:p w14:paraId="26A97944" w14:textId="77777777" w:rsidR="004C0A79" w:rsidRPr="00731F8E" w:rsidRDefault="004C0A79" w:rsidP="004C0A79">
      <w:pPr>
        <w:pStyle w:val="ListeParagraf"/>
        <w:tabs>
          <w:tab w:val="left" w:pos="834"/>
          <w:tab w:val="left" w:pos="836"/>
          <w:tab w:val="left" w:pos="1959"/>
        </w:tabs>
        <w:spacing w:before="169" w:line="256" w:lineRule="auto"/>
        <w:ind w:left="1959" w:right="134"/>
        <w:rPr>
          <w:rFonts w:ascii="Times New Roman" w:hAnsi="Times New Roman"/>
        </w:rPr>
      </w:pPr>
      <w:r w:rsidRPr="00731F8E">
        <w:rPr>
          <w:rFonts w:ascii="Times New Roman" w:hAnsi="Times New Roman"/>
        </w:rPr>
        <w:t>1) Application will be made based on a gradual tariff for the surplus electrical energy fee to be paid to the producers, without making any distinction between whether the producer is an eligible consumer or not and whether the settlement is made on an hourly or monthly basis,</w:t>
      </w:r>
    </w:p>
    <w:p w14:paraId="4E9DEDB5" w14:textId="77777777" w:rsidR="004C0A79" w:rsidRPr="00731F8E" w:rsidRDefault="004C0A79" w:rsidP="004C0A79">
      <w:pPr>
        <w:spacing w:line="256" w:lineRule="auto"/>
        <w:rPr>
          <w:rFonts w:ascii="Times New Roman" w:hAnsi="Times New Roman"/>
        </w:rPr>
        <w:sectPr w:rsidR="004C0A79" w:rsidRPr="00731F8E">
          <w:pgSz w:w="11910" w:h="16840"/>
          <w:pgMar w:top="1360" w:right="1280" w:bottom="280" w:left="1300" w:header="720" w:footer="720" w:gutter="0"/>
          <w:cols w:space="720"/>
        </w:sectPr>
      </w:pPr>
    </w:p>
    <w:p w14:paraId="1BB527F3" w14:textId="77777777" w:rsidR="004C0A79" w:rsidRPr="00731F8E" w:rsidRDefault="004C0A79" w:rsidP="00A86526">
      <w:pPr>
        <w:pStyle w:val="P68B1DB1-ListParagraph2"/>
        <w:numPr>
          <w:ilvl w:val="0"/>
          <w:numId w:val="65"/>
        </w:numPr>
        <w:tabs>
          <w:tab w:val="left" w:pos="1957"/>
          <w:tab w:val="left" w:pos="1959"/>
        </w:tabs>
        <w:spacing w:line="259" w:lineRule="auto"/>
        <w:ind w:right="131"/>
        <w:rPr>
          <w:rFonts w:ascii="Times New Roman" w:hAnsi="Times New Roman" w:cs="Times New Roman"/>
          <w:szCs w:val="22"/>
        </w:rPr>
      </w:pPr>
      <w:r w:rsidRPr="00731F8E">
        <w:rPr>
          <w:rFonts w:ascii="Times New Roman" w:hAnsi="Times New Roman" w:cs="Times New Roman"/>
          <w:szCs w:val="22"/>
        </w:rPr>
        <w:lastRenderedPageBreak/>
        <w:t>In the event that the consumption exceeds the generation as a result of the hourly offsetting process; to apply a gradual tariff over the net consumption value obtained as a result of the hourly offsetting,</w:t>
      </w:r>
    </w:p>
    <w:p w14:paraId="0FCA5E09" w14:textId="77777777" w:rsidR="004C0A79" w:rsidRPr="00731F8E" w:rsidRDefault="004C0A79" w:rsidP="00A86526">
      <w:pPr>
        <w:pStyle w:val="P68B1DB1-ListParagraph2"/>
        <w:numPr>
          <w:ilvl w:val="0"/>
          <w:numId w:val="65"/>
        </w:numPr>
        <w:tabs>
          <w:tab w:val="left" w:pos="1957"/>
          <w:tab w:val="left" w:pos="1959"/>
        </w:tabs>
        <w:spacing w:line="259" w:lineRule="auto"/>
        <w:ind w:right="132"/>
        <w:rPr>
          <w:rFonts w:ascii="Times New Roman" w:hAnsi="Times New Roman" w:cs="Times New Roman"/>
          <w:szCs w:val="22"/>
        </w:rPr>
      </w:pPr>
      <w:r w:rsidRPr="00731F8E">
        <w:rPr>
          <w:rFonts w:ascii="Times New Roman" w:hAnsi="Times New Roman" w:cs="Times New Roman"/>
          <w:szCs w:val="22"/>
        </w:rPr>
        <w:t>Implementation within the scope of gradual tariff for consumers and suppliers based on raw consumption values not set off in the facilities within the scope of monthly settlement,</w:t>
      </w:r>
    </w:p>
    <w:p w14:paraId="6186410E" w14:textId="77777777" w:rsidR="004C0A79" w:rsidRPr="00731F8E" w:rsidRDefault="004C0A79" w:rsidP="004C0A79">
      <w:pPr>
        <w:pStyle w:val="GvdeMetni"/>
        <w:rPr>
          <w:rFonts w:cs="Times New Roman"/>
          <w:i/>
          <w:szCs w:val="22"/>
        </w:rPr>
      </w:pPr>
    </w:p>
    <w:p w14:paraId="767AA25B"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3" w:hanging="361"/>
        <w:contextualSpacing w:val="0"/>
        <w:rPr>
          <w:rFonts w:ascii="Times New Roman" w:hAnsi="Times New Roman"/>
        </w:rPr>
      </w:pPr>
      <w:r w:rsidRPr="00731F8E">
        <w:rPr>
          <w:rFonts w:ascii="Times New Roman" w:hAnsi="Times New Roman"/>
        </w:rPr>
        <w:t>With the Board Decision dated 24.02.2022 and numbered 10814 published in the Official Gazette dated 26.02.2022 and numbered 31762, it has been decided that the supply companies in charge in accordance with the eleventh paragraph of Article 26 of the Electricity Market Law No. 6446 shall procure up to 90% of the electrical energy to be provided during the remaining period of the 4th tariff application period for the consumers within the scope of the last resource supply from Electricity Production Joint Stock Company, provided that it is not less than 50% on a calendar year basis.</w:t>
      </w:r>
    </w:p>
    <w:p w14:paraId="59B368F4" w14:textId="77777777" w:rsidR="004C0A79" w:rsidRPr="00731F8E" w:rsidRDefault="004C0A79" w:rsidP="004C0A79">
      <w:pPr>
        <w:pStyle w:val="GvdeMetni"/>
        <w:spacing w:before="19"/>
        <w:rPr>
          <w:rFonts w:cs="Times New Roman"/>
          <w:i/>
          <w:szCs w:val="22"/>
        </w:rPr>
      </w:pPr>
    </w:p>
    <w:p w14:paraId="52CE480F"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6" w:lineRule="auto"/>
        <w:ind w:left="836" w:right="133" w:hanging="361"/>
        <w:contextualSpacing w:val="0"/>
        <w:rPr>
          <w:rFonts w:ascii="Times New Roman" w:hAnsi="Times New Roman"/>
        </w:rPr>
      </w:pPr>
      <w:r w:rsidRPr="00731F8E">
        <w:rPr>
          <w:rFonts w:ascii="Times New Roman" w:hAnsi="Times New Roman"/>
        </w:rPr>
        <w:t xml:space="preserve">With the Board Decision dated 10.03.2022 and numbered 10832 published in the Official Gazette dated 12.03.2022 and numbered 31776, </w:t>
      </w:r>
      <w:r w:rsidRPr="00731F8E">
        <w:rPr>
          <w:rFonts w:ascii="Times New Roman" w:hAnsi="Times New Roman"/>
          <w:b/>
        </w:rPr>
        <w:t xml:space="preserve">"Procedures and Principles for Amending the Procedures and Principles for Electricity Generation Facilities Based on Solar Energy up to 10 kW" </w:t>
      </w:r>
      <w:r w:rsidRPr="00731F8E">
        <w:rPr>
          <w:rFonts w:ascii="Times New Roman" w:hAnsi="Times New Roman"/>
        </w:rPr>
        <w:t>were adopted.</w:t>
      </w:r>
    </w:p>
    <w:p w14:paraId="4EAF451C" w14:textId="77777777" w:rsidR="004C0A79" w:rsidRPr="00731F8E" w:rsidRDefault="004C0A79" w:rsidP="004C0A79">
      <w:pPr>
        <w:pStyle w:val="GvdeMetni"/>
        <w:spacing w:before="48"/>
        <w:rPr>
          <w:rFonts w:cs="Times New Roman"/>
          <w:i/>
          <w:szCs w:val="22"/>
        </w:rPr>
      </w:pPr>
    </w:p>
    <w:p w14:paraId="34FB1EF6"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line="259" w:lineRule="auto"/>
        <w:ind w:left="837" w:right="129" w:hanging="361"/>
        <w:contextualSpacing w:val="0"/>
        <w:rPr>
          <w:rFonts w:ascii="Times New Roman" w:hAnsi="Times New Roman"/>
        </w:rPr>
      </w:pPr>
      <w:r w:rsidRPr="00731F8E">
        <w:rPr>
          <w:rFonts w:ascii="Times New Roman" w:hAnsi="Times New Roman"/>
        </w:rPr>
        <w:t>Within the framework of the Board Decision dated 17.03.2022 and numbered 10847-1 published in the Official Gazette dated 18.03.2022 and numbered 31782 and the warrant of the Electricity Market Department to the Presidential Authority dated 15.03.2022 and numbered E-13316568 - 110.99-394996; it was decided to repeal the Board Decision dated 30/09/2021 and numbered 10442-2.</w:t>
      </w:r>
    </w:p>
    <w:p w14:paraId="20DF8A67" w14:textId="77777777" w:rsidR="004C0A79" w:rsidRPr="00731F8E" w:rsidRDefault="004C0A79" w:rsidP="004C0A79">
      <w:pPr>
        <w:pStyle w:val="GvdeMetni"/>
        <w:spacing w:before="40"/>
        <w:rPr>
          <w:rFonts w:cs="Times New Roman"/>
          <w:i/>
          <w:szCs w:val="22"/>
        </w:rPr>
      </w:pPr>
    </w:p>
    <w:p w14:paraId="3ACD4C63"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line="259" w:lineRule="auto"/>
        <w:ind w:left="837" w:right="131" w:hanging="361"/>
        <w:contextualSpacing w:val="0"/>
        <w:rPr>
          <w:rFonts w:ascii="Times New Roman" w:hAnsi="Times New Roman"/>
        </w:rPr>
      </w:pPr>
      <w:r w:rsidRPr="00731F8E">
        <w:rPr>
          <w:rFonts w:ascii="Times New Roman" w:hAnsi="Times New Roman"/>
        </w:rPr>
        <w:t>With the Board Decision dated 17.03.2022 and numbered 10847-2 published in the Official Gazette dated 18.03.2022 and numbered 31782, the following "</w:t>
      </w:r>
      <w:r w:rsidRPr="00731F8E">
        <w:rPr>
          <w:rFonts w:ascii="Times New Roman" w:hAnsi="Times New Roman"/>
          <w:b/>
        </w:rPr>
        <w:t xml:space="preserve">Preliminary License Periods and Construction Periods to be Referenced in Determining the Facility Completion Date" has been accepted within the framework of the first paragraph of Article 9 and clause (a) of the </w:t>
      </w:r>
      <w:r w:rsidRPr="00731F8E">
        <w:rPr>
          <w:rFonts w:ascii="Times New Roman" w:hAnsi="Times New Roman"/>
        </w:rPr>
        <w:t>third paragraph of Article 23 of the Electricity Market License Regulation.</w:t>
      </w:r>
    </w:p>
    <w:p w14:paraId="70F849EE" w14:textId="77777777" w:rsidR="004C0A79" w:rsidRPr="00731F8E" w:rsidRDefault="004C0A79" w:rsidP="004C0A79">
      <w:pPr>
        <w:pStyle w:val="GvdeMetni"/>
        <w:spacing w:before="38"/>
        <w:rPr>
          <w:rFonts w:cs="Times New Roman"/>
          <w:i/>
          <w:szCs w:val="22"/>
        </w:rPr>
      </w:pPr>
    </w:p>
    <w:p w14:paraId="003912BF" w14:textId="77777777" w:rsidR="004C0A79" w:rsidRPr="00731F8E" w:rsidRDefault="004C0A79" w:rsidP="00A86526">
      <w:pPr>
        <w:pStyle w:val="ListeParagraf"/>
        <w:widowControl w:val="0"/>
        <w:numPr>
          <w:ilvl w:val="3"/>
          <w:numId w:val="67"/>
        </w:numPr>
        <w:tabs>
          <w:tab w:val="left" w:pos="836"/>
          <w:tab w:val="left" w:pos="838"/>
        </w:tabs>
        <w:autoSpaceDE w:val="0"/>
        <w:autoSpaceDN w:val="0"/>
        <w:spacing w:after="0" w:line="259" w:lineRule="auto"/>
        <w:ind w:left="838" w:right="131" w:hanging="361"/>
        <w:contextualSpacing w:val="0"/>
        <w:rPr>
          <w:rFonts w:ascii="Times New Roman" w:hAnsi="Times New Roman"/>
        </w:rPr>
      </w:pPr>
      <w:r w:rsidRPr="00731F8E">
        <w:rPr>
          <w:rFonts w:ascii="Times New Roman" w:hAnsi="Times New Roman"/>
        </w:rPr>
        <w:t xml:space="preserve">With the Board Decision dated 17.03.2022 and numbered 10866 published in the Official Gazette dated 18.03.2022 and numbered 31782, the </w:t>
      </w:r>
      <w:r w:rsidRPr="00731F8E">
        <w:rPr>
          <w:rFonts w:ascii="Times New Roman" w:hAnsi="Times New Roman"/>
          <w:b/>
        </w:rPr>
        <w:t xml:space="preserve">"Procedures and Principles Regarding the Determination and Implementation of the Support Fee on the Basis of Resource" </w:t>
      </w:r>
      <w:r w:rsidRPr="00731F8E">
        <w:rPr>
          <w:rFonts w:ascii="Times New Roman" w:hAnsi="Times New Roman"/>
        </w:rPr>
        <w:t>were accepted with the effective date of 01.04.2022.</w:t>
      </w:r>
    </w:p>
    <w:p w14:paraId="2890D06D" w14:textId="77777777" w:rsidR="004C0A79" w:rsidRPr="00731F8E" w:rsidRDefault="004C0A79" w:rsidP="004C0A79">
      <w:pPr>
        <w:pStyle w:val="GvdeMetni"/>
        <w:spacing w:before="40"/>
        <w:rPr>
          <w:rFonts w:cs="Times New Roman"/>
          <w:i/>
          <w:szCs w:val="22"/>
        </w:rPr>
      </w:pPr>
    </w:p>
    <w:p w14:paraId="5698B16D" w14:textId="77777777" w:rsidR="004C0A79" w:rsidRPr="00731F8E" w:rsidRDefault="004C0A79" w:rsidP="00A86526">
      <w:pPr>
        <w:pStyle w:val="ListeParagraf"/>
        <w:widowControl w:val="0"/>
        <w:numPr>
          <w:ilvl w:val="3"/>
          <w:numId w:val="67"/>
        </w:numPr>
        <w:tabs>
          <w:tab w:val="left" w:pos="836"/>
          <w:tab w:val="left" w:pos="838"/>
        </w:tabs>
        <w:autoSpaceDE w:val="0"/>
        <w:autoSpaceDN w:val="0"/>
        <w:spacing w:after="0" w:line="259" w:lineRule="auto"/>
        <w:ind w:left="838" w:right="130" w:hanging="361"/>
        <w:contextualSpacing w:val="0"/>
        <w:rPr>
          <w:rFonts w:ascii="Times New Roman" w:hAnsi="Times New Roman"/>
        </w:rPr>
      </w:pPr>
      <w:r w:rsidRPr="00731F8E">
        <w:rPr>
          <w:rFonts w:ascii="Times New Roman" w:hAnsi="Times New Roman"/>
        </w:rPr>
        <w:t xml:space="preserve">With the Board Decision dated 29.03.2022 and numbered 10887 published in the Official Gazette dated 30.03.2022 and numbered 31794, the following "Procedures and Principles for </w:t>
      </w:r>
      <w:r w:rsidRPr="00731F8E">
        <w:rPr>
          <w:rFonts w:ascii="Times New Roman" w:hAnsi="Times New Roman"/>
          <w:b/>
        </w:rPr>
        <w:t xml:space="preserve">Amending the Procedures and Principles Regarding the Determination and Implementation of the Support Fee on the Basis of Resource" published and enacted in the Official Gazette dated 18.03.2022 and </w:t>
      </w:r>
      <w:r w:rsidRPr="00731F8E">
        <w:rPr>
          <w:rFonts w:ascii="Times New Roman" w:hAnsi="Times New Roman"/>
        </w:rPr>
        <w:t>numbered 31782 were accepted.</w:t>
      </w:r>
    </w:p>
    <w:p w14:paraId="3ADB83EE" w14:textId="77777777" w:rsidR="004C0A79" w:rsidRPr="00731F8E" w:rsidRDefault="004C0A79" w:rsidP="004C0A79">
      <w:pPr>
        <w:tabs>
          <w:tab w:val="left" w:pos="836"/>
          <w:tab w:val="left" w:pos="838"/>
        </w:tabs>
        <w:spacing w:before="37"/>
        <w:ind w:right="135"/>
        <w:rPr>
          <w:rFonts w:ascii="Times New Roman" w:hAnsi="Times New Roman"/>
        </w:rPr>
      </w:pPr>
    </w:p>
    <w:p w14:paraId="1261196E" w14:textId="77777777" w:rsidR="004C0A79" w:rsidRPr="00731F8E" w:rsidRDefault="004C0A79" w:rsidP="00A86526">
      <w:pPr>
        <w:pStyle w:val="ListeParagraf"/>
        <w:widowControl w:val="0"/>
        <w:numPr>
          <w:ilvl w:val="0"/>
          <w:numId w:val="72"/>
        </w:numPr>
        <w:tabs>
          <w:tab w:val="left" w:pos="836"/>
          <w:tab w:val="left" w:pos="838"/>
        </w:tabs>
        <w:autoSpaceDE w:val="0"/>
        <w:autoSpaceDN w:val="0"/>
        <w:spacing w:before="37" w:after="0"/>
        <w:ind w:left="851" w:right="135"/>
        <w:contextualSpacing w:val="0"/>
        <w:rPr>
          <w:rFonts w:ascii="Times New Roman" w:hAnsi="Times New Roman"/>
        </w:rPr>
      </w:pPr>
      <w:r w:rsidRPr="00731F8E">
        <w:rPr>
          <w:rFonts w:ascii="Times New Roman" w:hAnsi="Times New Roman"/>
        </w:rPr>
        <w:t xml:space="preserve">Within the scope of the eleventh paragraph of Article 17 of the Electricity Market Law No. 6446 with the Board Decision dated 29.03.2022 and numbered 10888 published in the Official Gazette dated 30.03.2022 and numbered 31794 and the first and second paragraphs of Article 4 of the Procedures and Principles Regarding the Determination and Implementation of the Source-Based Support Fee published in the Official Gazette dated 18/3/2022 and numbered 31782 it has been decided; </w:t>
      </w:r>
    </w:p>
    <w:p w14:paraId="32194DE1" w14:textId="77777777" w:rsidR="004C0A79" w:rsidRPr="00731F8E" w:rsidRDefault="004C0A79" w:rsidP="004C0A79">
      <w:pPr>
        <w:pStyle w:val="ListeParagraf"/>
        <w:tabs>
          <w:tab w:val="left" w:pos="836"/>
          <w:tab w:val="left" w:pos="838"/>
        </w:tabs>
        <w:spacing w:before="37"/>
        <w:ind w:left="851" w:right="135"/>
        <w:rPr>
          <w:rFonts w:ascii="Times New Roman" w:hAnsi="Times New Roman"/>
        </w:rPr>
      </w:pPr>
    </w:p>
    <w:p w14:paraId="0FCD7E11" w14:textId="77777777" w:rsidR="004C0A79" w:rsidRPr="00731F8E" w:rsidRDefault="004C0A79" w:rsidP="004C0A79">
      <w:pPr>
        <w:pStyle w:val="ListeParagraf"/>
        <w:tabs>
          <w:tab w:val="left" w:pos="836"/>
          <w:tab w:val="left" w:pos="838"/>
        </w:tabs>
        <w:spacing w:before="37"/>
        <w:ind w:left="1532" w:right="135"/>
        <w:rPr>
          <w:rFonts w:ascii="Times New Roman" w:hAnsi="Times New Roman"/>
        </w:rPr>
      </w:pPr>
    </w:p>
    <w:p w14:paraId="596A1709" w14:textId="77777777" w:rsidR="004C0A79" w:rsidRPr="00731F8E" w:rsidRDefault="004C0A79" w:rsidP="00A86526">
      <w:pPr>
        <w:pStyle w:val="ListeParagraf"/>
        <w:widowControl w:val="0"/>
        <w:numPr>
          <w:ilvl w:val="0"/>
          <w:numId w:val="73"/>
        </w:numPr>
        <w:tabs>
          <w:tab w:val="left" w:pos="1843"/>
        </w:tabs>
        <w:autoSpaceDE w:val="0"/>
        <w:autoSpaceDN w:val="0"/>
        <w:spacing w:before="37" w:after="0"/>
        <w:ind w:left="1843" w:right="135"/>
        <w:contextualSpacing w:val="0"/>
        <w:rPr>
          <w:rFonts w:ascii="Times New Roman" w:hAnsi="Times New Roman"/>
        </w:rPr>
      </w:pPr>
      <w:r w:rsidRPr="00731F8E">
        <w:rPr>
          <w:rFonts w:ascii="Times New Roman" w:hAnsi="Times New Roman"/>
        </w:rPr>
        <w:t>To apply a support fee for 6 months from 01/04/2022 in order to support the consumer and/or high-cost generation,</w:t>
      </w:r>
    </w:p>
    <w:p w14:paraId="56028B56" w14:textId="77777777" w:rsidR="004C0A79" w:rsidRPr="00731F8E" w:rsidRDefault="004C0A79" w:rsidP="004C0A79">
      <w:pPr>
        <w:pStyle w:val="GvdeMetni"/>
        <w:spacing w:before="39"/>
        <w:rPr>
          <w:rFonts w:cs="Times New Roman"/>
          <w:i/>
          <w:szCs w:val="22"/>
        </w:rPr>
      </w:pPr>
    </w:p>
    <w:p w14:paraId="3AA83EA1" w14:textId="77777777" w:rsidR="004C0A79" w:rsidRPr="00731F8E" w:rsidRDefault="004C0A79" w:rsidP="00A86526">
      <w:pPr>
        <w:pStyle w:val="ListeParagraf"/>
        <w:widowControl w:val="0"/>
        <w:numPr>
          <w:ilvl w:val="0"/>
          <w:numId w:val="64"/>
        </w:numPr>
        <w:tabs>
          <w:tab w:val="left" w:pos="1875"/>
        </w:tabs>
        <w:autoSpaceDE w:val="0"/>
        <w:autoSpaceDN w:val="0"/>
        <w:spacing w:before="1" w:after="0"/>
        <w:ind w:left="1531" w:right="133" w:firstLine="0"/>
        <w:contextualSpacing w:val="0"/>
        <w:rPr>
          <w:rFonts w:ascii="Times New Roman" w:hAnsi="Times New Roman"/>
        </w:rPr>
      </w:pPr>
      <w:r w:rsidRPr="00731F8E">
        <w:rPr>
          <w:rFonts w:ascii="Times New Roman" w:hAnsi="Times New Roman"/>
        </w:rPr>
        <w:t>The "maximum settlement prices" to be used in determining the support price shall be applied as shown in the table below;</w:t>
      </w:r>
    </w:p>
    <w:p w14:paraId="63777EE7" w14:textId="77777777" w:rsidR="004C0A79" w:rsidRPr="00731F8E" w:rsidRDefault="004C0A79" w:rsidP="004C0A79">
      <w:pPr>
        <w:pStyle w:val="GvdeMetni"/>
        <w:spacing w:before="236"/>
        <w:rPr>
          <w:rFonts w:cs="Times New Roman"/>
          <w:i/>
          <w:szCs w:val="22"/>
        </w:rPr>
      </w:pPr>
      <w:r w:rsidRPr="00731F8E">
        <w:rPr>
          <w:rFonts w:cs="Times New Roman"/>
          <w:noProof/>
          <w:szCs w:val="22"/>
        </w:rPr>
        <w:drawing>
          <wp:anchor distT="0" distB="0" distL="0" distR="0" simplePos="0" relativeHeight="251663360" behindDoc="1" locked="0" layoutInCell="1" allowOverlap="1" wp14:anchorId="61951A31" wp14:editId="301AA48A">
            <wp:simplePos x="0" y="0"/>
            <wp:positionH relativeFrom="page">
              <wp:posOffset>2431859</wp:posOffset>
            </wp:positionH>
            <wp:positionV relativeFrom="paragraph">
              <wp:posOffset>320687</wp:posOffset>
            </wp:positionV>
            <wp:extent cx="3163835" cy="1023937"/>
            <wp:effectExtent l="0" t="0" r="0" b="0"/>
            <wp:wrapTopAndBottom/>
            <wp:docPr id="8" name="Image 1" descr="tablo içeren bir resim  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ablo içeren bir resim  Açıklama otomatik olarak oluşturuldu"/>
                    <pic:cNvPicPr/>
                  </pic:nvPicPr>
                  <pic:blipFill>
                    <a:blip r:embed="rId19" cstate="print"/>
                    <a:stretch>
                      <a:fillRect/>
                    </a:stretch>
                  </pic:blipFill>
                  <pic:spPr>
                    <a:xfrm>
                      <a:off x="0" y="0"/>
                      <a:ext cx="3163835" cy="1023937"/>
                    </a:xfrm>
                    <a:prstGeom prst="rect">
                      <a:avLst/>
                    </a:prstGeom>
                  </pic:spPr>
                </pic:pic>
              </a:graphicData>
            </a:graphic>
          </wp:anchor>
        </w:drawing>
      </w:r>
    </w:p>
    <w:p w14:paraId="7A4C4AA4" w14:textId="77777777" w:rsidR="004C0A79" w:rsidRPr="00731F8E" w:rsidRDefault="004C0A79" w:rsidP="004C0A79">
      <w:pPr>
        <w:pStyle w:val="GvdeMetni"/>
        <w:spacing w:before="120"/>
        <w:rPr>
          <w:rFonts w:cs="Times New Roman"/>
          <w:i/>
          <w:szCs w:val="22"/>
        </w:rPr>
      </w:pPr>
    </w:p>
    <w:p w14:paraId="5BD876E7" w14:textId="77777777" w:rsidR="004C0A79" w:rsidRPr="00731F8E" w:rsidRDefault="004C0A79" w:rsidP="004C0A79">
      <w:pPr>
        <w:spacing w:before="1"/>
        <w:ind w:left="823"/>
        <w:rPr>
          <w:rFonts w:ascii="Times New Roman" w:hAnsi="Times New Roman"/>
        </w:rPr>
      </w:pPr>
    </w:p>
    <w:p w14:paraId="1A56698A"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before="240" w:after="0" w:line="259" w:lineRule="auto"/>
        <w:ind w:left="836" w:right="131" w:hanging="361"/>
        <w:contextualSpacing w:val="0"/>
        <w:rPr>
          <w:rFonts w:ascii="Times New Roman" w:hAnsi="Times New Roman"/>
        </w:rPr>
      </w:pPr>
      <w:r w:rsidRPr="00731F8E">
        <w:rPr>
          <w:rFonts w:ascii="Times New Roman" w:hAnsi="Times New Roman"/>
        </w:rPr>
        <w:t>With the Board Decision dated 29.03.2022 and numbered 10889 published in the Official Gazette dated 30.03.2022 and numbered 31794, it was decided to apply the formulas regarding the update of the maximum settlement price calculated within the scope of the eleventh paragraph of Article 17 of the Electricity Market Law No. 6446 and the fourth paragraph of Article 4 of the Procedures and Principles Regarding the Determination and Implementation of the Support Fee on the Basis of Resources as specified in the decision.</w:t>
      </w:r>
    </w:p>
    <w:p w14:paraId="001BA303" w14:textId="77777777" w:rsidR="004C0A79" w:rsidRPr="00731F8E" w:rsidRDefault="004C0A79" w:rsidP="004C0A79">
      <w:pPr>
        <w:pStyle w:val="GvdeMetni"/>
        <w:spacing w:before="41"/>
        <w:rPr>
          <w:rFonts w:cs="Times New Roman"/>
          <w:i/>
          <w:szCs w:val="22"/>
        </w:rPr>
      </w:pPr>
    </w:p>
    <w:p w14:paraId="3F494F54"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3" w:hanging="361"/>
        <w:contextualSpacing w:val="0"/>
        <w:rPr>
          <w:rFonts w:ascii="Times New Roman" w:hAnsi="Times New Roman"/>
        </w:rPr>
      </w:pPr>
      <w:r w:rsidRPr="00731F8E">
        <w:rPr>
          <w:rFonts w:ascii="Times New Roman" w:hAnsi="Times New Roman"/>
        </w:rPr>
        <w:t xml:space="preserve">With the Board Decision dated 29.03.2022 and numbered 10890 published in the Official Gazette dated 30.03.2022 and numbered 31794, </w:t>
      </w:r>
      <w:r w:rsidRPr="00731F8E">
        <w:rPr>
          <w:rFonts w:ascii="Times New Roman" w:hAnsi="Times New Roman"/>
          <w:b/>
        </w:rPr>
        <w:t xml:space="preserve">"Procedures and Principles for Making Changes in the Procedures and Principles for Determining Minimum and Maximum Price Limits in the Day Ahead Market and the Balancing Power Market" </w:t>
      </w:r>
      <w:r w:rsidRPr="00731F8E">
        <w:rPr>
          <w:rFonts w:ascii="Times New Roman" w:hAnsi="Times New Roman"/>
        </w:rPr>
        <w:t>were accepted.</w:t>
      </w:r>
    </w:p>
    <w:p w14:paraId="7A752DEB" w14:textId="77777777" w:rsidR="004C0A79" w:rsidRPr="00731F8E" w:rsidRDefault="004C0A79" w:rsidP="004C0A79">
      <w:pPr>
        <w:pStyle w:val="GvdeMetni"/>
        <w:spacing w:before="38"/>
        <w:rPr>
          <w:rFonts w:cs="Times New Roman"/>
          <w:i/>
          <w:szCs w:val="22"/>
        </w:rPr>
      </w:pPr>
    </w:p>
    <w:p w14:paraId="7C6F87E1" w14:textId="77777777" w:rsidR="004C0A79" w:rsidRPr="00731F8E" w:rsidRDefault="004C0A79" w:rsidP="00A86526">
      <w:pPr>
        <w:pStyle w:val="ListeParagraf"/>
        <w:widowControl w:val="0"/>
        <w:numPr>
          <w:ilvl w:val="0"/>
          <w:numId w:val="72"/>
        </w:numPr>
        <w:tabs>
          <w:tab w:val="left" w:pos="834"/>
          <w:tab w:val="left" w:pos="836"/>
        </w:tabs>
        <w:autoSpaceDE w:val="0"/>
        <w:autoSpaceDN w:val="0"/>
        <w:spacing w:before="40" w:after="0"/>
        <w:ind w:left="851" w:right="132"/>
        <w:contextualSpacing w:val="0"/>
        <w:jc w:val="left"/>
        <w:rPr>
          <w:rFonts w:ascii="Times New Roman" w:hAnsi="Times New Roman"/>
        </w:rPr>
      </w:pPr>
      <w:r w:rsidRPr="00731F8E">
        <w:rPr>
          <w:rFonts w:ascii="Times New Roman" w:hAnsi="Times New Roman"/>
        </w:rPr>
        <w:t xml:space="preserve">Regarding the application of the provision "different according to the amount of electricity consumption for these subscriber groups" added to the fourth paragraph of Article 17 of the Electricity Market Law No. 6446 with the Board Decision dated 31.03.2022 and numbered 10892 published in the Official Gazette dated 03.04.2022 and numbered 31798 to the unlicensed electricity generation facilities associated with the commercial premises subscription the following has been decided; </w:t>
      </w:r>
    </w:p>
    <w:p w14:paraId="5DBCB826" w14:textId="77777777" w:rsidR="004C0A79" w:rsidRPr="00731F8E" w:rsidRDefault="004C0A79" w:rsidP="004C0A79">
      <w:pPr>
        <w:pStyle w:val="ListeParagraf"/>
        <w:tabs>
          <w:tab w:val="left" w:pos="834"/>
          <w:tab w:val="left" w:pos="836"/>
        </w:tabs>
        <w:spacing w:before="40"/>
        <w:ind w:left="851" w:right="132"/>
        <w:jc w:val="left"/>
        <w:rPr>
          <w:rFonts w:ascii="Times New Roman" w:hAnsi="Times New Roman"/>
        </w:rPr>
      </w:pPr>
    </w:p>
    <w:p w14:paraId="2BF17BEC" w14:textId="77777777" w:rsidR="004C0A79" w:rsidRPr="00731F8E" w:rsidRDefault="004C0A79" w:rsidP="00A86526">
      <w:pPr>
        <w:pStyle w:val="ListeParagraf"/>
        <w:widowControl w:val="0"/>
        <w:numPr>
          <w:ilvl w:val="0"/>
          <w:numId w:val="74"/>
        </w:numPr>
        <w:autoSpaceDE w:val="0"/>
        <w:autoSpaceDN w:val="0"/>
        <w:spacing w:before="40" w:after="0"/>
        <w:ind w:left="1843" w:right="132"/>
        <w:contextualSpacing w:val="0"/>
        <w:rPr>
          <w:rFonts w:ascii="Times New Roman" w:hAnsi="Times New Roman"/>
        </w:rPr>
      </w:pPr>
      <w:r w:rsidRPr="00731F8E">
        <w:rPr>
          <w:rFonts w:ascii="Times New Roman" w:hAnsi="Times New Roman"/>
        </w:rPr>
        <w:t>Implementation on the basis of a gradual tariff for the surplus electrical energy price to be paid to the producers without making any distinction between whether the producer is an eligible consumer and whether the offsetting is made on an hourly or monthly basis.</w:t>
      </w:r>
    </w:p>
    <w:p w14:paraId="6A2BD8B6" w14:textId="77777777" w:rsidR="004C0A79" w:rsidRPr="00731F8E" w:rsidRDefault="004C0A79" w:rsidP="004C0A79">
      <w:pPr>
        <w:pStyle w:val="GvdeMetni"/>
        <w:spacing w:before="38"/>
        <w:rPr>
          <w:rFonts w:cs="Times New Roman"/>
          <w:i/>
          <w:szCs w:val="22"/>
        </w:rPr>
      </w:pPr>
    </w:p>
    <w:p w14:paraId="2F259F00" w14:textId="77777777" w:rsidR="004C0A79" w:rsidRPr="00731F8E" w:rsidRDefault="004C0A79" w:rsidP="00A86526">
      <w:pPr>
        <w:pStyle w:val="ListeParagraf"/>
        <w:widowControl w:val="0"/>
        <w:numPr>
          <w:ilvl w:val="0"/>
          <w:numId w:val="74"/>
        </w:numPr>
        <w:tabs>
          <w:tab w:val="left" w:pos="1775"/>
        </w:tabs>
        <w:autoSpaceDE w:val="0"/>
        <w:autoSpaceDN w:val="0"/>
        <w:spacing w:after="0"/>
        <w:ind w:left="1843" w:right="133"/>
        <w:contextualSpacing w:val="0"/>
        <w:rPr>
          <w:rFonts w:ascii="Times New Roman" w:hAnsi="Times New Roman"/>
        </w:rPr>
      </w:pPr>
      <w:r w:rsidRPr="00731F8E">
        <w:rPr>
          <w:rFonts w:ascii="Times New Roman" w:hAnsi="Times New Roman"/>
        </w:rPr>
        <w:t xml:space="preserve"> In the event that the consumption exceeds the generation as a result of the hourly offsetting process; to apply a gradual tariff over the net consumption value obtained as a result of the hourly offsetting,</w:t>
      </w:r>
    </w:p>
    <w:p w14:paraId="51519785" w14:textId="77777777" w:rsidR="004C0A79" w:rsidRPr="00731F8E" w:rsidRDefault="004C0A79" w:rsidP="004C0A79">
      <w:pPr>
        <w:pStyle w:val="GvdeMetni"/>
        <w:spacing w:before="41"/>
        <w:rPr>
          <w:rFonts w:cs="Times New Roman"/>
          <w:i/>
          <w:szCs w:val="22"/>
        </w:rPr>
      </w:pPr>
    </w:p>
    <w:p w14:paraId="422E9EF6" w14:textId="77777777" w:rsidR="004C0A79" w:rsidRPr="00731F8E" w:rsidRDefault="004C0A79" w:rsidP="00A86526">
      <w:pPr>
        <w:pStyle w:val="ListeParagraf"/>
        <w:widowControl w:val="0"/>
        <w:numPr>
          <w:ilvl w:val="0"/>
          <w:numId w:val="74"/>
        </w:numPr>
        <w:tabs>
          <w:tab w:val="left" w:pos="1771"/>
        </w:tabs>
        <w:autoSpaceDE w:val="0"/>
        <w:autoSpaceDN w:val="0"/>
        <w:spacing w:after="0"/>
        <w:ind w:left="1843" w:right="132"/>
        <w:contextualSpacing w:val="0"/>
        <w:rPr>
          <w:rFonts w:ascii="Times New Roman" w:hAnsi="Times New Roman"/>
        </w:rPr>
      </w:pPr>
      <w:r w:rsidRPr="00731F8E">
        <w:rPr>
          <w:rFonts w:ascii="Times New Roman" w:hAnsi="Times New Roman"/>
        </w:rPr>
        <w:t>Implementation within the scope of gradual tariff for consumers and suppliers based on raw consumption values not set off in the facilities within the scope of monthly settlement,</w:t>
      </w:r>
    </w:p>
    <w:p w14:paraId="11950E73" w14:textId="77777777" w:rsidR="004C0A79" w:rsidRPr="00731F8E" w:rsidRDefault="004C0A79" w:rsidP="004C0A79">
      <w:pPr>
        <w:spacing w:before="199"/>
        <w:ind w:left="683"/>
        <w:rPr>
          <w:rFonts w:ascii="Times New Roman" w:hAnsi="Times New Roman"/>
        </w:rPr>
      </w:pPr>
    </w:p>
    <w:p w14:paraId="1E580568" w14:textId="77777777" w:rsidR="004C0A79" w:rsidRPr="00731F8E" w:rsidRDefault="004C0A79" w:rsidP="004C0A79">
      <w:pPr>
        <w:rPr>
          <w:rFonts w:ascii="Times New Roman" w:hAnsi="Times New Roman"/>
        </w:rPr>
        <w:sectPr w:rsidR="004C0A79" w:rsidRPr="00731F8E">
          <w:pgSz w:w="11910" w:h="16840"/>
          <w:pgMar w:top="1360" w:right="1280" w:bottom="280" w:left="1300" w:header="720" w:footer="720" w:gutter="0"/>
          <w:cols w:space="720"/>
        </w:sectPr>
      </w:pPr>
    </w:p>
    <w:p w14:paraId="31D42007"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before="77" w:after="0" w:line="259" w:lineRule="auto"/>
        <w:ind w:left="836" w:right="132" w:hanging="361"/>
        <w:contextualSpacing w:val="0"/>
        <w:rPr>
          <w:rFonts w:ascii="Times New Roman" w:hAnsi="Times New Roman"/>
        </w:rPr>
      </w:pPr>
      <w:r w:rsidRPr="00731F8E">
        <w:rPr>
          <w:rFonts w:ascii="Times New Roman" w:hAnsi="Times New Roman"/>
        </w:rPr>
        <w:lastRenderedPageBreak/>
        <w:t>With the Board Decision dated 07.04.2022 and numbered 10914 published in the Official Gazette dated 08.04.2022 and numbered 31803, a number of definitions specified in the Board Decision dated 29.03.2022 and numbered 10889 regarding the application of the formulas regarding the update of the maximum settlement price calculated within the scope of the eleventh paragraph of Article 17 of the Electricity Market Law No. 6446 and the fourth paragraph of Article 4 of the Procedures and Principles regarding the Determination and Implementation of the Support Fee on the Basis of Resources have been corrected.</w:t>
      </w:r>
    </w:p>
    <w:p w14:paraId="31DD7DB1" w14:textId="77777777" w:rsidR="004C0A79" w:rsidRPr="00731F8E" w:rsidRDefault="004C0A79" w:rsidP="004C0A79">
      <w:pPr>
        <w:pStyle w:val="GvdeMetni"/>
        <w:spacing w:before="41"/>
        <w:rPr>
          <w:rFonts w:cs="Times New Roman"/>
          <w:i/>
          <w:szCs w:val="22"/>
        </w:rPr>
      </w:pPr>
    </w:p>
    <w:p w14:paraId="192BBE47"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1" w:hanging="361"/>
        <w:contextualSpacing w:val="0"/>
        <w:rPr>
          <w:rFonts w:ascii="Times New Roman" w:hAnsi="Times New Roman"/>
        </w:rPr>
      </w:pPr>
      <w:r w:rsidRPr="00731F8E">
        <w:rPr>
          <w:rFonts w:ascii="Times New Roman" w:hAnsi="Times New Roman"/>
        </w:rPr>
        <w:t>With the Board Decision dated 07.04.2022 and numbered 10915 published in the Official Gazette dated 08.04.2022 and numbered 31803, the third paragraph of Article 10 of the "Structure of Day Ahead Market Bids and Procedures and Principles Regarding the Evaluation of Bids" has been amended as follows.</w:t>
      </w:r>
    </w:p>
    <w:p w14:paraId="3E2F6E81" w14:textId="77777777" w:rsidR="004C0A79" w:rsidRPr="00731F8E" w:rsidRDefault="004C0A79" w:rsidP="004C0A79">
      <w:pPr>
        <w:pStyle w:val="GvdeMetni"/>
        <w:spacing w:before="37"/>
        <w:rPr>
          <w:rFonts w:cs="Times New Roman"/>
          <w:i/>
          <w:szCs w:val="22"/>
        </w:rPr>
      </w:pPr>
    </w:p>
    <w:p w14:paraId="3CAF13FE" w14:textId="77777777" w:rsidR="004C0A79" w:rsidRPr="00731F8E" w:rsidRDefault="004C0A79" w:rsidP="004C0A79">
      <w:pPr>
        <w:ind w:left="1535"/>
        <w:rPr>
          <w:rFonts w:ascii="Times New Roman" w:hAnsi="Times New Roman"/>
        </w:rPr>
      </w:pPr>
      <w:r w:rsidRPr="00731F8E">
        <w:rPr>
          <w:rFonts w:ascii="Times New Roman" w:hAnsi="Times New Roman"/>
        </w:rPr>
        <w:t>(3) In the event that supply-demand quantity equality cannot be achieved at any time, the said inequality;</w:t>
      </w:r>
    </w:p>
    <w:p w14:paraId="239EDBE7" w14:textId="77777777" w:rsidR="004C0A79" w:rsidRPr="00731F8E" w:rsidRDefault="004C0A79" w:rsidP="00A86526">
      <w:pPr>
        <w:pStyle w:val="ListeParagraf"/>
        <w:widowControl w:val="0"/>
        <w:numPr>
          <w:ilvl w:val="0"/>
          <w:numId w:val="63"/>
        </w:numPr>
        <w:tabs>
          <w:tab w:val="left" w:pos="1883"/>
        </w:tabs>
        <w:autoSpaceDE w:val="0"/>
        <w:autoSpaceDN w:val="0"/>
        <w:spacing w:before="1" w:after="0" w:line="273" w:lineRule="auto"/>
        <w:ind w:right="133" w:firstLine="0"/>
        <w:contextualSpacing w:val="0"/>
        <w:rPr>
          <w:rFonts w:ascii="Times New Roman" w:hAnsi="Times New Roman"/>
        </w:rPr>
      </w:pPr>
      <w:r w:rsidRPr="00731F8E">
        <w:rPr>
          <w:rFonts w:ascii="Times New Roman" w:hAnsi="Times New Roman"/>
        </w:rPr>
        <w:t>In block purchase bids in case the supply does not meet the demand,</w:t>
      </w:r>
    </w:p>
    <w:p w14:paraId="20670496" w14:textId="77777777" w:rsidR="004C0A79" w:rsidRPr="00731F8E" w:rsidRDefault="004C0A79" w:rsidP="00A86526">
      <w:pPr>
        <w:pStyle w:val="ListeParagraf"/>
        <w:widowControl w:val="0"/>
        <w:numPr>
          <w:ilvl w:val="0"/>
          <w:numId w:val="63"/>
        </w:numPr>
        <w:tabs>
          <w:tab w:val="left" w:pos="1877"/>
        </w:tabs>
        <w:autoSpaceDE w:val="0"/>
        <w:autoSpaceDN w:val="0"/>
        <w:spacing w:before="5" w:after="0"/>
        <w:ind w:right="133" w:firstLine="0"/>
        <w:contextualSpacing w:val="0"/>
        <w:rPr>
          <w:rFonts w:ascii="Times New Roman" w:hAnsi="Times New Roman"/>
        </w:rPr>
      </w:pPr>
      <w:r w:rsidRPr="00731F8E">
        <w:rPr>
          <w:rFonts w:ascii="Times New Roman" w:hAnsi="Times New Roman"/>
        </w:rPr>
        <w:t>In case the request does not meet the supply, block sales offers</w:t>
      </w:r>
    </w:p>
    <w:p w14:paraId="2B27B5E7" w14:textId="77777777" w:rsidR="004C0A79" w:rsidRPr="00731F8E" w:rsidRDefault="004C0A79" w:rsidP="004C0A79">
      <w:pPr>
        <w:spacing w:line="268" w:lineRule="exact"/>
        <w:ind w:left="1535"/>
        <w:rPr>
          <w:rFonts w:ascii="Times New Roman" w:hAnsi="Times New Roman"/>
        </w:rPr>
      </w:pPr>
      <w:r w:rsidRPr="00731F8E">
        <w:rPr>
          <w:rFonts w:ascii="Times New Roman" w:hAnsi="Times New Roman"/>
        </w:rPr>
        <w:t>the second paragraph of this article shall not be taken into account."</w:t>
      </w:r>
    </w:p>
    <w:p w14:paraId="2D7A165E" w14:textId="77777777" w:rsidR="004C0A79" w:rsidRPr="00731F8E" w:rsidRDefault="004C0A79" w:rsidP="004C0A79">
      <w:pPr>
        <w:pStyle w:val="GvdeMetni"/>
        <w:spacing w:before="63"/>
        <w:rPr>
          <w:rFonts w:cs="Times New Roman"/>
          <w:i/>
          <w:szCs w:val="22"/>
        </w:rPr>
      </w:pPr>
    </w:p>
    <w:p w14:paraId="3FB8D782"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line="259" w:lineRule="auto"/>
        <w:ind w:left="837" w:right="133" w:hanging="361"/>
        <w:contextualSpacing w:val="0"/>
        <w:rPr>
          <w:rFonts w:ascii="Times New Roman" w:hAnsi="Times New Roman"/>
        </w:rPr>
      </w:pPr>
      <w:r w:rsidRPr="00731F8E">
        <w:rPr>
          <w:rFonts w:ascii="Times New Roman" w:hAnsi="Times New Roman"/>
        </w:rPr>
        <w:t>With the Board Decision dated 12.05.2022 and numbered 10971/1 published in the Official Gazette dated 13.05.2022 and numbered 31834; Within the scope of the first paragraph of Article 7 and the first paragraph of Article 14 of the Electricity Market Connection and System Use Regulation and the letter of the Ministry of Energy and Natural Resources dated 28/04/2022 and numbered 437459 it has been decided that;</w:t>
      </w:r>
    </w:p>
    <w:p w14:paraId="31307B62" w14:textId="77777777" w:rsidR="004C0A79" w:rsidRPr="00731F8E" w:rsidRDefault="004C0A79" w:rsidP="004C0A79">
      <w:pPr>
        <w:pStyle w:val="GvdeMetni"/>
        <w:spacing w:before="20"/>
        <w:rPr>
          <w:rFonts w:cs="Times New Roman"/>
          <w:i/>
          <w:szCs w:val="22"/>
        </w:rPr>
      </w:pPr>
    </w:p>
    <w:p w14:paraId="2BFA1A52" w14:textId="77777777" w:rsidR="004C0A79" w:rsidRPr="00731F8E" w:rsidRDefault="004C0A79" w:rsidP="00A86526">
      <w:pPr>
        <w:pStyle w:val="ListeParagraf"/>
        <w:widowControl w:val="0"/>
        <w:numPr>
          <w:ilvl w:val="0"/>
          <w:numId w:val="62"/>
        </w:numPr>
        <w:tabs>
          <w:tab w:val="left" w:pos="1095"/>
        </w:tabs>
        <w:autoSpaceDE w:val="0"/>
        <w:autoSpaceDN w:val="0"/>
        <w:spacing w:after="0" w:line="256" w:lineRule="auto"/>
        <w:ind w:right="134" w:firstLine="0"/>
        <w:contextualSpacing w:val="0"/>
        <w:rPr>
          <w:rFonts w:ascii="Times New Roman" w:hAnsi="Times New Roman"/>
        </w:rPr>
      </w:pPr>
      <w:r w:rsidRPr="00731F8E">
        <w:rPr>
          <w:rFonts w:ascii="Times New Roman" w:hAnsi="Times New Roman"/>
        </w:rPr>
        <w:t>Applying to TEİAŞ or the relevant distribution company by legal entities holding electricity generation licenses, including the amount of power increase, and;</w:t>
      </w:r>
    </w:p>
    <w:p w14:paraId="34D08CB6" w14:textId="77777777" w:rsidR="004C0A79" w:rsidRPr="00731F8E" w:rsidRDefault="004C0A79" w:rsidP="004C0A79">
      <w:pPr>
        <w:pStyle w:val="GvdeMetni"/>
        <w:spacing w:before="26"/>
        <w:rPr>
          <w:rFonts w:cs="Times New Roman"/>
          <w:i/>
          <w:szCs w:val="22"/>
        </w:rPr>
      </w:pPr>
    </w:p>
    <w:p w14:paraId="3FB3028D" w14:textId="77777777" w:rsidR="004C0A79" w:rsidRPr="00731F8E" w:rsidRDefault="004C0A79" w:rsidP="00A86526">
      <w:pPr>
        <w:pStyle w:val="ListeParagraf"/>
        <w:widowControl w:val="0"/>
        <w:numPr>
          <w:ilvl w:val="1"/>
          <w:numId w:val="62"/>
        </w:numPr>
        <w:tabs>
          <w:tab w:val="left" w:pos="1058"/>
        </w:tabs>
        <w:autoSpaceDE w:val="0"/>
        <w:autoSpaceDN w:val="0"/>
        <w:spacing w:before="41" w:after="0" w:line="240" w:lineRule="auto"/>
        <w:ind w:left="1058" w:hanging="221"/>
        <w:contextualSpacing w:val="0"/>
        <w:rPr>
          <w:rFonts w:ascii="Times New Roman" w:hAnsi="Times New Roman"/>
        </w:rPr>
      </w:pPr>
      <w:r w:rsidRPr="00731F8E">
        <w:rPr>
          <w:rFonts w:ascii="Times New Roman" w:hAnsi="Times New Roman"/>
        </w:rPr>
        <w:t>From the fifth working day after the application date for generation facilities connected to the transmission system,</w:t>
      </w:r>
    </w:p>
    <w:p w14:paraId="5175AC4B" w14:textId="77777777" w:rsidR="004C0A79" w:rsidRPr="00731F8E" w:rsidRDefault="004C0A79" w:rsidP="00A86526">
      <w:pPr>
        <w:pStyle w:val="ListeParagraf"/>
        <w:widowControl w:val="0"/>
        <w:numPr>
          <w:ilvl w:val="1"/>
          <w:numId w:val="62"/>
        </w:numPr>
        <w:tabs>
          <w:tab w:val="left" w:pos="1068"/>
        </w:tabs>
        <w:autoSpaceDE w:val="0"/>
        <w:autoSpaceDN w:val="0"/>
        <w:spacing w:before="20" w:after="0" w:line="259" w:lineRule="auto"/>
        <w:ind w:left="837" w:firstLine="0"/>
        <w:contextualSpacing w:val="0"/>
        <w:rPr>
          <w:rFonts w:ascii="Times New Roman" w:hAnsi="Times New Roman"/>
        </w:rPr>
      </w:pPr>
      <w:r w:rsidRPr="00731F8E">
        <w:rPr>
          <w:rFonts w:ascii="Times New Roman" w:hAnsi="Times New Roman"/>
        </w:rPr>
        <w:t>From the tenth business day for generation facilities connected to the distribution system provided that it is valid afterwards, the electrical energy that the generation facilities in question will supply to the system above their contracted power will not be considered as power excess,</w:t>
      </w:r>
    </w:p>
    <w:p w14:paraId="2A5FA79E" w14:textId="77777777" w:rsidR="004C0A79" w:rsidRPr="00731F8E" w:rsidRDefault="004C0A79" w:rsidP="00A86526">
      <w:pPr>
        <w:pStyle w:val="ListeParagraf"/>
        <w:widowControl w:val="0"/>
        <w:numPr>
          <w:ilvl w:val="1"/>
          <w:numId w:val="62"/>
        </w:numPr>
        <w:tabs>
          <w:tab w:val="left" w:pos="1068"/>
        </w:tabs>
        <w:autoSpaceDE w:val="0"/>
        <w:autoSpaceDN w:val="0"/>
        <w:spacing w:before="19" w:after="0" w:line="259" w:lineRule="auto"/>
        <w:ind w:left="837" w:firstLine="0"/>
        <w:contextualSpacing w:val="0"/>
        <w:rPr>
          <w:rFonts w:ascii="Times New Roman" w:hAnsi="Times New Roman"/>
        </w:rPr>
      </w:pPr>
      <w:r w:rsidRPr="00731F8E">
        <w:rPr>
          <w:rFonts w:ascii="Times New Roman" w:hAnsi="Times New Roman"/>
        </w:rPr>
        <w:t xml:space="preserve"> In cases where technical conditions or system operation security make it mandatory, the amount or duration of the power increase in the application for a generation facility may be partially or completely restricted by TEİAŞ or the relevant distribution company, in this case, TEİAŞ or the relevant distribution company shall inform the relevant legal entity, in this context, TEİAŞ or the relevant distribution company shall notify the relevant legal entity in writing of the reasons for the restriction within five working days at the latest from the date of notification, and the relevant legal entity may object to this decision to the Authority within thirty days from the date of notification,</w:t>
      </w:r>
    </w:p>
    <w:p w14:paraId="32AE213B" w14:textId="77777777" w:rsidR="004C0A79" w:rsidRPr="00731F8E" w:rsidRDefault="004C0A79" w:rsidP="004C0A79">
      <w:pPr>
        <w:spacing w:before="1" w:line="259" w:lineRule="auto"/>
        <w:ind w:left="837"/>
        <w:rPr>
          <w:rFonts w:ascii="Times New Roman" w:hAnsi="Times New Roman"/>
          <w:i/>
        </w:rPr>
      </w:pPr>
      <w:r w:rsidRPr="00731F8E">
        <w:rPr>
          <w:rFonts w:ascii="Times New Roman" w:hAnsi="Times New Roman"/>
        </w:rPr>
        <w:t>ç) Legal entities wishing to change the amount of power increase in their applications shall apply to TEİAŞ or the relevant distribution company within the scope of this article,</w:t>
      </w:r>
    </w:p>
    <w:p w14:paraId="5D3D9D30" w14:textId="77777777" w:rsidR="004C0A79" w:rsidRPr="00731F8E" w:rsidRDefault="004C0A79" w:rsidP="00A86526">
      <w:pPr>
        <w:pStyle w:val="ListeParagraf"/>
        <w:widowControl w:val="0"/>
        <w:numPr>
          <w:ilvl w:val="1"/>
          <w:numId w:val="62"/>
        </w:numPr>
        <w:tabs>
          <w:tab w:val="left" w:pos="1090"/>
        </w:tabs>
        <w:autoSpaceDE w:val="0"/>
        <w:autoSpaceDN w:val="0"/>
        <w:spacing w:before="1" w:after="0" w:line="259" w:lineRule="auto"/>
        <w:ind w:left="837" w:right="133" w:firstLine="0"/>
        <w:contextualSpacing w:val="0"/>
        <w:rPr>
          <w:rFonts w:ascii="Times New Roman" w:hAnsi="Times New Roman"/>
        </w:rPr>
      </w:pPr>
      <w:r w:rsidRPr="00731F8E">
        <w:rPr>
          <w:rFonts w:ascii="Times New Roman" w:hAnsi="Times New Roman"/>
        </w:rPr>
        <w:t>Distribution companies shall notify TEİAŞ of the applications made within the scope of this Board decision within five working days at the latest from the date of application,</w:t>
      </w:r>
    </w:p>
    <w:p w14:paraId="1FC42297" w14:textId="77777777" w:rsidR="004C0A79" w:rsidRPr="00731F8E" w:rsidRDefault="004C0A79" w:rsidP="004C0A79">
      <w:pPr>
        <w:spacing w:line="259" w:lineRule="auto"/>
        <w:rPr>
          <w:rFonts w:ascii="Times New Roman" w:hAnsi="Times New Roman"/>
        </w:rPr>
        <w:sectPr w:rsidR="004C0A79" w:rsidRPr="00731F8E">
          <w:pgSz w:w="11910" w:h="16840"/>
          <w:pgMar w:top="1320" w:right="1280" w:bottom="280" w:left="1300" w:header="720" w:footer="720" w:gutter="0"/>
          <w:cols w:space="720"/>
        </w:sectPr>
      </w:pPr>
    </w:p>
    <w:p w14:paraId="426FC0C4" w14:textId="77777777" w:rsidR="004C0A79" w:rsidRPr="00731F8E" w:rsidRDefault="004C0A79" w:rsidP="00A86526">
      <w:pPr>
        <w:pStyle w:val="ListeParagraf"/>
        <w:widowControl w:val="0"/>
        <w:numPr>
          <w:ilvl w:val="0"/>
          <w:numId w:val="62"/>
        </w:numPr>
        <w:tabs>
          <w:tab w:val="left" w:pos="1061"/>
        </w:tabs>
        <w:autoSpaceDE w:val="0"/>
        <w:autoSpaceDN w:val="0"/>
        <w:spacing w:before="27" w:after="0" w:line="259" w:lineRule="auto"/>
        <w:ind w:left="835" w:right="131" w:firstLine="0"/>
        <w:contextualSpacing w:val="0"/>
        <w:rPr>
          <w:rFonts w:ascii="Times New Roman" w:hAnsi="Times New Roman"/>
        </w:rPr>
      </w:pPr>
      <w:r w:rsidRPr="00731F8E">
        <w:rPr>
          <w:rFonts w:ascii="Times New Roman" w:hAnsi="Times New Roman"/>
        </w:rPr>
        <w:lastRenderedPageBreak/>
        <w:t>In cases where technical conditions or system operation security make it mandatory, the amount or duration of the power increase in the application for a generation facility may be partially or completely restricted by TEİAŞ or the relevant distribution company, in this case, TEİAŞ or the relevant distribution company shall inform the relevant legal entity, in this context, TEİAŞ or the relevant distribution company shall notify the relevant legal entity in writing of the reasons for the restriction within five working days at the latest from the date of notification, and the relevant legal entity may object to this decision to the Authority within thirty days from the date of notification,</w:t>
      </w:r>
    </w:p>
    <w:p w14:paraId="5442E4BC" w14:textId="77777777" w:rsidR="004C0A79" w:rsidRPr="00731F8E" w:rsidRDefault="004C0A79" w:rsidP="004C0A79">
      <w:pPr>
        <w:pStyle w:val="GvdeMetni"/>
        <w:spacing w:before="20"/>
        <w:rPr>
          <w:rFonts w:cs="Times New Roman"/>
          <w:i/>
          <w:szCs w:val="22"/>
        </w:rPr>
      </w:pPr>
    </w:p>
    <w:p w14:paraId="254DEFB8" w14:textId="77777777" w:rsidR="004C0A79" w:rsidRPr="00731F8E" w:rsidRDefault="004C0A79" w:rsidP="00A86526">
      <w:pPr>
        <w:pStyle w:val="ListeParagraf"/>
        <w:widowControl w:val="0"/>
        <w:numPr>
          <w:ilvl w:val="0"/>
          <w:numId w:val="62"/>
        </w:numPr>
        <w:tabs>
          <w:tab w:val="left" w:pos="1117"/>
        </w:tabs>
        <w:autoSpaceDE w:val="0"/>
        <w:autoSpaceDN w:val="0"/>
        <w:spacing w:after="0" w:line="256" w:lineRule="auto"/>
        <w:ind w:left="835" w:right="137" w:firstLine="0"/>
        <w:contextualSpacing w:val="0"/>
        <w:rPr>
          <w:rFonts w:ascii="Times New Roman" w:hAnsi="Times New Roman"/>
        </w:rPr>
      </w:pPr>
      <w:r w:rsidRPr="00731F8E">
        <w:rPr>
          <w:rFonts w:ascii="Times New Roman" w:hAnsi="Times New Roman"/>
        </w:rPr>
        <w:t>Calculating the fixed transmission fees or fixed distribution system usage fees of the generation facilities subject to the application over the agreement power values,</w:t>
      </w:r>
    </w:p>
    <w:p w14:paraId="39F21D24" w14:textId="77777777" w:rsidR="004C0A79" w:rsidRPr="00731F8E" w:rsidRDefault="004C0A79" w:rsidP="004C0A79">
      <w:pPr>
        <w:pStyle w:val="GvdeMetni"/>
        <w:spacing w:before="25"/>
        <w:rPr>
          <w:rFonts w:cs="Times New Roman"/>
          <w:i/>
          <w:szCs w:val="22"/>
        </w:rPr>
      </w:pPr>
    </w:p>
    <w:p w14:paraId="1854C9DE" w14:textId="77777777" w:rsidR="004C0A79" w:rsidRPr="00731F8E" w:rsidRDefault="004C0A79" w:rsidP="00A86526">
      <w:pPr>
        <w:pStyle w:val="ListeParagraf"/>
        <w:widowControl w:val="0"/>
        <w:numPr>
          <w:ilvl w:val="0"/>
          <w:numId w:val="62"/>
        </w:numPr>
        <w:tabs>
          <w:tab w:val="left" w:pos="1140"/>
        </w:tabs>
        <w:autoSpaceDE w:val="0"/>
        <w:autoSpaceDN w:val="0"/>
        <w:spacing w:after="0" w:line="259" w:lineRule="auto"/>
        <w:ind w:left="835" w:right="135" w:firstLine="0"/>
        <w:contextualSpacing w:val="0"/>
        <w:rPr>
          <w:rFonts w:ascii="Times New Roman" w:hAnsi="Times New Roman"/>
        </w:rPr>
      </w:pPr>
      <w:r w:rsidRPr="00731F8E">
        <w:rPr>
          <w:rFonts w:ascii="Times New Roman" w:hAnsi="Times New Roman"/>
        </w:rPr>
        <w:t>The power increases within the scope of this Board decision of the generation facilities that provide electrical energy to the system above the agreement powers in the direction of supply shall be taken into account in the available capacity of the relevant generation facilities,</w:t>
      </w:r>
    </w:p>
    <w:p w14:paraId="07D110AF" w14:textId="77777777" w:rsidR="004C0A79" w:rsidRPr="00731F8E" w:rsidRDefault="004C0A79" w:rsidP="004C0A79">
      <w:pPr>
        <w:pStyle w:val="GvdeMetni"/>
        <w:spacing w:before="20"/>
        <w:rPr>
          <w:rFonts w:cs="Times New Roman"/>
          <w:i/>
          <w:szCs w:val="22"/>
        </w:rPr>
      </w:pPr>
    </w:p>
    <w:p w14:paraId="7A79C48A" w14:textId="77777777" w:rsidR="004C0A79" w:rsidRPr="00731F8E" w:rsidRDefault="004C0A79" w:rsidP="00A86526">
      <w:pPr>
        <w:pStyle w:val="ListeParagraf"/>
        <w:widowControl w:val="0"/>
        <w:numPr>
          <w:ilvl w:val="0"/>
          <w:numId w:val="62"/>
        </w:numPr>
        <w:tabs>
          <w:tab w:val="left" w:pos="1051"/>
        </w:tabs>
        <w:autoSpaceDE w:val="0"/>
        <w:autoSpaceDN w:val="0"/>
        <w:spacing w:after="0" w:line="259" w:lineRule="auto"/>
        <w:ind w:left="835" w:right="139" w:firstLine="0"/>
        <w:contextualSpacing w:val="0"/>
        <w:rPr>
          <w:rFonts w:ascii="Times New Roman" w:hAnsi="Times New Roman"/>
        </w:rPr>
      </w:pPr>
      <w:r w:rsidRPr="00731F8E">
        <w:rPr>
          <w:rFonts w:ascii="Times New Roman" w:hAnsi="Times New Roman"/>
        </w:rPr>
        <w:t>In the event that the generation facilities exceed the power value determined within the scope of this Board decision, the excess amount shall be evaluated as excess power,</w:t>
      </w:r>
    </w:p>
    <w:p w14:paraId="2C75E077" w14:textId="77777777" w:rsidR="004C0A79" w:rsidRPr="00731F8E" w:rsidRDefault="004C0A79" w:rsidP="004C0A79">
      <w:pPr>
        <w:pStyle w:val="GvdeMetni"/>
        <w:spacing w:before="20"/>
        <w:rPr>
          <w:rFonts w:cs="Times New Roman"/>
          <w:i/>
          <w:szCs w:val="22"/>
        </w:rPr>
      </w:pPr>
    </w:p>
    <w:p w14:paraId="4130F24C" w14:textId="77777777" w:rsidR="004C0A79" w:rsidRPr="00731F8E" w:rsidRDefault="004C0A79" w:rsidP="00A86526">
      <w:pPr>
        <w:pStyle w:val="ListeParagraf"/>
        <w:widowControl w:val="0"/>
        <w:numPr>
          <w:ilvl w:val="0"/>
          <w:numId w:val="62"/>
        </w:numPr>
        <w:tabs>
          <w:tab w:val="left" w:pos="1066"/>
        </w:tabs>
        <w:autoSpaceDE w:val="0"/>
        <w:autoSpaceDN w:val="0"/>
        <w:spacing w:after="0" w:line="240" w:lineRule="auto"/>
        <w:ind w:left="1066" w:hanging="231"/>
        <w:contextualSpacing w:val="0"/>
        <w:rPr>
          <w:rFonts w:ascii="Times New Roman" w:hAnsi="Times New Roman"/>
        </w:rPr>
      </w:pPr>
      <w:r w:rsidRPr="00731F8E">
        <w:rPr>
          <w:rFonts w:ascii="Times New Roman" w:hAnsi="Times New Roman"/>
        </w:rPr>
        <w:t>Not to apply this Board decision for unlicensed electricity generation facilities,</w:t>
      </w:r>
    </w:p>
    <w:p w14:paraId="0DCC28E0" w14:textId="77777777" w:rsidR="004C0A79" w:rsidRPr="00731F8E" w:rsidRDefault="004C0A79" w:rsidP="004C0A79">
      <w:pPr>
        <w:pStyle w:val="GvdeMetni"/>
        <w:spacing w:before="44"/>
        <w:rPr>
          <w:rFonts w:cs="Times New Roman"/>
          <w:i/>
          <w:szCs w:val="22"/>
        </w:rPr>
      </w:pPr>
    </w:p>
    <w:p w14:paraId="6C48D5FD" w14:textId="77777777" w:rsidR="004C0A79" w:rsidRPr="00731F8E" w:rsidRDefault="004C0A79" w:rsidP="00A86526">
      <w:pPr>
        <w:pStyle w:val="ListeParagraf"/>
        <w:widowControl w:val="0"/>
        <w:numPr>
          <w:ilvl w:val="0"/>
          <w:numId w:val="62"/>
        </w:numPr>
        <w:tabs>
          <w:tab w:val="left" w:pos="1080"/>
        </w:tabs>
        <w:autoSpaceDE w:val="0"/>
        <w:autoSpaceDN w:val="0"/>
        <w:spacing w:before="20" w:after="0" w:line="259" w:lineRule="auto"/>
        <w:ind w:left="835" w:right="134" w:firstLine="0"/>
        <w:contextualSpacing w:val="0"/>
        <w:rPr>
          <w:rFonts w:ascii="Times New Roman" w:hAnsi="Times New Roman"/>
        </w:rPr>
      </w:pPr>
      <w:r w:rsidRPr="00731F8E">
        <w:rPr>
          <w:rFonts w:ascii="Times New Roman" w:hAnsi="Times New Roman"/>
        </w:rPr>
        <w:t>The decision of this Board shall enter into force on the date of its publication and shall be implemented until 30/09/2022,</w:t>
      </w:r>
    </w:p>
    <w:p w14:paraId="41464917" w14:textId="77777777" w:rsidR="004C0A79" w:rsidRPr="00731F8E" w:rsidRDefault="004C0A79" w:rsidP="004C0A79">
      <w:pPr>
        <w:ind w:left="835"/>
        <w:rPr>
          <w:rFonts w:ascii="Times New Roman" w:hAnsi="Times New Roman"/>
        </w:rPr>
      </w:pPr>
    </w:p>
    <w:p w14:paraId="406ECCB3" w14:textId="77777777" w:rsidR="004C0A79" w:rsidRPr="00731F8E" w:rsidRDefault="004C0A79" w:rsidP="004C0A79">
      <w:pPr>
        <w:pStyle w:val="GvdeMetni"/>
        <w:spacing w:before="44"/>
        <w:rPr>
          <w:rFonts w:cs="Times New Roman"/>
          <w:i/>
          <w:szCs w:val="22"/>
        </w:rPr>
      </w:pPr>
    </w:p>
    <w:p w14:paraId="75AFC498"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ind w:left="836" w:right="131" w:hanging="361"/>
        <w:contextualSpacing w:val="0"/>
        <w:rPr>
          <w:rFonts w:ascii="Times New Roman" w:hAnsi="Times New Roman"/>
          <w:b/>
        </w:rPr>
      </w:pPr>
      <w:r w:rsidRPr="00731F8E">
        <w:rPr>
          <w:rFonts w:ascii="Times New Roman" w:hAnsi="Times New Roman"/>
        </w:rPr>
        <w:t xml:space="preserve">With the Board Decision dated 18.05.2022 and numbered 10978 published in the Official Gazette dated 19.05.2022 and numbered 31840, the fifth paragraph of the Provisional Article 1 of the </w:t>
      </w:r>
      <w:r w:rsidRPr="00731F8E">
        <w:rPr>
          <w:rFonts w:ascii="Times New Roman" w:hAnsi="Times New Roman"/>
          <w:b/>
        </w:rPr>
        <w:t>Procedures and Principles Concerning the Determination of Minimum and Maximum Price Limits in the Day Ahead Market and Balancing Power Market</w:t>
      </w:r>
      <w:r w:rsidRPr="00731F8E">
        <w:rPr>
          <w:rFonts w:ascii="Times New Roman" w:hAnsi="Times New Roman"/>
        </w:rPr>
        <w:t xml:space="preserve"> has been amended as follows.</w:t>
      </w:r>
    </w:p>
    <w:p w14:paraId="7315E5B0" w14:textId="77777777" w:rsidR="004C0A79" w:rsidRPr="00731F8E" w:rsidRDefault="004C0A79" w:rsidP="004C0A79">
      <w:pPr>
        <w:pStyle w:val="GvdeMetni"/>
        <w:spacing w:before="44"/>
        <w:rPr>
          <w:rFonts w:cs="Times New Roman"/>
          <w:szCs w:val="22"/>
        </w:rPr>
      </w:pPr>
    </w:p>
    <w:p w14:paraId="2A19957D" w14:textId="77777777" w:rsidR="004C0A79" w:rsidRPr="00731F8E" w:rsidRDefault="004C0A79" w:rsidP="004C0A79">
      <w:pPr>
        <w:pStyle w:val="GvdeMetni"/>
        <w:spacing w:line="276" w:lineRule="auto"/>
        <w:ind w:left="1556" w:right="131"/>
        <w:rPr>
          <w:rFonts w:cs="Times New Roman"/>
          <w:szCs w:val="22"/>
        </w:rPr>
      </w:pPr>
      <w:r w:rsidRPr="00731F8E">
        <w:rPr>
          <w:rFonts w:cs="Times New Roman"/>
          <w:szCs w:val="22"/>
        </w:rPr>
        <w:t>"(5) From the date of entry into force of this paragraph until a new decision is taken by the Board; In the relevant markets, the minimum price limits are applied as 0 TL/MWh and the maximum price limits are applied as 2750 TL/MWh. During this application, the provisions of the second paragraph of Article 4 of these Procedures and Principles shall not apply."</w:t>
      </w:r>
    </w:p>
    <w:p w14:paraId="32889C53" w14:textId="77777777" w:rsidR="004C0A79" w:rsidRPr="00731F8E" w:rsidRDefault="004C0A79" w:rsidP="004C0A79">
      <w:pPr>
        <w:pStyle w:val="GvdeMetni"/>
        <w:spacing w:before="20"/>
        <w:rPr>
          <w:rFonts w:cs="Times New Roman"/>
          <w:szCs w:val="22"/>
        </w:rPr>
      </w:pPr>
    </w:p>
    <w:p w14:paraId="3DE1F3AB"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line="273" w:lineRule="auto"/>
        <w:ind w:left="837" w:right="130" w:hanging="361"/>
        <w:contextualSpacing w:val="0"/>
        <w:rPr>
          <w:rFonts w:ascii="Times New Roman" w:hAnsi="Times New Roman"/>
          <w:b/>
        </w:rPr>
      </w:pPr>
      <w:r w:rsidRPr="00731F8E">
        <w:rPr>
          <w:rFonts w:ascii="Times New Roman" w:hAnsi="Times New Roman"/>
        </w:rPr>
        <w:t xml:space="preserve">With the Board Decision dated 26.05.2022 and numbered 10984 published in the Official Gazette dated 28.05.2022 and numbered 31849, the fifth paragraph of the Provisional Article 1 of the </w:t>
      </w:r>
      <w:r w:rsidRPr="00731F8E">
        <w:rPr>
          <w:rFonts w:ascii="Times New Roman" w:hAnsi="Times New Roman"/>
          <w:b/>
        </w:rPr>
        <w:t>Procedures and Principles Concerning the Determination of Minimum and Maximum Price Limits in the Day Ahead Market and Balancing Power Market</w:t>
      </w:r>
      <w:r w:rsidRPr="00731F8E">
        <w:rPr>
          <w:rFonts w:ascii="Times New Roman" w:hAnsi="Times New Roman"/>
        </w:rPr>
        <w:t xml:space="preserve"> has been amended as follows.</w:t>
      </w:r>
    </w:p>
    <w:p w14:paraId="204DC6F5" w14:textId="77777777" w:rsidR="004C0A79" w:rsidRPr="00731F8E" w:rsidRDefault="004C0A79" w:rsidP="004C0A79">
      <w:pPr>
        <w:pStyle w:val="GvdeMetni"/>
        <w:spacing w:before="41"/>
        <w:rPr>
          <w:rFonts w:cs="Times New Roman"/>
          <w:szCs w:val="22"/>
        </w:rPr>
      </w:pPr>
    </w:p>
    <w:p w14:paraId="62D664B1" w14:textId="77777777" w:rsidR="004C0A79" w:rsidRPr="00731F8E" w:rsidRDefault="004C0A79" w:rsidP="004C0A79">
      <w:pPr>
        <w:pStyle w:val="GvdeMetni"/>
        <w:spacing w:line="276" w:lineRule="auto"/>
        <w:ind w:left="1557" w:right="131"/>
        <w:rPr>
          <w:rFonts w:cs="Times New Roman"/>
          <w:szCs w:val="22"/>
        </w:rPr>
      </w:pPr>
      <w:r w:rsidRPr="00731F8E">
        <w:rPr>
          <w:rFonts w:cs="Times New Roman"/>
          <w:szCs w:val="22"/>
        </w:rPr>
        <w:t>“(5) From the date of entry into force of this paragraph until a new decision is taken by the Board; In relevant markets, minimum price limits are applied as 0 TL/MWh and maximum price limits are 3200 TL/MWh.</w:t>
      </w:r>
    </w:p>
    <w:p w14:paraId="55E1C346" w14:textId="77777777" w:rsidR="004C0A79" w:rsidRPr="00731F8E" w:rsidRDefault="004C0A79" w:rsidP="004C0A79">
      <w:pPr>
        <w:rPr>
          <w:rFonts w:ascii="Times New Roman" w:hAnsi="Times New Roman"/>
        </w:rPr>
        <w:sectPr w:rsidR="004C0A79" w:rsidRPr="00731F8E">
          <w:pgSz w:w="11910" w:h="16840"/>
          <w:pgMar w:top="1660" w:right="1280" w:bottom="280" w:left="1300" w:header="720" w:footer="720" w:gutter="0"/>
          <w:cols w:space="720"/>
        </w:sectPr>
      </w:pPr>
    </w:p>
    <w:p w14:paraId="510D40A0"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lastRenderedPageBreak/>
        <w:t>During this application, the provisions of the second paragraph of Article 4 of these Procedures and Principles shall not apply."</w:t>
      </w:r>
    </w:p>
    <w:p w14:paraId="04751F0F" w14:textId="77777777" w:rsidR="004C0A79" w:rsidRPr="00731F8E" w:rsidRDefault="004C0A79" w:rsidP="004C0A79">
      <w:pPr>
        <w:pStyle w:val="GvdeMetni"/>
        <w:spacing w:before="23"/>
        <w:rPr>
          <w:rFonts w:cs="Times New Roman"/>
          <w:szCs w:val="22"/>
        </w:rPr>
      </w:pPr>
    </w:p>
    <w:p w14:paraId="1C352944"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2" w:hanging="361"/>
        <w:contextualSpacing w:val="0"/>
        <w:rPr>
          <w:rFonts w:ascii="Times New Roman" w:hAnsi="Times New Roman"/>
          <w:b/>
        </w:rPr>
      </w:pPr>
      <w:r w:rsidRPr="00731F8E">
        <w:rPr>
          <w:rFonts w:ascii="Times New Roman" w:hAnsi="Times New Roman"/>
        </w:rPr>
        <w:t xml:space="preserve">With the Board Decision dated 09.06.2022 and numbered 11008 published in the Official Gazette dated 15.06.2022 and numbered 31867, the </w:t>
      </w:r>
      <w:r w:rsidRPr="00731F8E">
        <w:rPr>
          <w:rFonts w:ascii="Times New Roman" w:hAnsi="Times New Roman"/>
          <w:b/>
        </w:rPr>
        <w:t>Procedures and Principles regarding Unlicensed Production, which determine the measures to be applied and the procedures and principles regarding these measures in order to determine the assigned supply companies that do not fulfill their obligations on time and/or partially or completely regarding the payments to be made to unlicensed producers within the scope of the Unlicensed Electricity Generation Regulation published in the Official Gazette dated 12/5/2019 and numbered 30772, have been accepted.</w:t>
      </w:r>
    </w:p>
    <w:p w14:paraId="3E7CCCA0" w14:textId="77777777" w:rsidR="004C0A79" w:rsidRPr="00731F8E" w:rsidRDefault="004C0A79" w:rsidP="004C0A79">
      <w:pPr>
        <w:pStyle w:val="GvdeMetni"/>
        <w:spacing w:before="17"/>
        <w:rPr>
          <w:rFonts w:cs="Times New Roman"/>
          <w:b/>
          <w:i/>
          <w:szCs w:val="22"/>
        </w:rPr>
      </w:pPr>
    </w:p>
    <w:p w14:paraId="54C2F56F"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before="1" w:after="0" w:line="259" w:lineRule="auto"/>
        <w:ind w:left="837" w:right="132" w:hanging="361"/>
        <w:contextualSpacing w:val="0"/>
        <w:rPr>
          <w:rFonts w:ascii="Times New Roman" w:hAnsi="Times New Roman"/>
          <w:b/>
        </w:rPr>
      </w:pPr>
      <w:r w:rsidRPr="00731F8E">
        <w:rPr>
          <w:rFonts w:ascii="Times New Roman" w:hAnsi="Times New Roman"/>
        </w:rPr>
        <w:t xml:space="preserve">With the Board Decision dated 15.06.2022 and numbered 11023 published in the Official Gazette dated 17.06.2022 and numbered 31869, the following paragraph was added to the end of Article 11 of the </w:t>
      </w:r>
      <w:r w:rsidRPr="00731F8E">
        <w:rPr>
          <w:rFonts w:ascii="Times New Roman" w:hAnsi="Times New Roman"/>
          <w:b/>
        </w:rPr>
        <w:t>Collateral Procedures and Principles</w:t>
      </w:r>
      <w:r w:rsidRPr="00731F8E">
        <w:rPr>
          <w:rFonts w:ascii="Times New Roman" w:hAnsi="Times New Roman"/>
        </w:rPr>
        <w:t>.</w:t>
      </w:r>
    </w:p>
    <w:p w14:paraId="564E7EF6" w14:textId="77777777" w:rsidR="004C0A79" w:rsidRPr="00731F8E" w:rsidRDefault="004C0A79" w:rsidP="004C0A79">
      <w:pPr>
        <w:tabs>
          <w:tab w:val="left" w:pos="1556"/>
        </w:tabs>
        <w:rPr>
          <w:rFonts w:ascii="Times New Roman" w:hAnsi="Times New Roman"/>
        </w:rPr>
      </w:pPr>
    </w:p>
    <w:p w14:paraId="1C6982D4" w14:textId="77777777" w:rsidR="004C0A79" w:rsidRPr="00731F8E" w:rsidRDefault="004C0A79" w:rsidP="004C0A79">
      <w:pPr>
        <w:pStyle w:val="GvdeMetni"/>
        <w:spacing w:before="185" w:line="276" w:lineRule="auto"/>
        <w:ind w:left="1535" w:right="132"/>
        <w:rPr>
          <w:rFonts w:cs="Times New Roman"/>
          <w:szCs w:val="22"/>
        </w:rPr>
      </w:pPr>
      <w:r w:rsidRPr="00731F8E">
        <w:rPr>
          <w:rFonts w:cs="Times New Roman"/>
          <w:szCs w:val="22"/>
        </w:rPr>
        <w:t>"(7) If the amounts calculated on a daily basis in the additional guarantee item for the relevant invoice period are not taken into account after 16:40 pm on the invoice due date, the relevant guarantee item is recalculated for market participants whose additional guarantee amount will decrease. The relevant market participants and the central settlement institution on a participant basis shall be informed by 17:00 pm about the total collateral amounts to be submitted by the market participants whose additional collateral is updated. "</w:t>
      </w:r>
    </w:p>
    <w:p w14:paraId="16CCC23B" w14:textId="77777777" w:rsidR="004C0A79" w:rsidRPr="00731F8E" w:rsidRDefault="004C0A79" w:rsidP="004C0A79">
      <w:pPr>
        <w:pStyle w:val="GvdeMetni"/>
        <w:spacing w:before="40"/>
        <w:rPr>
          <w:rFonts w:cs="Times New Roman"/>
          <w:szCs w:val="22"/>
        </w:rPr>
      </w:pPr>
    </w:p>
    <w:p w14:paraId="48440249" w14:textId="77777777" w:rsidR="004C0A79" w:rsidRPr="00731F8E" w:rsidRDefault="004C0A79" w:rsidP="00A86526">
      <w:pPr>
        <w:pStyle w:val="ListeParagraf"/>
        <w:widowControl w:val="0"/>
        <w:numPr>
          <w:ilvl w:val="4"/>
          <w:numId w:val="67"/>
        </w:numPr>
        <w:tabs>
          <w:tab w:val="left" w:pos="1556"/>
        </w:tabs>
        <w:autoSpaceDE w:val="0"/>
        <w:autoSpaceDN w:val="0"/>
        <w:spacing w:before="1" w:after="0" w:line="256" w:lineRule="auto"/>
        <w:ind w:right="134"/>
        <w:contextualSpacing w:val="0"/>
        <w:jc w:val="left"/>
        <w:rPr>
          <w:rFonts w:ascii="Times New Roman" w:hAnsi="Times New Roman"/>
        </w:rPr>
      </w:pPr>
      <w:r w:rsidRPr="00731F8E">
        <w:rPr>
          <w:rFonts w:ascii="Times New Roman" w:hAnsi="Times New Roman"/>
        </w:rPr>
        <w:t>The expressions "17:00" in the second paragraph of Article 13 have been changed to "16:40".</w:t>
      </w:r>
    </w:p>
    <w:p w14:paraId="741894D7" w14:textId="77777777" w:rsidR="004C0A79" w:rsidRPr="00731F8E" w:rsidRDefault="004C0A79" w:rsidP="004C0A79">
      <w:pPr>
        <w:pStyle w:val="GvdeMetni"/>
        <w:spacing w:before="25"/>
        <w:rPr>
          <w:rFonts w:cs="Times New Roman"/>
          <w:i/>
          <w:szCs w:val="22"/>
        </w:rPr>
      </w:pPr>
    </w:p>
    <w:p w14:paraId="6E12F2A4"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ind w:left="837" w:right="130" w:hanging="361"/>
        <w:contextualSpacing w:val="0"/>
        <w:rPr>
          <w:rFonts w:ascii="Times New Roman" w:hAnsi="Times New Roman"/>
          <w:b/>
        </w:rPr>
      </w:pPr>
      <w:r w:rsidRPr="00731F8E">
        <w:rPr>
          <w:rFonts w:ascii="Times New Roman" w:hAnsi="Times New Roman"/>
        </w:rPr>
        <w:t xml:space="preserve">With the Board Decision dated 29.06.2022 and numbered 11043 published in the Official Gazette dated 30.06.2022 and numbered 31882, the fifth paragraph of the Provisional Article 1 of the </w:t>
      </w:r>
      <w:r w:rsidRPr="00731F8E">
        <w:rPr>
          <w:rFonts w:ascii="Times New Roman" w:hAnsi="Times New Roman"/>
          <w:b/>
        </w:rPr>
        <w:t>Procedures and Principles Concerning the Determination of Minimum and Maximum Price Limits in the Day Ahead Market and Balancing Power Market</w:t>
      </w:r>
      <w:r w:rsidRPr="00731F8E">
        <w:rPr>
          <w:rFonts w:ascii="Times New Roman" w:hAnsi="Times New Roman"/>
        </w:rPr>
        <w:t xml:space="preserve"> has been amended as follows.</w:t>
      </w:r>
    </w:p>
    <w:p w14:paraId="67F36534" w14:textId="77777777" w:rsidR="004C0A79" w:rsidRPr="00731F8E" w:rsidRDefault="004C0A79" w:rsidP="004C0A79">
      <w:pPr>
        <w:pStyle w:val="GvdeMetni"/>
        <w:spacing w:before="43"/>
        <w:rPr>
          <w:rFonts w:cs="Times New Roman"/>
          <w:i/>
          <w:szCs w:val="22"/>
        </w:rPr>
      </w:pPr>
    </w:p>
    <w:p w14:paraId="7F7E5DD1" w14:textId="77777777" w:rsidR="004C0A79" w:rsidRPr="00731F8E" w:rsidRDefault="004C0A79" w:rsidP="004C0A79">
      <w:pPr>
        <w:pStyle w:val="GvdeMetni"/>
        <w:spacing w:line="276" w:lineRule="auto"/>
        <w:ind w:left="1557" w:right="130"/>
        <w:rPr>
          <w:rFonts w:cs="Times New Roman"/>
          <w:szCs w:val="22"/>
        </w:rPr>
      </w:pPr>
      <w:r w:rsidRPr="00731F8E">
        <w:rPr>
          <w:rFonts w:cs="Times New Roman"/>
          <w:szCs w:val="22"/>
        </w:rPr>
        <w:t>"(5) From the date of entry into force of this paragraph until a new decision is taken by the Board; In the relevant markets, the minimum price limits are applied as 0 TL/MWh and the maximum price limits are applied as 3750 TL/MWh. During this application, the provisions of the second paragraph of Article 4 of these Procedures and Principles shall not apply."</w:t>
      </w:r>
    </w:p>
    <w:p w14:paraId="2DE22AA4" w14:textId="77777777" w:rsidR="004C0A79" w:rsidRPr="00731F8E" w:rsidRDefault="004C0A79" w:rsidP="004C0A79">
      <w:pPr>
        <w:pStyle w:val="GvdeMetni"/>
        <w:spacing w:before="20"/>
        <w:rPr>
          <w:rFonts w:cs="Times New Roman"/>
          <w:szCs w:val="22"/>
        </w:rPr>
      </w:pPr>
    </w:p>
    <w:p w14:paraId="588A980A" w14:textId="77777777" w:rsidR="004C0A79" w:rsidRPr="00731F8E" w:rsidRDefault="004C0A79" w:rsidP="00A86526">
      <w:pPr>
        <w:pStyle w:val="ListeParagraf"/>
        <w:widowControl w:val="0"/>
        <w:numPr>
          <w:ilvl w:val="3"/>
          <w:numId w:val="67"/>
        </w:numPr>
        <w:tabs>
          <w:tab w:val="left" w:pos="836"/>
          <w:tab w:val="left" w:pos="838"/>
        </w:tabs>
        <w:autoSpaceDE w:val="0"/>
        <w:autoSpaceDN w:val="0"/>
        <w:spacing w:after="0" w:line="259" w:lineRule="auto"/>
        <w:ind w:left="838" w:right="131" w:hanging="361"/>
        <w:contextualSpacing w:val="0"/>
        <w:rPr>
          <w:rFonts w:ascii="Times New Roman" w:hAnsi="Times New Roman"/>
        </w:rPr>
      </w:pPr>
      <w:r w:rsidRPr="00731F8E">
        <w:rPr>
          <w:rFonts w:ascii="Times New Roman" w:hAnsi="Times New Roman"/>
        </w:rPr>
        <w:t>With the Board Decision dated 30.06.2022 and numbered 11052 published in the Official Gazette dated 01.07.2022 and numbered 31883, it was decided to carry out the transactions regarding the advance payments of the assigned supply companies within the framework of the eleventh paragraph of Article 132/D of the Regulation (Regulation) to be applied from the date of entry into force of the eleventh paragraph of Article 132/D of the Electricity Market Balancing and Settlement Regulation (Regulation) until 31.08.2022.</w:t>
      </w:r>
    </w:p>
    <w:p w14:paraId="57F795E4" w14:textId="77777777" w:rsidR="004C0A79" w:rsidRPr="00731F8E" w:rsidRDefault="004C0A79" w:rsidP="004C0A79">
      <w:pPr>
        <w:pStyle w:val="GvdeMetni"/>
        <w:spacing w:before="22"/>
        <w:rPr>
          <w:rFonts w:cs="Times New Roman"/>
          <w:i/>
          <w:szCs w:val="22"/>
        </w:rPr>
      </w:pPr>
    </w:p>
    <w:p w14:paraId="503E38FF" w14:textId="77777777" w:rsidR="004C0A79" w:rsidRPr="00731F8E" w:rsidRDefault="004C0A79" w:rsidP="00A86526">
      <w:pPr>
        <w:pStyle w:val="ListeParagraf"/>
        <w:widowControl w:val="0"/>
        <w:numPr>
          <w:ilvl w:val="3"/>
          <w:numId w:val="67"/>
        </w:numPr>
        <w:tabs>
          <w:tab w:val="left" w:pos="837"/>
          <w:tab w:val="left" w:pos="839"/>
        </w:tabs>
        <w:autoSpaceDE w:val="0"/>
        <w:autoSpaceDN w:val="0"/>
        <w:spacing w:before="37" w:after="0" w:line="259" w:lineRule="auto"/>
        <w:ind w:left="839" w:right="131" w:hanging="361"/>
        <w:contextualSpacing w:val="0"/>
        <w:rPr>
          <w:rFonts w:ascii="Times New Roman" w:hAnsi="Times New Roman"/>
        </w:rPr>
      </w:pPr>
      <w:r w:rsidRPr="00731F8E">
        <w:rPr>
          <w:rFonts w:ascii="Times New Roman" w:hAnsi="Times New Roman"/>
        </w:rPr>
        <w:t>• Within the scope of "Procedures and Principles for the Determination and Implementation of the Support Fee on Resource Basis", which came into force by being published in the Official Gazette dated 18.03.2022 and numbered 31782, with the Board Decision dated 28.07.2022 and numbered 11082, published in the Official Gazette dated 29.07.2022 and numbered 31907 (Procedures and Principles) it has been decided to;</w:t>
      </w:r>
    </w:p>
    <w:p w14:paraId="7E1D816C" w14:textId="77777777" w:rsidR="004C0A79" w:rsidRPr="00731F8E" w:rsidRDefault="004C0A79" w:rsidP="004C0A79">
      <w:pPr>
        <w:pStyle w:val="GvdeMetni"/>
        <w:spacing w:before="22"/>
        <w:rPr>
          <w:rFonts w:cs="Times New Roman"/>
          <w:i/>
          <w:szCs w:val="22"/>
        </w:rPr>
      </w:pPr>
    </w:p>
    <w:p w14:paraId="4CFB16ED" w14:textId="77777777" w:rsidR="004C0A79" w:rsidRPr="00731F8E" w:rsidRDefault="004C0A79" w:rsidP="00A86526">
      <w:pPr>
        <w:pStyle w:val="ListeParagraf"/>
        <w:widowControl w:val="0"/>
        <w:numPr>
          <w:ilvl w:val="0"/>
          <w:numId w:val="61"/>
        </w:numPr>
        <w:tabs>
          <w:tab w:val="left" w:pos="1246"/>
          <w:tab w:val="left" w:pos="1248"/>
        </w:tabs>
        <w:autoSpaceDE w:val="0"/>
        <w:autoSpaceDN w:val="0"/>
        <w:spacing w:after="0" w:line="240" w:lineRule="auto"/>
        <w:ind w:right="134"/>
        <w:contextualSpacing w:val="0"/>
        <w:rPr>
          <w:rFonts w:ascii="Times New Roman" w:hAnsi="Times New Roman"/>
        </w:rPr>
      </w:pPr>
      <w:r w:rsidRPr="00731F8E">
        <w:rPr>
          <w:rFonts w:ascii="Times New Roman" w:hAnsi="Times New Roman"/>
        </w:rPr>
        <w:t xml:space="preserve">In the collateral calculation to be submitted by the market participants in accordance with Article 8 of the Procedures and Principles; the difference between the fixed price value and </w:t>
      </w:r>
      <w:r w:rsidRPr="00731F8E">
        <w:rPr>
          <w:rFonts w:ascii="Times New Roman" w:hAnsi="Times New Roman"/>
        </w:rPr>
        <w:lastRenderedPageBreak/>
        <w:t>the maximum settlement price in the bilateral agreements shall be used instead of the difference between the market clearing price value and the maximum settlement price in the collateral calculation of the market participants whose bilateral agreements are accepted as a result of the examinations and who present their documents stating that they will sell the electricity they will generate by making a bilateral agreement at a fixed price,</w:t>
      </w:r>
    </w:p>
    <w:p w14:paraId="57AB6454" w14:textId="77777777" w:rsidR="004C0A79" w:rsidRPr="00731F8E" w:rsidRDefault="004C0A79" w:rsidP="00A86526">
      <w:pPr>
        <w:pStyle w:val="ListeParagraf"/>
        <w:widowControl w:val="0"/>
        <w:numPr>
          <w:ilvl w:val="0"/>
          <w:numId w:val="61"/>
        </w:numPr>
        <w:tabs>
          <w:tab w:val="left" w:pos="1246"/>
          <w:tab w:val="left" w:pos="1248"/>
        </w:tabs>
        <w:autoSpaceDE w:val="0"/>
        <w:autoSpaceDN w:val="0"/>
        <w:spacing w:before="268" w:after="0" w:line="240" w:lineRule="auto"/>
        <w:ind w:right="135"/>
        <w:contextualSpacing w:val="0"/>
        <w:rPr>
          <w:rFonts w:ascii="Times New Roman" w:hAnsi="Times New Roman"/>
        </w:rPr>
      </w:pPr>
      <w:r w:rsidRPr="00731F8E">
        <w:rPr>
          <w:rFonts w:ascii="Times New Roman" w:hAnsi="Times New Roman"/>
        </w:rPr>
        <w:t>During the period determined by the Board decision within the scope of the eleventh paragraph of Article 132/D of the Electricity Market Balancing and Settlement Regulation (DUY), the advance payment amounts made incompletely due to the unpaid debts of the category created within the scope of clauses (a), (b), (c) and (ç) of the second paragraph of Article 17 of the DUY shall be deducted from the collateral amount of the market participants within the scope of Article 8 of the Procedures and Principles,</w:t>
      </w:r>
    </w:p>
    <w:p w14:paraId="6534C95F" w14:textId="77777777" w:rsidR="004C0A79" w:rsidRPr="00731F8E" w:rsidRDefault="004C0A79" w:rsidP="00A86526">
      <w:pPr>
        <w:pStyle w:val="ListeParagraf"/>
        <w:widowControl w:val="0"/>
        <w:numPr>
          <w:ilvl w:val="0"/>
          <w:numId w:val="61"/>
        </w:numPr>
        <w:tabs>
          <w:tab w:val="left" w:pos="1246"/>
          <w:tab w:val="left" w:pos="1248"/>
        </w:tabs>
        <w:autoSpaceDE w:val="0"/>
        <w:autoSpaceDN w:val="0"/>
        <w:spacing w:before="267" w:after="0" w:line="240" w:lineRule="auto"/>
        <w:ind w:right="137"/>
        <w:contextualSpacing w:val="0"/>
        <w:rPr>
          <w:rFonts w:ascii="Times New Roman" w:hAnsi="Times New Roman"/>
        </w:rPr>
      </w:pPr>
      <w:r w:rsidRPr="00731F8E">
        <w:rPr>
          <w:rFonts w:ascii="Times New Roman" w:hAnsi="Times New Roman"/>
        </w:rPr>
        <w:t>The implementation of the matters in Articles 1 and 2 by Energy Markets Management Joint Stock Company,</w:t>
      </w:r>
    </w:p>
    <w:p w14:paraId="351E4011" w14:textId="77777777" w:rsidR="004C0A79" w:rsidRPr="00731F8E" w:rsidRDefault="004C0A79" w:rsidP="004C0A79">
      <w:pPr>
        <w:pStyle w:val="ListeParagraf"/>
        <w:tabs>
          <w:tab w:val="left" w:pos="1246"/>
          <w:tab w:val="left" w:pos="1248"/>
        </w:tabs>
        <w:spacing w:before="267"/>
        <w:ind w:left="1248" w:right="137"/>
        <w:rPr>
          <w:rFonts w:ascii="Times New Roman" w:hAnsi="Times New Roman"/>
        </w:rPr>
      </w:pPr>
    </w:p>
    <w:p w14:paraId="648C9DFF"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before="1" w:after="0"/>
        <w:ind w:left="836" w:right="131" w:hanging="361"/>
        <w:contextualSpacing w:val="0"/>
        <w:rPr>
          <w:rFonts w:ascii="Times New Roman" w:hAnsi="Times New Roman"/>
          <w:b/>
        </w:rPr>
      </w:pPr>
      <w:r w:rsidRPr="00731F8E">
        <w:rPr>
          <w:rFonts w:ascii="Times New Roman" w:hAnsi="Times New Roman"/>
        </w:rPr>
        <w:t xml:space="preserve">With the Board Decision dated 28.07.2022 and numbered 11083 published in the Official Gazette dated 29.07.2022 and numbered 31907, the fifth paragraph of the Provisional Article 1 of the </w:t>
      </w:r>
      <w:r w:rsidRPr="00731F8E">
        <w:rPr>
          <w:rFonts w:ascii="Times New Roman" w:hAnsi="Times New Roman"/>
          <w:b/>
        </w:rPr>
        <w:t>Procedures and Principles Concerning the Determination of Minimum and Maximum Price Limits in the Day Ahead Market and Balancing Power Market</w:t>
      </w:r>
      <w:r w:rsidRPr="00731F8E">
        <w:rPr>
          <w:rFonts w:ascii="Times New Roman" w:hAnsi="Times New Roman"/>
        </w:rPr>
        <w:t xml:space="preserve"> has been amended as follows.</w:t>
      </w:r>
    </w:p>
    <w:p w14:paraId="019626F8" w14:textId="77777777" w:rsidR="004C0A79" w:rsidRPr="00731F8E" w:rsidRDefault="004C0A79" w:rsidP="004C0A79">
      <w:pPr>
        <w:pStyle w:val="GvdeMetni"/>
        <w:spacing w:before="43"/>
        <w:rPr>
          <w:rFonts w:cs="Times New Roman"/>
          <w:i/>
          <w:szCs w:val="22"/>
        </w:rPr>
      </w:pPr>
    </w:p>
    <w:p w14:paraId="786197B6" w14:textId="77777777" w:rsidR="004C0A79" w:rsidRPr="00731F8E" w:rsidRDefault="004C0A79" w:rsidP="004C0A79">
      <w:pPr>
        <w:pStyle w:val="GvdeMetni"/>
        <w:spacing w:line="259" w:lineRule="auto"/>
        <w:ind w:left="1556" w:right="132"/>
        <w:rPr>
          <w:rFonts w:cs="Times New Roman"/>
          <w:szCs w:val="22"/>
        </w:rPr>
      </w:pPr>
      <w:r w:rsidRPr="00731F8E">
        <w:rPr>
          <w:rFonts w:cs="Times New Roman"/>
          <w:szCs w:val="22"/>
        </w:rPr>
        <w:t>"(5) From the date of entry into force of this paragraph until a new decision is taken by the Board; In the relevant markets, the minimum price limits are applied as 0 TL/MWh and the maximum price limits are applied as 3750 TL/MWh. During this application, the provisions of the second paragraph of Article 4 of these Procedures and Principles shall not apply."</w:t>
      </w:r>
    </w:p>
    <w:p w14:paraId="530613FC" w14:textId="77777777" w:rsidR="004C0A79" w:rsidRPr="00731F8E" w:rsidRDefault="004C0A79" w:rsidP="004C0A79">
      <w:pPr>
        <w:pStyle w:val="GvdeMetni"/>
        <w:spacing w:before="21"/>
        <w:rPr>
          <w:rFonts w:cs="Times New Roman"/>
          <w:szCs w:val="22"/>
        </w:rPr>
      </w:pPr>
    </w:p>
    <w:p w14:paraId="2B397B19"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before="1" w:after="0" w:line="256" w:lineRule="auto"/>
        <w:ind w:left="837" w:right="131" w:hanging="361"/>
        <w:contextualSpacing w:val="0"/>
        <w:rPr>
          <w:rFonts w:ascii="Times New Roman" w:hAnsi="Times New Roman"/>
        </w:rPr>
      </w:pPr>
      <w:r w:rsidRPr="00731F8E">
        <w:rPr>
          <w:rFonts w:ascii="Times New Roman" w:hAnsi="Times New Roman"/>
        </w:rPr>
        <w:t>In accordance with the Board Decision dated 04.08.2022 and numbered 11098 published in the Official Gazette dated 11.08.2022 and numbered 31920, the fourth paragraph of Article 14 of the Electricity Market Law No. 6446 and the sixteenth paragraph of Article 26 of the Unlicensed Electricity Generation Regulation in the Electricity Market, it has been decided;</w:t>
      </w:r>
    </w:p>
    <w:p w14:paraId="57342BAC" w14:textId="77777777" w:rsidR="004C0A79" w:rsidRPr="00731F8E" w:rsidRDefault="004C0A79" w:rsidP="00A86526">
      <w:pPr>
        <w:pStyle w:val="ListeParagraf"/>
        <w:widowControl w:val="0"/>
        <w:numPr>
          <w:ilvl w:val="0"/>
          <w:numId w:val="60"/>
        </w:numPr>
        <w:tabs>
          <w:tab w:val="left" w:pos="1247"/>
          <w:tab w:val="left" w:pos="1249"/>
        </w:tabs>
        <w:autoSpaceDE w:val="0"/>
        <w:autoSpaceDN w:val="0"/>
        <w:spacing w:before="167" w:after="0" w:line="240" w:lineRule="auto"/>
        <w:ind w:left="1249" w:right="134"/>
        <w:contextualSpacing w:val="0"/>
        <w:rPr>
          <w:rFonts w:ascii="Times New Roman" w:hAnsi="Times New Roman"/>
        </w:rPr>
      </w:pPr>
      <w:r w:rsidRPr="00731F8E">
        <w:rPr>
          <w:rFonts w:ascii="Times New Roman" w:hAnsi="Times New Roman"/>
        </w:rPr>
        <w:t>As a result of the applications made after 12/05/2019, the amount of consumption to be used in the calculation of the amount of electrical energy above the amount of electricity that can be produced and sold in unlicensed generation facilities that are entitled to receive a call letter to the connection agreement shall be taken as the total unsettled electrical energy consumption that the relevant consumption facility withdrew from the network in the previous calendar year,</w:t>
      </w:r>
    </w:p>
    <w:p w14:paraId="077C4B2A" w14:textId="77777777" w:rsidR="004C0A79" w:rsidRPr="00731F8E" w:rsidRDefault="004C0A79" w:rsidP="00A86526">
      <w:pPr>
        <w:pStyle w:val="ListeParagraf"/>
        <w:widowControl w:val="0"/>
        <w:numPr>
          <w:ilvl w:val="0"/>
          <w:numId w:val="60"/>
        </w:numPr>
        <w:tabs>
          <w:tab w:val="left" w:pos="1247"/>
          <w:tab w:val="left" w:pos="1249"/>
        </w:tabs>
        <w:autoSpaceDE w:val="0"/>
        <w:autoSpaceDN w:val="0"/>
        <w:spacing w:before="268" w:after="0" w:line="240" w:lineRule="auto"/>
        <w:ind w:left="1249" w:right="132"/>
        <w:contextualSpacing w:val="0"/>
        <w:rPr>
          <w:rFonts w:ascii="Times New Roman" w:hAnsi="Times New Roman"/>
        </w:rPr>
      </w:pPr>
      <w:r w:rsidRPr="00731F8E">
        <w:rPr>
          <w:rFonts w:ascii="Times New Roman" w:hAnsi="Times New Roman"/>
        </w:rPr>
        <w:t>If there is no consumption in the consumption facilities within the scope of Article 1 to cover the previous calendar year, the consumption amount shall be calculated on an annual basis by taking the average of the current monthly consumption,</w:t>
      </w:r>
    </w:p>
    <w:p w14:paraId="465C5064" w14:textId="77777777" w:rsidR="004C0A79" w:rsidRPr="00731F8E" w:rsidRDefault="004C0A79" w:rsidP="004C0A79">
      <w:pPr>
        <w:pStyle w:val="GvdeMetni"/>
        <w:rPr>
          <w:rFonts w:cs="Times New Roman"/>
          <w:i/>
          <w:szCs w:val="22"/>
        </w:rPr>
      </w:pPr>
    </w:p>
    <w:p w14:paraId="5E84E6C4" w14:textId="77777777" w:rsidR="004C0A79" w:rsidRPr="00731F8E" w:rsidRDefault="004C0A79" w:rsidP="00A86526">
      <w:pPr>
        <w:pStyle w:val="ListeParagraf"/>
        <w:widowControl w:val="0"/>
        <w:numPr>
          <w:ilvl w:val="0"/>
          <w:numId w:val="60"/>
        </w:numPr>
        <w:tabs>
          <w:tab w:val="left" w:pos="1247"/>
          <w:tab w:val="left" w:pos="1249"/>
        </w:tabs>
        <w:autoSpaceDE w:val="0"/>
        <w:autoSpaceDN w:val="0"/>
        <w:spacing w:after="0" w:line="240" w:lineRule="auto"/>
        <w:ind w:left="1249" w:right="131"/>
        <w:contextualSpacing w:val="0"/>
        <w:rPr>
          <w:rFonts w:ascii="Times New Roman" w:hAnsi="Times New Roman"/>
        </w:rPr>
        <w:sectPr w:rsidR="004C0A79" w:rsidRPr="00731F8E">
          <w:pgSz w:w="11910" w:h="16840"/>
          <w:pgMar w:top="1360" w:right="1280" w:bottom="280" w:left="1300" w:header="720" w:footer="720" w:gutter="0"/>
          <w:cols w:space="720"/>
        </w:sectPr>
      </w:pPr>
      <w:r w:rsidRPr="00731F8E">
        <w:rPr>
          <w:rFonts w:ascii="Times New Roman" w:hAnsi="Times New Roman"/>
        </w:rPr>
        <w:t>3) If the total unequivocal electrical energy consumption drawn from the network by the relevant consumption facility in the current year exceeds the total electrical energy consumption determined in accordance with Article 1 or Article 2, the excess energy that can be subject to sale will be calculated by taking into account the current year's data,</w:t>
      </w:r>
    </w:p>
    <w:p w14:paraId="2B95D043" w14:textId="77777777" w:rsidR="004C0A79" w:rsidRPr="00731F8E" w:rsidRDefault="004C0A79" w:rsidP="004C0A79">
      <w:pPr>
        <w:spacing w:before="37"/>
        <w:rPr>
          <w:rFonts w:ascii="Times New Roman" w:hAnsi="Times New Roman"/>
        </w:rPr>
      </w:pPr>
    </w:p>
    <w:p w14:paraId="2D6352C3" w14:textId="77777777" w:rsidR="004C0A79" w:rsidRPr="00731F8E" w:rsidRDefault="004C0A79" w:rsidP="004C0A79">
      <w:pPr>
        <w:pStyle w:val="GvdeMetni"/>
        <w:rPr>
          <w:rFonts w:cs="Times New Roman"/>
          <w:i/>
          <w:szCs w:val="22"/>
        </w:rPr>
      </w:pPr>
    </w:p>
    <w:p w14:paraId="566AD410" w14:textId="77777777" w:rsidR="004C0A79" w:rsidRPr="00731F8E" w:rsidRDefault="004C0A79" w:rsidP="00A86526">
      <w:pPr>
        <w:pStyle w:val="ListeParagraf"/>
        <w:widowControl w:val="0"/>
        <w:numPr>
          <w:ilvl w:val="0"/>
          <w:numId w:val="60"/>
        </w:numPr>
        <w:tabs>
          <w:tab w:val="left" w:pos="1246"/>
          <w:tab w:val="left" w:pos="1248"/>
        </w:tabs>
        <w:autoSpaceDE w:val="0"/>
        <w:autoSpaceDN w:val="0"/>
        <w:spacing w:after="0" w:line="240" w:lineRule="auto"/>
        <w:ind w:left="1248" w:right="136"/>
        <w:contextualSpacing w:val="0"/>
        <w:rPr>
          <w:rFonts w:ascii="Times New Roman" w:hAnsi="Times New Roman"/>
        </w:rPr>
      </w:pPr>
      <w:r w:rsidRPr="00731F8E">
        <w:rPr>
          <w:rFonts w:ascii="Times New Roman" w:hAnsi="Times New Roman"/>
        </w:rPr>
        <w:t>The raw consumption amount not set off in the facilities where the generation and consumption facility are located at the same measurement point shall be determined by taking into account the one-way generation counter data to be established,</w:t>
      </w:r>
    </w:p>
    <w:p w14:paraId="5B563FC1" w14:textId="77777777" w:rsidR="004C0A79" w:rsidRPr="00731F8E" w:rsidRDefault="004C0A79" w:rsidP="004C0A79">
      <w:pPr>
        <w:pStyle w:val="GvdeMetni"/>
        <w:rPr>
          <w:rFonts w:cs="Times New Roman"/>
          <w:i/>
          <w:szCs w:val="22"/>
        </w:rPr>
      </w:pPr>
    </w:p>
    <w:p w14:paraId="16D8B611" w14:textId="77777777" w:rsidR="004C0A79" w:rsidRPr="00731F8E" w:rsidRDefault="004C0A79" w:rsidP="00A86526">
      <w:pPr>
        <w:pStyle w:val="ListeParagraf"/>
        <w:widowControl w:val="0"/>
        <w:numPr>
          <w:ilvl w:val="0"/>
          <w:numId w:val="60"/>
        </w:numPr>
        <w:tabs>
          <w:tab w:val="left" w:pos="1246"/>
          <w:tab w:val="left" w:pos="1248"/>
        </w:tabs>
        <w:autoSpaceDE w:val="0"/>
        <w:autoSpaceDN w:val="0"/>
        <w:spacing w:after="0" w:line="240" w:lineRule="auto"/>
        <w:ind w:left="1248" w:right="133"/>
        <w:contextualSpacing w:val="0"/>
        <w:rPr>
          <w:rFonts w:ascii="Times New Roman" w:hAnsi="Times New Roman"/>
        </w:rPr>
      </w:pPr>
      <w:r w:rsidRPr="00731F8E">
        <w:rPr>
          <w:rFonts w:ascii="Times New Roman" w:hAnsi="Times New Roman"/>
        </w:rPr>
        <w:t>The surplus energy that may be subject to sale determined on the basis of the consumption amount calculated in accordance with this Board Decision shall be generated on the grid and the energy given to the grid shall be considered as produced by the assigned supply company and given to the system, and no payment shall be made by the market operator and the assigned supply company in relation to this energy and the energy given to the system in this context shall be taken into account as a free contribution to YEKDEM,</w:t>
      </w:r>
    </w:p>
    <w:p w14:paraId="12CD73AF" w14:textId="77777777" w:rsidR="004C0A79" w:rsidRPr="00731F8E" w:rsidRDefault="004C0A79" w:rsidP="00A86526">
      <w:pPr>
        <w:pStyle w:val="ListeParagraf"/>
        <w:widowControl w:val="0"/>
        <w:numPr>
          <w:ilvl w:val="0"/>
          <w:numId w:val="60"/>
        </w:numPr>
        <w:tabs>
          <w:tab w:val="left" w:pos="1246"/>
          <w:tab w:val="left" w:pos="1248"/>
        </w:tabs>
        <w:autoSpaceDE w:val="0"/>
        <w:autoSpaceDN w:val="0"/>
        <w:spacing w:before="267" w:after="0" w:line="240" w:lineRule="auto"/>
        <w:ind w:left="1248" w:right="133"/>
        <w:contextualSpacing w:val="0"/>
        <w:rPr>
          <w:rFonts w:ascii="Times New Roman" w:hAnsi="Times New Roman"/>
        </w:rPr>
      </w:pPr>
      <w:r w:rsidRPr="00731F8E">
        <w:rPr>
          <w:rFonts w:ascii="Times New Roman" w:hAnsi="Times New Roman"/>
        </w:rPr>
        <w:t>In accordance with Article 5, the system usage fee to be incurred for the amount of energy considered as a free contribution to YEKDEM shall be notified to EPİAŞ by the relevant network operators and paid to the relevant network operator through the assigned supply company and no invoice shall be notified to the unlicensed generation facility owners for the energy considered as a free contribution to YEKDEM,</w:t>
      </w:r>
    </w:p>
    <w:p w14:paraId="6EDBBB51" w14:textId="77777777" w:rsidR="004C0A79" w:rsidRPr="00731F8E" w:rsidRDefault="004C0A79" w:rsidP="00A86526">
      <w:pPr>
        <w:pStyle w:val="ListeParagraf"/>
        <w:widowControl w:val="0"/>
        <w:numPr>
          <w:ilvl w:val="0"/>
          <w:numId w:val="60"/>
        </w:numPr>
        <w:tabs>
          <w:tab w:val="left" w:pos="1246"/>
          <w:tab w:val="left" w:pos="1248"/>
        </w:tabs>
        <w:autoSpaceDE w:val="0"/>
        <w:autoSpaceDN w:val="0"/>
        <w:spacing w:before="267" w:after="0" w:line="240" w:lineRule="auto"/>
        <w:ind w:left="1248" w:right="136"/>
        <w:contextualSpacing w:val="0"/>
        <w:rPr>
          <w:rFonts w:ascii="Times New Roman" w:hAnsi="Times New Roman"/>
        </w:rPr>
      </w:pPr>
      <w:r w:rsidRPr="00731F8E">
        <w:rPr>
          <w:rFonts w:ascii="Times New Roman" w:hAnsi="Times New Roman"/>
        </w:rPr>
        <w:t>Not to apply this Board Decision to the generation facilities associated with the residential subscriber group with an installed power of 50 kW and below,</w:t>
      </w:r>
    </w:p>
    <w:p w14:paraId="7EADFBD9" w14:textId="77777777" w:rsidR="004C0A79" w:rsidRPr="00731F8E" w:rsidRDefault="004C0A79" w:rsidP="004C0A79">
      <w:pPr>
        <w:spacing w:before="1"/>
        <w:ind w:left="682"/>
        <w:rPr>
          <w:rFonts w:ascii="Times New Roman" w:hAnsi="Times New Roman"/>
        </w:rPr>
      </w:pPr>
    </w:p>
    <w:p w14:paraId="73A3A38C" w14:textId="77777777" w:rsidR="004C0A79" w:rsidRPr="00731F8E" w:rsidRDefault="004C0A79" w:rsidP="004C0A79">
      <w:pPr>
        <w:pStyle w:val="GvdeMetni"/>
        <w:spacing w:before="41"/>
        <w:rPr>
          <w:rFonts w:cs="Times New Roman"/>
          <w:i/>
          <w:szCs w:val="22"/>
        </w:rPr>
      </w:pPr>
    </w:p>
    <w:p w14:paraId="67C62B77"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ind w:left="837" w:right="131" w:hanging="361"/>
        <w:contextualSpacing w:val="0"/>
        <w:rPr>
          <w:rFonts w:ascii="Times New Roman" w:hAnsi="Times New Roman"/>
          <w:b/>
        </w:rPr>
      </w:pPr>
      <w:r w:rsidRPr="00731F8E">
        <w:rPr>
          <w:rFonts w:ascii="Times New Roman" w:hAnsi="Times New Roman"/>
        </w:rPr>
        <w:t xml:space="preserve">With the Board Decision dated 31.08.2022 and numbered 11156 published in the Official Gazette dated 01.09.2022 and numbered 31940, the fifth paragraph of the Provisional Article 1 of the </w:t>
      </w:r>
      <w:r w:rsidRPr="00731F8E">
        <w:rPr>
          <w:rFonts w:ascii="Times New Roman" w:hAnsi="Times New Roman"/>
          <w:b/>
        </w:rPr>
        <w:t>Procedures and Principles Concerning the Determination of Minimum and Maximum Price Limits in the Day Ahead Market and Balancing Power Market</w:t>
      </w:r>
      <w:r w:rsidRPr="00731F8E">
        <w:rPr>
          <w:rFonts w:ascii="Times New Roman" w:hAnsi="Times New Roman"/>
        </w:rPr>
        <w:t xml:space="preserve"> has been amended as follows.</w:t>
      </w:r>
    </w:p>
    <w:p w14:paraId="387E6CF1" w14:textId="77777777" w:rsidR="004C0A79" w:rsidRPr="00731F8E" w:rsidRDefault="004C0A79" w:rsidP="004C0A79">
      <w:pPr>
        <w:tabs>
          <w:tab w:val="left" w:pos="1556"/>
        </w:tabs>
        <w:spacing w:before="1"/>
        <w:rPr>
          <w:rFonts w:ascii="Times New Roman" w:hAnsi="Times New Roman"/>
        </w:rPr>
      </w:pPr>
    </w:p>
    <w:p w14:paraId="652624ED" w14:textId="77777777" w:rsidR="004C0A79" w:rsidRPr="00731F8E" w:rsidRDefault="004C0A79" w:rsidP="004C0A79">
      <w:pPr>
        <w:pStyle w:val="GvdeMetni"/>
        <w:spacing w:before="43"/>
        <w:rPr>
          <w:rFonts w:cs="Times New Roman"/>
          <w:i/>
          <w:szCs w:val="22"/>
        </w:rPr>
      </w:pPr>
    </w:p>
    <w:p w14:paraId="03638DF7" w14:textId="77777777" w:rsidR="004C0A79" w:rsidRPr="00731F8E" w:rsidRDefault="004C0A79" w:rsidP="004C0A79">
      <w:pPr>
        <w:pStyle w:val="GvdeMetni"/>
        <w:spacing w:line="259" w:lineRule="auto"/>
        <w:ind w:left="1556" w:right="133"/>
        <w:rPr>
          <w:rFonts w:cs="Times New Roman"/>
          <w:szCs w:val="22"/>
        </w:rPr>
      </w:pPr>
      <w:r w:rsidRPr="00731F8E">
        <w:rPr>
          <w:rFonts w:cs="Times New Roman"/>
          <w:szCs w:val="22"/>
        </w:rPr>
        <w:t>"(5) From the date of entry into force of this paragraph until a new decision is taken by the Board; In the relevant markets, the minimum price limits are applied as 0 TL/MWh and the maximum price limits are applied as 4800 TL/MWh. During this application, the provisions of the second paragraph of Article 4 of these Procedures and Principles shall not apply."</w:t>
      </w:r>
    </w:p>
    <w:p w14:paraId="1D49E57E" w14:textId="77777777" w:rsidR="004C0A79" w:rsidRPr="00731F8E" w:rsidRDefault="004C0A79" w:rsidP="004C0A79">
      <w:pPr>
        <w:pStyle w:val="GvdeMetni"/>
        <w:spacing w:before="40"/>
        <w:rPr>
          <w:rFonts w:cs="Times New Roman"/>
          <w:szCs w:val="22"/>
        </w:rPr>
      </w:pPr>
    </w:p>
    <w:p w14:paraId="36F5E56C"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after="0" w:line="259" w:lineRule="auto"/>
        <w:ind w:left="837" w:right="130" w:hanging="361"/>
        <w:contextualSpacing w:val="0"/>
        <w:rPr>
          <w:rFonts w:ascii="Times New Roman" w:hAnsi="Times New Roman"/>
        </w:rPr>
      </w:pPr>
      <w:r w:rsidRPr="00731F8E">
        <w:rPr>
          <w:rFonts w:ascii="Times New Roman" w:hAnsi="Times New Roman"/>
        </w:rPr>
        <w:t>Within the scope of the eleventh paragraph of Article 132/D of the Electricity Market Balancing and Settlement Regulation (Regulation) with the Board Decision dated 31.08.2022 and numbered 11157 published in the Official Gazette dated 01.09.2022 and numbered 31940; it has been decided to establish a transaction within the framework of the eleventh paragraph of Article 132/D of the Regulation for the maximum amount of 50% (fifty percent) of the amounts included in the advance payment notifications of the assigned supply companies specified in the first paragraph of Article 132/Ç of the Regulation to be applied until 31/10/2022.</w:t>
      </w:r>
    </w:p>
    <w:p w14:paraId="126F2120" w14:textId="77777777" w:rsidR="004C0A79" w:rsidRPr="00731F8E" w:rsidRDefault="004C0A79" w:rsidP="004C0A79">
      <w:pPr>
        <w:pStyle w:val="GvdeMetni"/>
        <w:spacing w:before="20"/>
        <w:rPr>
          <w:rFonts w:cs="Times New Roman"/>
          <w:i/>
          <w:szCs w:val="22"/>
        </w:rPr>
      </w:pPr>
    </w:p>
    <w:p w14:paraId="4C5687A4" w14:textId="77777777" w:rsidR="004C0A79" w:rsidRPr="00731F8E" w:rsidRDefault="004C0A79" w:rsidP="00A86526">
      <w:pPr>
        <w:pStyle w:val="ListeParagraf"/>
        <w:widowControl w:val="0"/>
        <w:numPr>
          <w:ilvl w:val="3"/>
          <w:numId w:val="67"/>
        </w:numPr>
        <w:tabs>
          <w:tab w:val="left" w:pos="836"/>
          <w:tab w:val="left" w:pos="838"/>
        </w:tabs>
        <w:autoSpaceDE w:val="0"/>
        <w:autoSpaceDN w:val="0"/>
        <w:spacing w:after="0" w:line="259" w:lineRule="auto"/>
        <w:ind w:left="838" w:right="131" w:hanging="361"/>
        <w:contextualSpacing w:val="0"/>
        <w:rPr>
          <w:rFonts w:ascii="Times New Roman" w:hAnsi="Times New Roman"/>
        </w:rPr>
      </w:pPr>
      <w:r w:rsidRPr="00731F8E">
        <w:rPr>
          <w:rFonts w:ascii="Times New Roman" w:hAnsi="Times New Roman"/>
        </w:rPr>
        <w:t>With the Board Decision dated 29.09.2022 and numbered 11254 published in the Official Gazette dated 30.09.2022 and numbered 31969, within the scope of the first paragraph of Article 7 and the first paragraph of Article 14 of the Electricity Market Connection and System Use Regulation and the letter of the Ministry of Energy and Natural Resources dated 22/09/2022 and numbered 144181; it was decided to implement the Board Decision dated 12/05/2022 and numbered 10971 until 31/03/2023 within the framework of the principles specified in the said Board Decision.</w:t>
      </w:r>
    </w:p>
    <w:p w14:paraId="2E9E6F34" w14:textId="77777777" w:rsidR="004C0A79" w:rsidRPr="00731F8E" w:rsidRDefault="004C0A79" w:rsidP="004C0A79">
      <w:pPr>
        <w:spacing w:line="259" w:lineRule="auto"/>
        <w:rPr>
          <w:rFonts w:ascii="Times New Roman" w:hAnsi="Times New Roman"/>
        </w:rPr>
        <w:sectPr w:rsidR="004C0A79" w:rsidRPr="00731F8E">
          <w:pgSz w:w="11910" w:h="16840"/>
          <w:pgMar w:top="1360" w:right="1280" w:bottom="280" w:left="1300" w:header="720" w:footer="720" w:gutter="0"/>
          <w:cols w:space="720"/>
        </w:sectPr>
      </w:pPr>
    </w:p>
    <w:p w14:paraId="0F1CE274" w14:textId="77777777" w:rsidR="004C0A79" w:rsidRPr="00731F8E" w:rsidRDefault="004C0A79" w:rsidP="00A86526">
      <w:pPr>
        <w:pStyle w:val="ListeParagraf"/>
        <w:widowControl w:val="0"/>
        <w:numPr>
          <w:ilvl w:val="3"/>
          <w:numId w:val="67"/>
        </w:numPr>
        <w:tabs>
          <w:tab w:val="left" w:pos="835"/>
          <w:tab w:val="left" w:pos="837"/>
          <w:tab w:val="left" w:pos="1556"/>
        </w:tabs>
        <w:autoSpaceDE w:val="0"/>
        <w:autoSpaceDN w:val="0"/>
        <w:spacing w:before="87" w:after="0" w:line="273" w:lineRule="auto"/>
        <w:ind w:left="837" w:right="133" w:hanging="361"/>
        <w:contextualSpacing w:val="0"/>
        <w:rPr>
          <w:rFonts w:ascii="Times New Roman" w:hAnsi="Times New Roman"/>
        </w:rPr>
      </w:pPr>
      <w:r w:rsidRPr="00731F8E">
        <w:rPr>
          <w:rFonts w:ascii="Times New Roman" w:hAnsi="Times New Roman"/>
        </w:rPr>
        <w:lastRenderedPageBreak/>
        <w:t xml:space="preserve">With the Board Decision dated 29.09.2022 and numbered 11269 published in the Official Gazette dated 30.09.2022 and numbered 31969, the first paragraph of Article 7 of the </w:t>
      </w:r>
      <w:r w:rsidRPr="00731F8E">
        <w:rPr>
          <w:rFonts w:ascii="Times New Roman" w:hAnsi="Times New Roman"/>
          <w:b/>
        </w:rPr>
        <w:t>Procedures and Principles on the Determination and Implementation of the Support Fee on a Resource Basis</w:t>
      </w:r>
      <w:r w:rsidRPr="00731F8E">
        <w:rPr>
          <w:rFonts w:ascii="Times New Roman" w:hAnsi="Times New Roman"/>
        </w:rPr>
        <w:t xml:space="preserve"> has been amended as follows.</w:t>
      </w:r>
    </w:p>
    <w:p w14:paraId="62283755" w14:textId="77777777" w:rsidR="004C0A79" w:rsidRPr="00731F8E" w:rsidRDefault="004C0A79" w:rsidP="004C0A79">
      <w:pPr>
        <w:pStyle w:val="GvdeMetni"/>
        <w:spacing w:before="41"/>
        <w:rPr>
          <w:rFonts w:cs="Times New Roman"/>
          <w:i/>
          <w:szCs w:val="22"/>
        </w:rPr>
      </w:pPr>
    </w:p>
    <w:p w14:paraId="3BDFA4C0" w14:textId="77777777" w:rsidR="004C0A79" w:rsidRPr="00731F8E" w:rsidRDefault="004C0A79" w:rsidP="004C0A79">
      <w:pPr>
        <w:pStyle w:val="GvdeMetni"/>
        <w:spacing w:line="259" w:lineRule="auto"/>
        <w:ind w:left="1556" w:right="129"/>
        <w:rPr>
          <w:rFonts w:cs="Times New Roman"/>
          <w:szCs w:val="22"/>
        </w:rPr>
      </w:pPr>
      <w:r w:rsidRPr="00731F8E">
        <w:rPr>
          <w:rFonts w:cs="Times New Roman"/>
          <w:szCs w:val="22"/>
        </w:rPr>
        <w:t>"(1) In order to use the bilateral agreement amounts in the calculation of the support fee, the market participants shall forward to the market operator the notarized copies of the contracts regarding the bilateral agreements issued with a fixed price (up to the final consumer) and the invoice related to the contracts and, if there is more than one production facility, the statement showing the generation program on the basis of the generation facility."</w:t>
      </w:r>
    </w:p>
    <w:p w14:paraId="0DC030AC" w14:textId="77777777" w:rsidR="004C0A79" w:rsidRPr="00731F8E" w:rsidRDefault="004C0A79" w:rsidP="004C0A79">
      <w:pPr>
        <w:pStyle w:val="GvdeMetni"/>
        <w:spacing w:before="40"/>
        <w:rPr>
          <w:rFonts w:cs="Times New Roman"/>
          <w:szCs w:val="22"/>
        </w:rPr>
      </w:pPr>
    </w:p>
    <w:p w14:paraId="2117DE93" w14:textId="77777777" w:rsidR="004C0A79" w:rsidRPr="00731F8E" w:rsidRDefault="004C0A79" w:rsidP="00A86526">
      <w:pPr>
        <w:pStyle w:val="ListeParagraf"/>
        <w:widowControl w:val="0"/>
        <w:numPr>
          <w:ilvl w:val="4"/>
          <w:numId w:val="67"/>
        </w:numPr>
        <w:tabs>
          <w:tab w:val="left" w:pos="1556"/>
        </w:tabs>
        <w:autoSpaceDE w:val="0"/>
        <w:autoSpaceDN w:val="0"/>
        <w:spacing w:after="0" w:line="240" w:lineRule="auto"/>
        <w:contextualSpacing w:val="0"/>
        <w:jc w:val="left"/>
        <w:rPr>
          <w:rFonts w:ascii="Times New Roman" w:hAnsi="Times New Roman"/>
        </w:rPr>
      </w:pPr>
      <w:r w:rsidRPr="00731F8E">
        <w:rPr>
          <w:rFonts w:ascii="Times New Roman" w:hAnsi="Times New Roman"/>
        </w:rPr>
        <w:t>The second and third paragraphs of Article 8 have been amended as follows.</w:t>
      </w:r>
    </w:p>
    <w:p w14:paraId="2BC267B3" w14:textId="77777777" w:rsidR="004C0A79" w:rsidRPr="00731F8E" w:rsidRDefault="004C0A79" w:rsidP="004C0A79">
      <w:pPr>
        <w:pStyle w:val="GvdeMetni"/>
        <w:spacing w:before="41"/>
        <w:rPr>
          <w:rFonts w:cs="Times New Roman"/>
          <w:i/>
          <w:szCs w:val="22"/>
        </w:rPr>
      </w:pPr>
    </w:p>
    <w:p w14:paraId="5C10FDA4" w14:textId="77777777" w:rsidR="004C0A79" w:rsidRPr="00731F8E" w:rsidRDefault="004C0A79" w:rsidP="004C0A79">
      <w:pPr>
        <w:pStyle w:val="GvdeMetni"/>
        <w:spacing w:line="256" w:lineRule="auto"/>
        <w:ind w:left="1556" w:right="136"/>
        <w:rPr>
          <w:rFonts w:cs="Times New Roman"/>
          <w:szCs w:val="22"/>
        </w:rPr>
      </w:pPr>
      <w:r w:rsidRPr="00731F8E">
        <w:rPr>
          <w:rFonts w:cs="Times New Roman"/>
          <w:szCs w:val="22"/>
        </w:rPr>
        <w:t>“(2) The collateral amounts to be requested from market participants within the scope of the support fee are calculated according to the following formula:</w:t>
      </w:r>
    </w:p>
    <w:p w14:paraId="12DF5E96" w14:textId="77777777" w:rsidR="004C0A79" w:rsidRPr="00731F8E" w:rsidRDefault="004C0A79" w:rsidP="004C0A79">
      <w:pPr>
        <w:pStyle w:val="GvdeMetni"/>
        <w:spacing w:before="174"/>
        <w:rPr>
          <w:rFonts w:cs="Times New Roman"/>
          <w:szCs w:val="22"/>
        </w:rPr>
      </w:pPr>
      <w:r w:rsidRPr="00731F8E">
        <w:rPr>
          <w:rFonts w:cs="Times New Roman"/>
          <w:noProof/>
          <w:szCs w:val="22"/>
        </w:rPr>
        <w:drawing>
          <wp:anchor distT="0" distB="0" distL="0" distR="0" simplePos="0" relativeHeight="251664384" behindDoc="1" locked="0" layoutInCell="1" allowOverlap="1" wp14:anchorId="09271AB4" wp14:editId="3C381354">
            <wp:simplePos x="0" y="0"/>
            <wp:positionH relativeFrom="page">
              <wp:posOffset>1356996</wp:posOffset>
            </wp:positionH>
            <wp:positionV relativeFrom="paragraph">
              <wp:posOffset>281132</wp:posOffset>
            </wp:positionV>
            <wp:extent cx="4406109" cy="53340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0" cstate="print"/>
                    <a:stretch>
                      <a:fillRect/>
                    </a:stretch>
                  </pic:blipFill>
                  <pic:spPr>
                    <a:xfrm>
                      <a:off x="0" y="0"/>
                      <a:ext cx="4406109" cy="533400"/>
                    </a:xfrm>
                    <a:prstGeom prst="rect">
                      <a:avLst/>
                    </a:prstGeom>
                  </pic:spPr>
                </pic:pic>
              </a:graphicData>
            </a:graphic>
          </wp:anchor>
        </w:drawing>
      </w:r>
    </w:p>
    <w:p w14:paraId="1E3C6A73" w14:textId="77777777" w:rsidR="004C0A79" w:rsidRPr="00731F8E" w:rsidRDefault="004C0A79" w:rsidP="004C0A79">
      <w:pPr>
        <w:spacing w:before="267"/>
        <w:ind w:left="1016"/>
        <w:rPr>
          <w:rFonts w:ascii="Times New Roman" w:hAnsi="Times New Roman"/>
        </w:rPr>
      </w:pPr>
      <w:r w:rsidRPr="00731F8E">
        <w:rPr>
          <w:rFonts w:ascii="Times New Roman" w:hAnsi="Times New Roman"/>
        </w:rPr>
        <w:t>(3) In the formula in the second paragraph, the following means as follows:</w:t>
      </w:r>
    </w:p>
    <w:p w14:paraId="0ECC7BF9" w14:textId="77777777" w:rsidR="004C0A79" w:rsidRPr="00731F8E" w:rsidRDefault="004C0A79" w:rsidP="004C0A79">
      <w:pPr>
        <w:tabs>
          <w:tab w:val="left" w:pos="2287"/>
        </w:tabs>
        <w:spacing w:before="268"/>
        <w:ind w:left="2276" w:right="131" w:hanging="1261"/>
        <w:rPr>
          <w:rFonts w:ascii="Times New Roman" w:hAnsi="Times New Roman"/>
        </w:rPr>
      </w:pPr>
      <w:r w:rsidRPr="00731F8E">
        <w:rPr>
          <w:rFonts w:ascii="Times New Roman" w:hAnsi="Times New Roman"/>
          <w:position w:val="2"/>
        </w:rPr>
        <w:t>DBTp</w:t>
      </w:r>
      <w:r w:rsidRPr="00731F8E">
        <w:rPr>
          <w:rFonts w:ascii="Times New Roman" w:hAnsi="Times New Roman"/>
        </w:rPr>
        <w:t>,a</w:t>
      </w:r>
      <w:r w:rsidRPr="00731F8E">
        <w:rPr>
          <w:rFonts w:ascii="Times New Roman" w:hAnsi="Times New Roman"/>
          <w:position w:val="2"/>
        </w:rPr>
        <w:t>:</w:t>
      </w:r>
      <w:r w:rsidRPr="00731F8E">
        <w:rPr>
          <w:rFonts w:ascii="Times New Roman" w:hAnsi="Times New Roman"/>
          <w:position w:val="2"/>
        </w:rPr>
        <w:tab/>
      </w:r>
      <w:r w:rsidRPr="00731F8E">
        <w:rPr>
          <w:rFonts w:ascii="Times New Roman" w:hAnsi="Times New Roman"/>
          <w:position w:val="2"/>
        </w:rPr>
        <w:tab/>
        <w:t xml:space="preserve">With the support that the "p" market participant is obliged to submit regarding the support fee debt amount for the "a" billing period </w:t>
      </w:r>
      <w:r w:rsidRPr="00731F8E">
        <w:rPr>
          <w:rFonts w:ascii="Times New Roman" w:hAnsi="Times New Roman"/>
        </w:rPr>
        <w:t>,</w:t>
      </w:r>
    </w:p>
    <w:p w14:paraId="55BCA9CA" w14:textId="77777777" w:rsidR="004C0A79" w:rsidRPr="00731F8E" w:rsidRDefault="004C0A79" w:rsidP="004C0A79">
      <w:pPr>
        <w:tabs>
          <w:tab w:val="left" w:pos="2287"/>
        </w:tabs>
        <w:spacing w:before="1"/>
        <w:ind w:left="2276" w:right="131" w:hanging="1261"/>
        <w:rPr>
          <w:rFonts w:ascii="Times New Roman" w:hAnsi="Times New Roman"/>
        </w:rPr>
      </w:pPr>
      <w:r w:rsidRPr="00731F8E">
        <w:rPr>
          <w:rFonts w:ascii="Times New Roman" w:hAnsi="Times New Roman"/>
        </w:rPr>
        <w:t>TÜMp, b, t,i</w:t>
      </w:r>
      <w:r w:rsidRPr="00731F8E">
        <w:rPr>
          <w:rFonts w:ascii="Times New Roman" w:hAnsi="Times New Roman"/>
          <w:position w:val="2"/>
        </w:rPr>
        <w:t>:</w:t>
      </w:r>
      <w:r w:rsidRPr="00731F8E">
        <w:rPr>
          <w:rFonts w:ascii="Times New Roman" w:hAnsi="Times New Roman"/>
          <w:position w:val="2"/>
        </w:rPr>
        <w:tab/>
      </w:r>
      <w:r w:rsidRPr="00731F8E">
        <w:rPr>
          <w:rFonts w:ascii="Times New Roman" w:hAnsi="Times New Roman"/>
          <w:position w:val="2"/>
        </w:rPr>
        <w:tab/>
        <w:t>The amount of generation subject to collateral in the TEİAŞ Load Distribution Information System (YTBS) of the settlement unit "b" of the market participant "p", the bid zone "t</w:t>
      </w:r>
      <w:r w:rsidRPr="00731F8E">
        <w:rPr>
          <w:rFonts w:ascii="Times New Roman" w:hAnsi="Times New Roman"/>
        </w:rPr>
        <w:t>", the amount of generation subject to collateral in the TEİAŞ Load Distribution Information System (YTBS) of the settlement period "i", 85% of the energy that the relevant unit can produce with its installed power in the enterprise if the generation data cannot be obtained from YTBS,</w:t>
      </w:r>
    </w:p>
    <w:p w14:paraId="41CA9C46" w14:textId="77777777" w:rsidR="004C0A79" w:rsidRPr="00731F8E" w:rsidRDefault="004C0A79" w:rsidP="004C0A79">
      <w:pPr>
        <w:tabs>
          <w:tab w:val="left" w:pos="2287"/>
        </w:tabs>
        <w:ind w:left="2276" w:right="135" w:hanging="1261"/>
        <w:rPr>
          <w:rFonts w:ascii="Times New Roman" w:hAnsi="Times New Roman"/>
        </w:rPr>
      </w:pPr>
      <w:r w:rsidRPr="00731F8E">
        <w:rPr>
          <w:rFonts w:ascii="Times New Roman" w:hAnsi="Times New Roman"/>
          <w:position w:val="2"/>
        </w:rPr>
        <w:t>BFT</w:t>
      </w:r>
      <w:r w:rsidRPr="00731F8E">
        <w:rPr>
          <w:rFonts w:ascii="Times New Roman" w:hAnsi="Times New Roman"/>
        </w:rPr>
        <w:t>,i</w:t>
      </w:r>
      <w:r w:rsidRPr="00731F8E">
        <w:rPr>
          <w:rFonts w:ascii="Times New Roman" w:hAnsi="Times New Roman"/>
          <w:position w:val="2"/>
        </w:rPr>
        <w:t>:</w:t>
      </w:r>
      <w:r w:rsidRPr="00731F8E">
        <w:rPr>
          <w:rFonts w:ascii="Times New Roman" w:hAnsi="Times New Roman"/>
          <w:position w:val="2"/>
        </w:rPr>
        <w:tab/>
      </w:r>
      <w:r w:rsidRPr="00731F8E">
        <w:rPr>
          <w:rFonts w:ascii="Times New Roman" w:hAnsi="Times New Roman"/>
          <w:position w:val="2"/>
        </w:rPr>
        <w:tab/>
        <w:t xml:space="preserve">The market clearing price for the settlement period "i" in the bid zone "t" or the price determined as the fixed price in the contracts for the generation quantities within the scope of Article 7 </w:t>
      </w:r>
      <w:r w:rsidRPr="00731F8E">
        <w:rPr>
          <w:rFonts w:ascii="Times New Roman" w:hAnsi="Times New Roman"/>
        </w:rPr>
        <w:t>,</w:t>
      </w:r>
    </w:p>
    <w:p w14:paraId="14DA06DE" w14:textId="77777777" w:rsidR="004C0A79" w:rsidRPr="00731F8E" w:rsidRDefault="004C0A79" w:rsidP="004C0A79">
      <w:pPr>
        <w:tabs>
          <w:tab w:val="left" w:pos="2275"/>
        </w:tabs>
        <w:ind w:left="2275" w:right="132" w:hanging="1260"/>
        <w:rPr>
          <w:rFonts w:ascii="Times New Roman" w:hAnsi="Times New Roman"/>
        </w:rPr>
      </w:pPr>
      <w:r w:rsidRPr="00731F8E">
        <w:rPr>
          <w:rFonts w:ascii="Times New Roman" w:hAnsi="Times New Roman"/>
          <w:position w:val="2"/>
        </w:rPr>
        <w:t>AUFk</w:t>
      </w:r>
      <w:r w:rsidRPr="00731F8E">
        <w:rPr>
          <w:rFonts w:ascii="Times New Roman" w:hAnsi="Times New Roman"/>
        </w:rPr>
        <w:tab/>
      </w:r>
      <w:r w:rsidRPr="00731F8E">
        <w:rPr>
          <w:rFonts w:ascii="Times New Roman" w:hAnsi="Times New Roman"/>
          <w:position w:val="2"/>
        </w:rPr>
        <w:t>:</w:t>
      </w:r>
      <w:r w:rsidRPr="00731F8E">
        <w:rPr>
          <w:rFonts w:ascii="Times New Roman" w:hAnsi="Times New Roman"/>
          <w:position w:val="2"/>
        </w:rPr>
        <w:tab/>
        <w:t xml:space="preserve">The maximum settlement price determined by the Board for the "k" resource type of the generation facilities and </w:t>
      </w:r>
      <w:r w:rsidRPr="00731F8E">
        <w:rPr>
          <w:rFonts w:ascii="Times New Roman" w:hAnsi="Times New Roman"/>
        </w:rPr>
        <w:t>updated over the final values obtained as of the current day,</w:t>
      </w:r>
    </w:p>
    <w:p w14:paraId="0B463989" w14:textId="77777777" w:rsidR="004C0A79" w:rsidRPr="00731F8E" w:rsidRDefault="004C0A79" w:rsidP="004C0A79">
      <w:pPr>
        <w:tabs>
          <w:tab w:val="left" w:pos="2275"/>
        </w:tabs>
        <w:spacing w:before="1" w:line="268" w:lineRule="exact"/>
        <w:ind w:left="1015"/>
        <w:rPr>
          <w:rFonts w:ascii="Times New Roman" w:hAnsi="Times New Roman"/>
        </w:rPr>
      </w:pPr>
      <w:r w:rsidRPr="00731F8E">
        <w:rPr>
          <w:rFonts w:ascii="Times New Roman" w:hAnsi="Times New Roman"/>
        </w:rPr>
        <w:t>n:</w:t>
      </w:r>
      <w:r w:rsidRPr="00731F8E">
        <w:rPr>
          <w:rFonts w:ascii="Times New Roman" w:hAnsi="Times New Roman"/>
        </w:rPr>
        <w:tab/>
        <w:t>the number of settlement periods for the relevant billing period,</w:t>
      </w:r>
    </w:p>
    <w:p w14:paraId="2019E9CE" w14:textId="77777777" w:rsidR="004C0A79" w:rsidRPr="00731F8E" w:rsidRDefault="004C0A79" w:rsidP="004C0A79">
      <w:pPr>
        <w:tabs>
          <w:tab w:val="left" w:pos="2275"/>
        </w:tabs>
        <w:ind w:left="1016" w:right="673"/>
        <w:rPr>
          <w:rFonts w:ascii="Times New Roman" w:hAnsi="Times New Roman"/>
        </w:rPr>
      </w:pPr>
      <w:r w:rsidRPr="00731F8E">
        <w:rPr>
          <w:rFonts w:ascii="Times New Roman" w:hAnsi="Times New Roman"/>
        </w:rPr>
        <w:t>m:</w:t>
      </w:r>
      <w:r w:rsidRPr="00731F8E">
        <w:rPr>
          <w:rFonts w:ascii="Times New Roman" w:hAnsi="Times New Roman"/>
        </w:rPr>
        <w:tab/>
        <w:t>the number of settlement aggregation units of "p" market participant, l:</w:t>
      </w:r>
      <w:r w:rsidRPr="00731F8E">
        <w:rPr>
          <w:rFonts w:ascii="Times New Roman" w:hAnsi="Times New Roman"/>
        </w:rPr>
        <w:tab/>
        <w:t>the number of bid zones</w:t>
      </w:r>
    </w:p>
    <w:p w14:paraId="1D2B3DAF" w14:textId="77777777" w:rsidR="004C0A79" w:rsidRPr="00731F8E" w:rsidRDefault="004C0A79" w:rsidP="004C0A79">
      <w:pPr>
        <w:ind w:left="835"/>
        <w:rPr>
          <w:rFonts w:ascii="Times New Roman" w:hAnsi="Times New Roman"/>
        </w:rPr>
      </w:pPr>
    </w:p>
    <w:p w14:paraId="1EEA1EBE" w14:textId="77777777" w:rsidR="004C0A79" w:rsidRPr="00731F8E" w:rsidRDefault="004C0A79" w:rsidP="004C0A79">
      <w:pPr>
        <w:pStyle w:val="GvdeMetni"/>
        <w:spacing w:before="81"/>
        <w:rPr>
          <w:rFonts w:cs="Times New Roman"/>
          <w:i/>
          <w:szCs w:val="22"/>
        </w:rPr>
      </w:pPr>
    </w:p>
    <w:p w14:paraId="16AA3365"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2" w:hanging="361"/>
        <w:contextualSpacing w:val="0"/>
        <w:rPr>
          <w:rFonts w:ascii="Times New Roman" w:hAnsi="Times New Roman"/>
        </w:rPr>
        <w:sectPr w:rsidR="004C0A79" w:rsidRPr="00731F8E">
          <w:pgSz w:w="11910" w:h="16840"/>
          <w:pgMar w:top="1600" w:right="1280" w:bottom="280" w:left="1300" w:header="720" w:footer="720" w:gutter="0"/>
          <w:cols w:space="720"/>
        </w:sectPr>
      </w:pPr>
      <w:r w:rsidRPr="00731F8E">
        <w:rPr>
          <w:rFonts w:ascii="Times New Roman" w:hAnsi="Times New Roman"/>
        </w:rPr>
        <w:t xml:space="preserve">By the Board Decision dated 29.09.2022 and numbered 11274 published in the Official Gazette dated 30.09.2022 and numbered 31969; It has been decided that the formulas for updating the maximum settlement price calculated within the scope of the eleventh paragraph of Article 17 </w:t>
      </w:r>
      <w:r w:rsidRPr="00731F8E">
        <w:rPr>
          <w:rFonts w:ascii="Times New Roman" w:hAnsi="Times New Roman"/>
        </w:rPr>
        <w:lastRenderedPageBreak/>
        <w:t xml:space="preserve">of the Electricity Market Law No. 6446 and the fourth paragraph of Article 4 of the Procedures and Principles for Determining and Implementing the Support Fee on a Resource Basis will be implemented as stated in the decision as of 01/10/2022. </w:t>
      </w:r>
    </w:p>
    <w:p w14:paraId="1A827167" w14:textId="77777777" w:rsidR="004C0A79" w:rsidRPr="00731F8E" w:rsidRDefault="004C0A79" w:rsidP="004C0A79">
      <w:pPr>
        <w:spacing w:before="37" w:line="259" w:lineRule="auto"/>
        <w:rPr>
          <w:rFonts w:ascii="Times New Roman" w:hAnsi="Times New Roman"/>
        </w:rPr>
      </w:pPr>
    </w:p>
    <w:p w14:paraId="19452961" w14:textId="77777777" w:rsidR="004C0A79" w:rsidRPr="00731F8E" w:rsidRDefault="004C0A79" w:rsidP="004C0A79">
      <w:pPr>
        <w:pStyle w:val="GvdeMetni"/>
        <w:spacing w:before="42"/>
        <w:rPr>
          <w:rFonts w:cs="Times New Roman"/>
          <w:i/>
          <w:szCs w:val="22"/>
        </w:rPr>
      </w:pPr>
    </w:p>
    <w:p w14:paraId="0D51211E"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9" w:lineRule="auto"/>
        <w:ind w:left="836" w:right="132" w:hanging="361"/>
        <w:contextualSpacing w:val="0"/>
        <w:rPr>
          <w:rFonts w:ascii="Times New Roman" w:hAnsi="Times New Roman"/>
        </w:rPr>
      </w:pPr>
      <w:r w:rsidRPr="00731F8E">
        <w:rPr>
          <w:rFonts w:ascii="Times New Roman" w:hAnsi="Times New Roman"/>
        </w:rPr>
        <w:t>Within the scope of the eleventh paragraph of Article 17 of the Electricity Market Law No. 6446 with the Board Decision dated 29.09.2022 and numbered 11270 published in the Official Gazette dated 30.09.2022 and numbered 31969 and the first and second paragraphs of Article 4 of the Procedures and Principles Regarding the Determination and Implementation of the Source-Based Support Fee published in the Official Gazette dated 18/3/2022 and numbered 31782 it has been decided;</w:t>
      </w:r>
    </w:p>
    <w:p w14:paraId="7C703C2F" w14:textId="77777777" w:rsidR="004C0A79" w:rsidRPr="00731F8E" w:rsidRDefault="004C0A79" w:rsidP="00A86526">
      <w:pPr>
        <w:pStyle w:val="ListeParagraf"/>
        <w:widowControl w:val="0"/>
        <w:numPr>
          <w:ilvl w:val="0"/>
          <w:numId w:val="59"/>
        </w:numPr>
        <w:tabs>
          <w:tab w:val="left" w:pos="1051"/>
          <w:tab w:val="left" w:pos="1109"/>
        </w:tabs>
        <w:autoSpaceDE w:val="0"/>
        <w:autoSpaceDN w:val="0"/>
        <w:spacing w:before="157" w:after="0" w:line="240" w:lineRule="auto"/>
        <w:ind w:right="134" w:hanging="284"/>
        <w:contextualSpacing w:val="0"/>
        <w:rPr>
          <w:rFonts w:ascii="Times New Roman" w:hAnsi="Times New Roman"/>
        </w:rPr>
      </w:pPr>
      <w:r w:rsidRPr="00731F8E">
        <w:rPr>
          <w:rFonts w:ascii="Times New Roman" w:hAnsi="Times New Roman"/>
        </w:rPr>
        <w:t>For a period of 6 (six) months from 01/10/2022, a support fee shall be applied in order to support the consumer and/or high-cost generation,</w:t>
      </w:r>
    </w:p>
    <w:p w14:paraId="78C1D16E" w14:textId="77777777" w:rsidR="004C0A79" w:rsidRPr="00731F8E" w:rsidRDefault="004C0A79" w:rsidP="004C0A79">
      <w:pPr>
        <w:pStyle w:val="GvdeMetni"/>
        <w:rPr>
          <w:rFonts w:cs="Times New Roman"/>
          <w:i/>
          <w:szCs w:val="22"/>
        </w:rPr>
      </w:pPr>
    </w:p>
    <w:p w14:paraId="3E8C5AA1" w14:textId="77777777" w:rsidR="004C0A79" w:rsidRPr="00731F8E" w:rsidRDefault="004C0A79" w:rsidP="00A86526">
      <w:pPr>
        <w:pStyle w:val="ListeParagraf"/>
        <w:widowControl w:val="0"/>
        <w:numPr>
          <w:ilvl w:val="0"/>
          <w:numId w:val="59"/>
        </w:numPr>
        <w:tabs>
          <w:tab w:val="left" w:pos="1106"/>
          <w:tab w:val="left" w:pos="1109"/>
        </w:tabs>
        <w:autoSpaceDE w:val="0"/>
        <w:autoSpaceDN w:val="0"/>
        <w:spacing w:after="0" w:line="240" w:lineRule="auto"/>
        <w:ind w:right="134" w:hanging="284"/>
        <w:contextualSpacing w:val="0"/>
        <w:rPr>
          <w:rFonts w:ascii="Times New Roman" w:hAnsi="Times New Roman"/>
        </w:rPr>
      </w:pPr>
      <w:r w:rsidRPr="00731F8E">
        <w:rPr>
          <w:rFonts w:ascii="Times New Roman" w:hAnsi="Times New Roman"/>
        </w:rPr>
        <w:t>As of 01/10/2022, the "maximum settlement prices" to be used in determining the support price will be applied as shown in the table below;</w:t>
      </w:r>
    </w:p>
    <w:p w14:paraId="297D9B18" w14:textId="77777777" w:rsidR="004C0A79" w:rsidRPr="00731F8E" w:rsidRDefault="004C0A79" w:rsidP="004C0A79">
      <w:pPr>
        <w:pStyle w:val="GvdeMetni"/>
        <w:spacing w:before="26"/>
        <w:rPr>
          <w:rFonts w:cs="Times New Roman"/>
          <w:i/>
          <w:szCs w:val="22"/>
        </w:rPr>
      </w:pPr>
    </w:p>
    <w:tbl>
      <w:tblPr>
        <w:tblStyle w:val="TableNormal"/>
        <w:tblW w:w="0" w:type="auto"/>
        <w:tblInd w:w="1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3"/>
        <w:gridCol w:w="1884"/>
      </w:tblGrid>
      <w:tr w:rsidR="004C0A79" w:rsidRPr="00731F8E" w14:paraId="30424C69" w14:textId="77777777" w:rsidTr="004C0A79">
        <w:trPr>
          <w:trHeight w:val="1125"/>
        </w:trPr>
        <w:tc>
          <w:tcPr>
            <w:tcW w:w="4303" w:type="dxa"/>
          </w:tcPr>
          <w:p w14:paraId="52B3C1EE" w14:textId="77777777" w:rsidR="004C0A79" w:rsidRPr="00731F8E" w:rsidRDefault="004C0A79" w:rsidP="004C0A79">
            <w:pPr>
              <w:pStyle w:val="TableParagraph"/>
              <w:spacing w:before="40"/>
              <w:rPr>
                <w:rFonts w:ascii="Times New Roman" w:hAnsi="Times New Roman" w:cs="Times New Roman"/>
                <w:szCs w:val="22"/>
              </w:rPr>
            </w:pPr>
          </w:p>
          <w:p w14:paraId="5523BBF9" w14:textId="77777777" w:rsidR="004C0A79" w:rsidRPr="00731F8E" w:rsidRDefault="004C0A79" w:rsidP="004C0A79">
            <w:pPr>
              <w:pStyle w:val="P68B1DB1-TableParagraph3"/>
              <w:ind w:left="1240"/>
              <w:jc w:val="left"/>
              <w:rPr>
                <w:rFonts w:ascii="Times New Roman" w:hAnsi="Times New Roman" w:cs="Times New Roman"/>
                <w:szCs w:val="22"/>
              </w:rPr>
            </w:pPr>
            <w:r w:rsidRPr="00731F8E">
              <w:rPr>
                <w:rFonts w:ascii="Times New Roman" w:hAnsi="Times New Roman" w:cs="Times New Roman"/>
                <w:szCs w:val="22"/>
              </w:rPr>
              <w:t>Type of Source</w:t>
            </w:r>
          </w:p>
        </w:tc>
        <w:tc>
          <w:tcPr>
            <w:tcW w:w="1884" w:type="dxa"/>
          </w:tcPr>
          <w:p w14:paraId="56EF2A9A" w14:textId="77777777" w:rsidR="004C0A79" w:rsidRPr="00731F8E" w:rsidRDefault="004C0A79" w:rsidP="004C0A79">
            <w:pPr>
              <w:pStyle w:val="P68B1DB1-TableParagraph3"/>
              <w:spacing w:line="276" w:lineRule="auto"/>
              <w:ind w:left="107" w:right="94"/>
              <w:jc w:val="both"/>
              <w:rPr>
                <w:rFonts w:ascii="Times New Roman" w:hAnsi="Times New Roman" w:cs="Times New Roman"/>
                <w:szCs w:val="22"/>
              </w:rPr>
            </w:pPr>
            <w:r w:rsidRPr="00731F8E">
              <w:rPr>
                <w:rFonts w:ascii="Times New Roman" w:hAnsi="Times New Roman" w:cs="Times New Roman"/>
                <w:szCs w:val="22"/>
              </w:rPr>
              <w:t>Maximum Settlement Price Initial Value (TL/MWh)</w:t>
            </w:r>
          </w:p>
        </w:tc>
      </w:tr>
      <w:tr w:rsidR="004C0A79" w:rsidRPr="00731F8E" w14:paraId="3757E00F" w14:textId="77777777" w:rsidTr="004C0A79">
        <w:trPr>
          <w:trHeight w:val="508"/>
        </w:trPr>
        <w:tc>
          <w:tcPr>
            <w:tcW w:w="4303" w:type="dxa"/>
          </w:tcPr>
          <w:p w14:paraId="7A7A1249" w14:textId="77777777" w:rsidR="004C0A79" w:rsidRPr="00731F8E" w:rsidRDefault="004C0A79" w:rsidP="004C0A79">
            <w:pPr>
              <w:pStyle w:val="P68B1DB1-TableParagraph3"/>
              <w:spacing w:line="268" w:lineRule="exact"/>
              <w:ind w:left="1240"/>
              <w:jc w:val="left"/>
              <w:rPr>
                <w:rFonts w:ascii="Times New Roman" w:hAnsi="Times New Roman" w:cs="Times New Roman"/>
                <w:szCs w:val="22"/>
              </w:rPr>
            </w:pPr>
            <w:r w:rsidRPr="00731F8E">
              <w:rPr>
                <w:rFonts w:ascii="Times New Roman" w:hAnsi="Times New Roman" w:cs="Times New Roman"/>
                <w:szCs w:val="22"/>
              </w:rPr>
              <w:t>Domestic Coal</w:t>
            </w:r>
          </w:p>
        </w:tc>
        <w:tc>
          <w:tcPr>
            <w:tcW w:w="1884" w:type="dxa"/>
          </w:tcPr>
          <w:p w14:paraId="381C78ED" w14:textId="77777777" w:rsidR="004C0A79" w:rsidRPr="00731F8E" w:rsidRDefault="004C0A79" w:rsidP="004C0A79">
            <w:pPr>
              <w:pStyle w:val="TableParagraph"/>
              <w:spacing w:line="268" w:lineRule="exact"/>
              <w:ind w:right="139"/>
              <w:jc w:val="right"/>
              <w:rPr>
                <w:rFonts w:ascii="Times New Roman" w:hAnsi="Times New Roman" w:cs="Times New Roman"/>
                <w:szCs w:val="22"/>
              </w:rPr>
            </w:pPr>
            <w:r w:rsidRPr="00731F8E">
              <w:rPr>
                <w:rFonts w:ascii="Times New Roman" w:hAnsi="Times New Roman" w:cs="Times New Roman"/>
                <w:szCs w:val="22"/>
              </w:rPr>
              <w:t>2050</w:t>
            </w:r>
          </w:p>
        </w:tc>
      </w:tr>
      <w:tr w:rsidR="004C0A79" w:rsidRPr="00731F8E" w14:paraId="54CD0E14" w14:textId="77777777" w:rsidTr="004C0A79">
        <w:trPr>
          <w:trHeight w:val="510"/>
        </w:trPr>
        <w:tc>
          <w:tcPr>
            <w:tcW w:w="4303" w:type="dxa"/>
          </w:tcPr>
          <w:p w14:paraId="413B6F9F" w14:textId="77777777" w:rsidR="004C0A79" w:rsidRPr="00731F8E" w:rsidRDefault="004C0A79" w:rsidP="004C0A79">
            <w:pPr>
              <w:pStyle w:val="P68B1DB1-TableParagraph3"/>
              <w:spacing w:before="1"/>
              <w:ind w:left="1240"/>
              <w:jc w:val="left"/>
              <w:rPr>
                <w:rFonts w:ascii="Times New Roman" w:hAnsi="Times New Roman" w:cs="Times New Roman"/>
                <w:szCs w:val="22"/>
              </w:rPr>
            </w:pPr>
            <w:r w:rsidRPr="00731F8E">
              <w:rPr>
                <w:rFonts w:ascii="Times New Roman" w:hAnsi="Times New Roman" w:cs="Times New Roman"/>
                <w:szCs w:val="22"/>
              </w:rPr>
              <w:t>Imported Coal</w:t>
            </w:r>
          </w:p>
        </w:tc>
        <w:tc>
          <w:tcPr>
            <w:tcW w:w="1884" w:type="dxa"/>
          </w:tcPr>
          <w:p w14:paraId="20360E3D" w14:textId="77777777" w:rsidR="004C0A79" w:rsidRPr="00731F8E" w:rsidRDefault="004C0A79" w:rsidP="004C0A79">
            <w:pPr>
              <w:pStyle w:val="TableParagraph"/>
              <w:spacing w:before="1"/>
              <w:ind w:right="139"/>
              <w:jc w:val="right"/>
              <w:rPr>
                <w:rFonts w:ascii="Times New Roman" w:hAnsi="Times New Roman" w:cs="Times New Roman"/>
                <w:szCs w:val="22"/>
              </w:rPr>
            </w:pPr>
            <w:r w:rsidRPr="00731F8E">
              <w:rPr>
                <w:rFonts w:ascii="Times New Roman" w:hAnsi="Times New Roman" w:cs="Times New Roman"/>
                <w:szCs w:val="22"/>
              </w:rPr>
              <w:t>2750</w:t>
            </w:r>
          </w:p>
        </w:tc>
      </w:tr>
      <w:tr w:rsidR="004C0A79" w:rsidRPr="00731F8E" w14:paraId="2D41DF95" w14:textId="77777777" w:rsidTr="004C0A79">
        <w:trPr>
          <w:trHeight w:val="817"/>
        </w:trPr>
        <w:tc>
          <w:tcPr>
            <w:tcW w:w="4303" w:type="dxa"/>
          </w:tcPr>
          <w:p w14:paraId="59A1FFE3" w14:textId="77777777" w:rsidR="004C0A79" w:rsidRPr="00731F8E" w:rsidRDefault="004C0A79" w:rsidP="004C0A79">
            <w:pPr>
              <w:pStyle w:val="P68B1DB1-TableParagraph3"/>
              <w:spacing w:line="273" w:lineRule="auto"/>
              <w:ind w:left="959" w:right="1174" w:firstLine="280"/>
              <w:jc w:val="left"/>
              <w:rPr>
                <w:rFonts w:ascii="Times New Roman" w:hAnsi="Times New Roman" w:cs="Times New Roman"/>
                <w:szCs w:val="22"/>
              </w:rPr>
            </w:pPr>
            <w:r w:rsidRPr="00731F8E">
              <w:rPr>
                <w:rFonts w:ascii="Times New Roman" w:hAnsi="Times New Roman" w:cs="Times New Roman"/>
                <w:szCs w:val="22"/>
              </w:rPr>
              <w:t>Natural Gas/Fuel Oil/Naphtha/LPG/Diesel</w:t>
            </w:r>
          </w:p>
        </w:tc>
        <w:tc>
          <w:tcPr>
            <w:tcW w:w="1884" w:type="dxa"/>
          </w:tcPr>
          <w:p w14:paraId="36E29383" w14:textId="77777777" w:rsidR="004C0A79" w:rsidRPr="00731F8E" w:rsidRDefault="004C0A79" w:rsidP="004C0A79">
            <w:pPr>
              <w:pStyle w:val="TableParagraph"/>
              <w:spacing w:before="152"/>
              <w:ind w:right="139"/>
              <w:jc w:val="right"/>
              <w:rPr>
                <w:rFonts w:ascii="Times New Roman" w:hAnsi="Times New Roman" w:cs="Times New Roman"/>
                <w:szCs w:val="22"/>
              </w:rPr>
            </w:pPr>
            <w:r w:rsidRPr="00731F8E">
              <w:rPr>
                <w:rFonts w:ascii="Times New Roman" w:hAnsi="Times New Roman" w:cs="Times New Roman"/>
                <w:szCs w:val="22"/>
              </w:rPr>
              <w:t>4500</w:t>
            </w:r>
          </w:p>
        </w:tc>
      </w:tr>
      <w:tr w:rsidR="004C0A79" w:rsidRPr="00731F8E" w14:paraId="7CB2B00A" w14:textId="77777777" w:rsidTr="004C0A79">
        <w:trPr>
          <w:trHeight w:val="508"/>
        </w:trPr>
        <w:tc>
          <w:tcPr>
            <w:tcW w:w="4303" w:type="dxa"/>
          </w:tcPr>
          <w:p w14:paraId="532B2C8C" w14:textId="77777777" w:rsidR="004C0A79" w:rsidRPr="00731F8E" w:rsidRDefault="004C0A79" w:rsidP="004C0A79">
            <w:pPr>
              <w:pStyle w:val="P68B1DB1-TableParagraph3"/>
              <w:spacing w:line="268" w:lineRule="exact"/>
              <w:ind w:left="1240"/>
              <w:jc w:val="left"/>
              <w:rPr>
                <w:rFonts w:ascii="Times New Roman" w:hAnsi="Times New Roman" w:cs="Times New Roman"/>
                <w:szCs w:val="22"/>
              </w:rPr>
            </w:pPr>
            <w:r w:rsidRPr="00731F8E">
              <w:rPr>
                <w:rFonts w:ascii="Times New Roman" w:hAnsi="Times New Roman" w:cs="Times New Roman"/>
                <w:szCs w:val="22"/>
              </w:rPr>
              <w:t>Other resources</w:t>
            </w:r>
          </w:p>
        </w:tc>
        <w:tc>
          <w:tcPr>
            <w:tcW w:w="1884" w:type="dxa"/>
          </w:tcPr>
          <w:p w14:paraId="3A58D366" w14:textId="77777777" w:rsidR="004C0A79" w:rsidRPr="00731F8E" w:rsidRDefault="004C0A79" w:rsidP="004C0A79">
            <w:pPr>
              <w:pStyle w:val="TableParagraph"/>
              <w:spacing w:line="268" w:lineRule="exact"/>
              <w:ind w:right="139"/>
              <w:jc w:val="right"/>
              <w:rPr>
                <w:rFonts w:ascii="Times New Roman" w:hAnsi="Times New Roman" w:cs="Times New Roman"/>
                <w:szCs w:val="22"/>
              </w:rPr>
            </w:pPr>
            <w:r w:rsidRPr="00731F8E">
              <w:rPr>
                <w:rFonts w:ascii="Times New Roman" w:hAnsi="Times New Roman" w:cs="Times New Roman"/>
                <w:szCs w:val="22"/>
              </w:rPr>
              <w:t>1540</w:t>
            </w:r>
          </w:p>
        </w:tc>
      </w:tr>
    </w:tbl>
    <w:p w14:paraId="6E18747A" w14:textId="77777777" w:rsidR="004C0A79" w:rsidRPr="00731F8E" w:rsidRDefault="004C0A79" w:rsidP="004C0A79">
      <w:pPr>
        <w:pStyle w:val="GvdeMetni"/>
        <w:rPr>
          <w:rFonts w:cs="Times New Roman"/>
          <w:i/>
          <w:szCs w:val="22"/>
        </w:rPr>
      </w:pPr>
    </w:p>
    <w:p w14:paraId="3B396E79" w14:textId="77777777" w:rsidR="004C0A79" w:rsidRPr="00731F8E" w:rsidRDefault="004C0A79" w:rsidP="00A86526">
      <w:pPr>
        <w:pStyle w:val="ListeParagraf"/>
        <w:widowControl w:val="0"/>
        <w:numPr>
          <w:ilvl w:val="0"/>
          <w:numId w:val="59"/>
        </w:numPr>
        <w:tabs>
          <w:tab w:val="left" w:pos="1090"/>
          <w:tab w:val="left" w:pos="1109"/>
        </w:tabs>
        <w:autoSpaceDE w:val="0"/>
        <w:autoSpaceDN w:val="0"/>
        <w:spacing w:before="1" w:after="0" w:line="240" w:lineRule="auto"/>
        <w:ind w:right="133" w:hanging="284"/>
        <w:contextualSpacing w:val="0"/>
        <w:rPr>
          <w:rFonts w:ascii="Times New Roman" w:hAnsi="Times New Roman"/>
        </w:rPr>
      </w:pPr>
      <w:r w:rsidRPr="00731F8E">
        <w:rPr>
          <w:rFonts w:ascii="Times New Roman" w:hAnsi="Times New Roman"/>
        </w:rPr>
        <w:t>In the event that the final unit imported coal costs of the imported coal-fired power plants are above 255 USD/ton due to the effect of the coal price at the origin, the support price shall be calculated by adding the price difference calculated with the following formula to the maximum settlement price of the relevant power plant, provided that the invoice regarding the supply of imported coal is submitted to the Authority,</w:t>
      </w:r>
    </w:p>
    <w:p w14:paraId="254FDF11" w14:textId="77777777" w:rsidR="004C0A79" w:rsidRPr="00731F8E" w:rsidRDefault="004C0A79" w:rsidP="004C0A79">
      <w:pPr>
        <w:pStyle w:val="P68B1DB1-Normal4"/>
        <w:spacing w:before="258"/>
        <w:ind w:left="2801"/>
        <w:rPr>
          <w:rFonts w:ascii="Times New Roman" w:hAnsi="Times New Roman" w:cs="Times New Roman"/>
          <w:szCs w:val="22"/>
        </w:rPr>
      </w:pPr>
      <w:r w:rsidRPr="00731F8E">
        <w:rPr>
          <w:rFonts w:cs="Cambria Math"/>
          <w:szCs w:val="22"/>
        </w:rPr>
        <w:t>𝐴𝑈</w:t>
      </w:r>
      <w:r w:rsidRPr="00731F8E">
        <w:rPr>
          <w:rFonts w:ascii="Times New Roman" w:hAnsi="Times New Roman" w:cs="Times New Roman"/>
          <w:position w:val="-4"/>
          <w:szCs w:val="22"/>
        </w:rPr>
        <w:t xml:space="preserve"> </w:t>
      </w:r>
      <w:r w:rsidRPr="00731F8E">
        <w:rPr>
          <w:rFonts w:cs="Cambria Math"/>
          <w:position w:val="-4"/>
          <w:szCs w:val="22"/>
        </w:rPr>
        <w:t>𝐹</w:t>
      </w:r>
      <w:r w:rsidRPr="00731F8E">
        <w:rPr>
          <w:rFonts w:ascii="Times New Roman" w:hAnsi="Times New Roman" w:cs="Times New Roman"/>
          <w:position w:val="-4"/>
          <w:szCs w:val="22"/>
        </w:rPr>
        <w:t xml:space="preserve"> </w:t>
      </w:r>
      <w:r w:rsidRPr="00731F8E">
        <w:rPr>
          <w:rFonts w:cs="Cambria Math"/>
          <w:szCs w:val="22"/>
        </w:rPr>
        <w:t>𝑓</w:t>
      </w:r>
      <w:r w:rsidRPr="00731F8E">
        <w:rPr>
          <w:rFonts w:ascii="Times New Roman" w:hAnsi="Times New Roman" w:cs="Times New Roman"/>
          <w:szCs w:val="22"/>
        </w:rPr>
        <w:t xml:space="preserve"> = 0,35 </w:t>
      </w:r>
      <w:r w:rsidRPr="00731F8E">
        <w:rPr>
          <w:rFonts w:cs="Cambria Math"/>
          <w:szCs w:val="22"/>
        </w:rPr>
        <w:t>∗</w:t>
      </w:r>
      <w:r w:rsidRPr="00731F8E">
        <w:rPr>
          <w:rFonts w:ascii="Times New Roman" w:hAnsi="Times New Roman" w:cs="Times New Roman"/>
          <w:szCs w:val="22"/>
        </w:rPr>
        <w:t xml:space="preserve"> </w:t>
      </w:r>
      <w:r w:rsidRPr="00731F8E">
        <w:rPr>
          <w:rFonts w:ascii="Times New Roman" w:hAnsi="Times New Roman" w:cs="Times New Roman"/>
          <w:position w:val="1"/>
          <w:szCs w:val="22"/>
        </w:rPr>
        <w:t>(min(</w:t>
      </w:r>
      <w:r w:rsidRPr="00731F8E">
        <w:rPr>
          <w:rFonts w:cs="Cambria Math"/>
          <w:szCs w:val="22"/>
        </w:rPr>
        <w:t>𝐹𝐵𝐵</w:t>
      </w:r>
      <w:r w:rsidRPr="00731F8E">
        <w:rPr>
          <w:rFonts w:ascii="Times New Roman" w:hAnsi="Times New Roman" w:cs="Times New Roman"/>
          <w:szCs w:val="22"/>
        </w:rPr>
        <w:t xml:space="preserve"> </w:t>
      </w:r>
      <w:r w:rsidRPr="00731F8E">
        <w:rPr>
          <w:rFonts w:cs="Cambria Math"/>
          <w:szCs w:val="22"/>
        </w:rPr>
        <w:t>𝑡</w:t>
      </w:r>
      <w:r w:rsidRPr="00731F8E">
        <w:rPr>
          <w:rFonts w:ascii="Times New Roman" w:hAnsi="Times New Roman" w:cs="Times New Roman"/>
          <w:szCs w:val="22"/>
        </w:rPr>
        <w:t xml:space="preserve">, </w:t>
      </w:r>
      <w:r w:rsidRPr="00731F8E">
        <w:rPr>
          <w:rFonts w:cs="Cambria Math"/>
          <w:szCs w:val="22"/>
        </w:rPr>
        <w:t>𝐴𝑃</w:t>
      </w:r>
      <w:r w:rsidRPr="00731F8E">
        <w:rPr>
          <w:rFonts w:ascii="Times New Roman" w:hAnsi="Times New Roman" w:cs="Times New Roman"/>
          <w:szCs w:val="22"/>
        </w:rPr>
        <w:t xml:space="preserve"> </w:t>
      </w:r>
      <w:r w:rsidRPr="00731F8E">
        <w:rPr>
          <w:rFonts w:cs="Cambria Math"/>
          <w:szCs w:val="22"/>
        </w:rPr>
        <w:t>𝐼</w:t>
      </w:r>
      <w:r w:rsidRPr="00731F8E">
        <w:rPr>
          <w:rFonts w:ascii="Times New Roman" w:hAnsi="Times New Roman" w:cs="Times New Roman"/>
          <w:szCs w:val="22"/>
        </w:rPr>
        <w:t>2</w:t>
      </w:r>
      <w:r w:rsidRPr="00731F8E">
        <w:rPr>
          <w:rFonts w:cs="Cambria Math"/>
          <w:szCs w:val="22"/>
        </w:rPr>
        <w:t>𝑡</w:t>
      </w:r>
      <w:r w:rsidRPr="00731F8E">
        <w:rPr>
          <w:rFonts w:ascii="Times New Roman" w:hAnsi="Times New Roman" w:cs="Times New Roman"/>
          <w:szCs w:val="22"/>
        </w:rPr>
        <w:t>) − 255</w:t>
      </w:r>
      <w:r w:rsidRPr="00731F8E">
        <w:rPr>
          <w:rFonts w:ascii="Times New Roman" w:hAnsi="Times New Roman" w:cs="Times New Roman"/>
          <w:position w:val="1"/>
          <w:szCs w:val="22"/>
        </w:rPr>
        <w:t xml:space="preserve">) </w:t>
      </w:r>
      <w:r w:rsidRPr="00731F8E">
        <w:rPr>
          <w:rFonts w:cs="Cambria Math"/>
          <w:szCs w:val="22"/>
        </w:rPr>
        <w:t>∗</w:t>
      </w:r>
      <w:r w:rsidRPr="00731F8E">
        <w:rPr>
          <w:rFonts w:ascii="Times New Roman" w:hAnsi="Times New Roman" w:cs="Times New Roman"/>
          <w:szCs w:val="22"/>
        </w:rPr>
        <w:t xml:space="preserve"> </w:t>
      </w:r>
      <w:r w:rsidRPr="00731F8E">
        <w:rPr>
          <w:rFonts w:cs="Cambria Math"/>
          <w:szCs w:val="22"/>
        </w:rPr>
        <w:t>𝐾𝑢𝑟</w:t>
      </w:r>
      <w:r w:rsidRPr="00731F8E">
        <w:rPr>
          <w:rFonts w:ascii="Times New Roman" w:hAnsi="Times New Roman" w:cs="Times New Roman"/>
          <w:position w:val="-4"/>
          <w:szCs w:val="22"/>
        </w:rPr>
        <w:t xml:space="preserve"> </w:t>
      </w:r>
      <w:r w:rsidRPr="00731F8E">
        <w:rPr>
          <w:rFonts w:cs="Cambria Math"/>
          <w:position w:val="-4"/>
          <w:szCs w:val="22"/>
        </w:rPr>
        <w:t>𝑡</w:t>
      </w:r>
    </w:p>
    <w:p w14:paraId="042D511E" w14:textId="77777777" w:rsidR="004C0A79" w:rsidRPr="00731F8E" w:rsidRDefault="004C0A79" w:rsidP="004C0A79">
      <w:pPr>
        <w:pStyle w:val="GvdeMetni"/>
        <w:rPr>
          <w:rFonts w:cs="Times New Roman"/>
          <w:i/>
          <w:szCs w:val="22"/>
        </w:rPr>
      </w:pPr>
    </w:p>
    <w:p w14:paraId="598D9961" w14:textId="77777777" w:rsidR="004C0A79" w:rsidRPr="00731F8E" w:rsidRDefault="004C0A79" w:rsidP="004C0A79">
      <w:pPr>
        <w:spacing w:before="1"/>
        <w:ind w:left="1248"/>
        <w:rPr>
          <w:rFonts w:ascii="Times New Roman" w:hAnsi="Times New Roman"/>
        </w:rPr>
      </w:pPr>
      <w:r w:rsidRPr="00731F8E">
        <w:rPr>
          <w:rFonts w:ascii="Times New Roman" w:hAnsi="Times New Roman"/>
        </w:rPr>
        <w:t>In this formula; the following means as follows:</w:t>
      </w:r>
    </w:p>
    <w:p w14:paraId="284201E5" w14:textId="77777777" w:rsidR="004C0A79" w:rsidRPr="00731F8E" w:rsidRDefault="004C0A79" w:rsidP="004C0A79">
      <w:pPr>
        <w:pStyle w:val="GvdeMetni"/>
        <w:tabs>
          <w:tab w:val="left" w:pos="2948"/>
        </w:tabs>
        <w:spacing w:before="268"/>
        <w:ind w:left="2945" w:right="135" w:hanging="1698"/>
        <w:rPr>
          <w:rFonts w:cs="Times New Roman"/>
          <w:szCs w:val="22"/>
        </w:rPr>
      </w:pPr>
      <w:r w:rsidRPr="00731F8E">
        <w:rPr>
          <w:rFonts w:cs="Times New Roman"/>
          <w:position w:val="2"/>
          <w:szCs w:val="22"/>
        </w:rPr>
        <w:t>AUFf</w:t>
      </w:r>
      <w:r w:rsidRPr="00731F8E">
        <w:rPr>
          <w:rFonts w:cs="Times New Roman"/>
          <w:szCs w:val="22"/>
        </w:rPr>
        <w:tab/>
      </w:r>
      <w:r w:rsidRPr="00731F8E">
        <w:rPr>
          <w:rFonts w:cs="Times New Roman"/>
          <w:szCs w:val="22"/>
        </w:rPr>
        <w:tab/>
      </w:r>
      <w:r w:rsidRPr="00731F8E">
        <w:rPr>
          <w:rFonts w:cs="Times New Roman"/>
          <w:position w:val="2"/>
          <w:szCs w:val="22"/>
        </w:rPr>
        <w:t>:</w:t>
      </w:r>
      <w:r w:rsidRPr="00731F8E">
        <w:rPr>
          <w:rFonts w:cs="Times New Roman"/>
          <w:position w:val="2"/>
          <w:szCs w:val="22"/>
        </w:rPr>
        <w:tab/>
      </w:r>
      <w:r w:rsidRPr="00731F8E">
        <w:rPr>
          <w:rFonts w:cs="Times New Roman"/>
          <w:position w:val="2"/>
          <w:szCs w:val="22"/>
        </w:rPr>
        <w:tab/>
        <w:t xml:space="preserve">The maximum settlement price difference (TL/MWh) to be applied in the t invoicing period for imported coal power plants </w:t>
      </w:r>
      <w:r w:rsidRPr="00731F8E">
        <w:rPr>
          <w:rFonts w:cs="Times New Roman"/>
          <w:szCs w:val="22"/>
        </w:rPr>
        <w:t>,</w:t>
      </w:r>
    </w:p>
    <w:p w14:paraId="074F7800" w14:textId="77777777" w:rsidR="004C0A79" w:rsidRPr="00731F8E" w:rsidRDefault="004C0A79" w:rsidP="004C0A79">
      <w:pPr>
        <w:pStyle w:val="GvdeMetni"/>
        <w:tabs>
          <w:tab w:val="left" w:pos="2947"/>
        </w:tabs>
        <w:ind w:left="2945" w:right="132" w:hanging="1697"/>
        <w:rPr>
          <w:rFonts w:cs="Times New Roman"/>
          <w:szCs w:val="22"/>
        </w:rPr>
      </w:pPr>
      <w:r w:rsidRPr="00731F8E">
        <w:rPr>
          <w:rFonts w:cs="Times New Roman"/>
          <w:szCs w:val="22"/>
        </w:rPr>
        <w:t>Exchange rate t</w:t>
      </w:r>
      <w:r w:rsidRPr="00731F8E">
        <w:rPr>
          <w:rFonts w:cs="Times New Roman"/>
          <w:szCs w:val="22"/>
        </w:rPr>
        <w:tab/>
      </w:r>
      <w:r w:rsidRPr="00731F8E">
        <w:rPr>
          <w:rFonts w:cs="Times New Roman"/>
          <w:szCs w:val="22"/>
        </w:rPr>
        <w:tab/>
      </w:r>
      <w:r w:rsidRPr="00731F8E">
        <w:rPr>
          <w:rFonts w:cs="Times New Roman"/>
          <w:position w:val="2"/>
          <w:szCs w:val="22"/>
        </w:rPr>
        <w:t>: The</w:t>
      </w:r>
      <w:r w:rsidRPr="00731F8E">
        <w:rPr>
          <w:rFonts w:cs="Times New Roman"/>
          <w:position w:val="2"/>
          <w:szCs w:val="22"/>
        </w:rPr>
        <w:tab/>
      </w:r>
      <w:r w:rsidRPr="00731F8E">
        <w:rPr>
          <w:rFonts w:cs="Times New Roman"/>
          <w:position w:val="2"/>
          <w:szCs w:val="22"/>
        </w:rPr>
        <w:tab/>
        <w:t xml:space="preserve">average value of the effective USD sales exchange rate announced by the CBRT for the invoicing period t </w:t>
      </w:r>
      <w:r w:rsidRPr="00731F8E">
        <w:rPr>
          <w:rFonts w:cs="Times New Roman"/>
          <w:szCs w:val="22"/>
        </w:rPr>
        <w:t>,</w:t>
      </w:r>
    </w:p>
    <w:p w14:paraId="0EBB4842" w14:textId="77777777" w:rsidR="004C0A79" w:rsidRPr="00731F8E" w:rsidRDefault="004C0A79" w:rsidP="004C0A79">
      <w:pPr>
        <w:pStyle w:val="GvdeMetni"/>
        <w:tabs>
          <w:tab w:val="left" w:pos="2947"/>
        </w:tabs>
        <w:ind w:left="2945" w:right="129" w:hanging="1697"/>
        <w:rPr>
          <w:rFonts w:cs="Times New Roman"/>
          <w:szCs w:val="22"/>
        </w:rPr>
      </w:pPr>
      <w:r w:rsidRPr="00731F8E">
        <w:rPr>
          <w:rFonts w:cs="Times New Roman"/>
          <w:position w:val="2"/>
          <w:szCs w:val="22"/>
        </w:rPr>
        <w:t>FBBt</w:t>
      </w:r>
      <w:r w:rsidRPr="00731F8E">
        <w:rPr>
          <w:rFonts w:cs="Times New Roman"/>
          <w:szCs w:val="22"/>
        </w:rPr>
        <w:tab/>
      </w:r>
      <w:r w:rsidRPr="00731F8E">
        <w:rPr>
          <w:rFonts w:cs="Times New Roman"/>
          <w:szCs w:val="22"/>
        </w:rPr>
        <w:tab/>
      </w:r>
      <w:r w:rsidRPr="00731F8E">
        <w:rPr>
          <w:rFonts w:cs="Times New Roman"/>
          <w:position w:val="2"/>
          <w:szCs w:val="22"/>
        </w:rPr>
        <w:t>:</w:t>
      </w:r>
      <w:r w:rsidRPr="00731F8E">
        <w:rPr>
          <w:rFonts w:cs="Times New Roman"/>
          <w:position w:val="2"/>
          <w:szCs w:val="22"/>
        </w:rPr>
        <w:tab/>
      </w:r>
      <w:r w:rsidRPr="00731F8E">
        <w:rPr>
          <w:rFonts w:cs="Times New Roman"/>
          <w:position w:val="2"/>
          <w:szCs w:val="22"/>
        </w:rPr>
        <w:tab/>
        <w:t xml:space="preserve">Invoice unit price (USD/ton) for the supply of imported coal submitted to the Authority in the t invoicing period </w:t>
      </w:r>
      <w:r w:rsidRPr="00731F8E">
        <w:rPr>
          <w:rFonts w:cs="Times New Roman"/>
          <w:szCs w:val="22"/>
        </w:rPr>
        <w:t>,</w:t>
      </w:r>
    </w:p>
    <w:p w14:paraId="41CFBE8E" w14:textId="77777777" w:rsidR="004C0A79" w:rsidRPr="00731F8E" w:rsidRDefault="004C0A79" w:rsidP="004C0A79">
      <w:pPr>
        <w:pStyle w:val="GvdeMetni"/>
        <w:tabs>
          <w:tab w:val="left" w:pos="2947"/>
        </w:tabs>
        <w:ind w:left="2945" w:right="130" w:hanging="1698"/>
        <w:rPr>
          <w:rFonts w:cs="Times New Roman"/>
          <w:szCs w:val="22"/>
        </w:rPr>
      </w:pPr>
      <w:r w:rsidRPr="00731F8E">
        <w:rPr>
          <w:rFonts w:cs="Times New Roman"/>
          <w:position w:val="2"/>
          <w:szCs w:val="22"/>
        </w:rPr>
        <w:t>API2t</w:t>
      </w:r>
      <w:r w:rsidRPr="00731F8E">
        <w:rPr>
          <w:rFonts w:cs="Times New Roman"/>
          <w:szCs w:val="22"/>
        </w:rPr>
        <w:tab/>
      </w:r>
      <w:r w:rsidRPr="00731F8E">
        <w:rPr>
          <w:rFonts w:cs="Times New Roman"/>
          <w:szCs w:val="22"/>
        </w:rPr>
        <w:tab/>
      </w:r>
      <w:r w:rsidRPr="00731F8E">
        <w:rPr>
          <w:rFonts w:cs="Times New Roman"/>
          <w:position w:val="2"/>
          <w:szCs w:val="22"/>
        </w:rPr>
        <w:t>:</w:t>
      </w:r>
      <w:r w:rsidRPr="00731F8E">
        <w:rPr>
          <w:rFonts w:cs="Times New Roman"/>
          <w:position w:val="2"/>
          <w:szCs w:val="22"/>
        </w:rPr>
        <w:tab/>
      </w:r>
      <w:r w:rsidRPr="00731F8E">
        <w:rPr>
          <w:rFonts w:cs="Times New Roman"/>
          <w:position w:val="2"/>
          <w:szCs w:val="22"/>
        </w:rPr>
        <w:tab/>
        <w:t xml:space="preserve">The average of the "ICE Rotterdam Coal Futures" closing index values published for the t invoicing period during the maximum settlement price application </w:t>
      </w:r>
    </w:p>
    <w:p w14:paraId="59CE185D" w14:textId="77777777" w:rsidR="004C0A79" w:rsidRPr="00731F8E" w:rsidRDefault="004C0A79" w:rsidP="004C0A79">
      <w:pPr>
        <w:spacing w:before="120"/>
        <w:ind w:left="1248"/>
        <w:rPr>
          <w:rFonts w:ascii="Times New Roman" w:hAnsi="Times New Roman"/>
        </w:rPr>
      </w:pPr>
    </w:p>
    <w:p w14:paraId="52898C43" w14:textId="77777777" w:rsidR="004C0A79" w:rsidRPr="00731F8E" w:rsidRDefault="004C0A79" w:rsidP="004C0A79">
      <w:pPr>
        <w:rPr>
          <w:rFonts w:ascii="Times New Roman" w:hAnsi="Times New Roman"/>
        </w:rPr>
        <w:sectPr w:rsidR="004C0A79" w:rsidRPr="00731F8E">
          <w:pgSz w:w="11910" w:h="16840"/>
          <w:pgMar w:top="1360" w:right="1280" w:bottom="280" w:left="1300" w:header="720" w:footer="720" w:gutter="0"/>
          <w:cols w:space="720"/>
        </w:sectPr>
      </w:pPr>
    </w:p>
    <w:p w14:paraId="01D6D670" w14:textId="77777777" w:rsidR="004C0A79" w:rsidRPr="00731F8E" w:rsidRDefault="004C0A79" w:rsidP="00A86526">
      <w:pPr>
        <w:pStyle w:val="ListeParagraf"/>
        <w:widowControl w:val="0"/>
        <w:numPr>
          <w:ilvl w:val="0"/>
          <w:numId w:val="59"/>
        </w:numPr>
        <w:tabs>
          <w:tab w:val="left" w:pos="1099"/>
          <w:tab w:val="left" w:pos="1109"/>
        </w:tabs>
        <w:autoSpaceDE w:val="0"/>
        <w:autoSpaceDN w:val="0"/>
        <w:spacing w:before="37" w:after="0" w:line="240" w:lineRule="auto"/>
        <w:ind w:right="133" w:hanging="284"/>
        <w:contextualSpacing w:val="0"/>
        <w:rPr>
          <w:rFonts w:ascii="Times New Roman" w:hAnsi="Times New Roman"/>
        </w:rPr>
      </w:pPr>
      <w:r w:rsidRPr="00731F8E">
        <w:rPr>
          <w:rFonts w:ascii="Times New Roman" w:hAnsi="Times New Roman"/>
        </w:rPr>
        <w:lastRenderedPageBreak/>
        <w:t>In the event that more than one invoice is submitted to the Authority regarding the supply of imported coal within the same invoice period, the AUFf shall be calculated by taking the weighted average of the prices specified in the relevant invoices.</w:t>
      </w:r>
    </w:p>
    <w:p w14:paraId="29ED2FFA" w14:textId="77777777" w:rsidR="004C0A79" w:rsidRPr="00731F8E" w:rsidRDefault="004C0A79" w:rsidP="004C0A79">
      <w:pPr>
        <w:spacing w:before="120"/>
        <w:ind w:left="682"/>
        <w:rPr>
          <w:rFonts w:ascii="Times New Roman" w:hAnsi="Times New Roman"/>
        </w:rPr>
      </w:pPr>
    </w:p>
    <w:p w14:paraId="0B564086" w14:textId="77777777" w:rsidR="004C0A79" w:rsidRPr="00731F8E" w:rsidRDefault="004C0A79" w:rsidP="004C0A79">
      <w:pPr>
        <w:pStyle w:val="GvdeMetni"/>
        <w:spacing w:before="22"/>
        <w:rPr>
          <w:rFonts w:cs="Times New Roman"/>
          <w:i/>
          <w:szCs w:val="22"/>
        </w:rPr>
      </w:pPr>
    </w:p>
    <w:p w14:paraId="06F60FBA" w14:textId="77777777" w:rsidR="004C0A79" w:rsidRPr="00731F8E" w:rsidRDefault="004C0A79" w:rsidP="00A86526">
      <w:pPr>
        <w:pStyle w:val="ListeParagraf"/>
        <w:widowControl w:val="0"/>
        <w:numPr>
          <w:ilvl w:val="3"/>
          <w:numId w:val="67"/>
        </w:numPr>
        <w:tabs>
          <w:tab w:val="left" w:pos="835"/>
          <w:tab w:val="left" w:pos="837"/>
        </w:tabs>
        <w:autoSpaceDE w:val="0"/>
        <w:autoSpaceDN w:val="0"/>
        <w:spacing w:before="1" w:after="0" w:line="259" w:lineRule="auto"/>
        <w:ind w:left="837" w:right="131" w:hanging="361"/>
        <w:contextualSpacing w:val="0"/>
        <w:rPr>
          <w:rFonts w:ascii="Times New Roman" w:hAnsi="Times New Roman"/>
        </w:rPr>
      </w:pPr>
      <w:r w:rsidRPr="00731F8E">
        <w:rPr>
          <w:rFonts w:ascii="Times New Roman" w:hAnsi="Times New Roman"/>
        </w:rPr>
        <w:t>Within the scope of the eleventh paragraph of Article 132/D of the Electricity Market Balancing and Settlement Regulation (Regulation) with the Board Decision dated 27.10.2022 and numbered 11323 published in the Official Gazette dated 30.10.2022 and numbered 31998; it has been decided to establish a transaction within the framework of the eleventh paragraph of Article 132/D of the Regulation for the maximum amount of 50% (fifty percent) of the amounts included in the advance payment notifications of the assigned supply companies specified in the first paragraph of Article 132/Ç of the Regulation to be applied until 31/12/2022.</w:t>
      </w:r>
    </w:p>
    <w:p w14:paraId="28C60B25" w14:textId="77777777" w:rsidR="004C0A79" w:rsidRPr="00731F8E" w:rsidRDefault="004C0A79" w:rsidP="004C0A79">
      <w:pPr>
        <w:pStyle w:val="GvdeMetni"/>
        <w:spacing w:before="19"/>
        <w:rPr>
          <w:rFonts w:cs="Times New Roman"/>
          <w:i/>
          <w:szCs w:val="22"/>
        </w:rPr>
      </w:pPr>
    </w:p>
    <w:p w14:paraId="50A6433D" w14:textId="77777777" w:rsidR="004C0A79" w:rsidRPr="00731F8E" w:rsidRDefault="004C0A79" w:rsidP="004C0A79">
      <w:pPr>
        <w:tabs>
          <w:tab w:val="left" w:pos="1557"/>
        </w:tabs>
        <w:ind w:left="567"/>
        <w:rPr>
          <w:rFonts w:ascii="Times New Roman" w:hAnsi="Times New Roman"/>
        </w:rPr>
      </w:pPr>
      <w:r w:rsidRPr="00731F8E">
        <w:rPr>
          <w:rFonts w:ascii="Times New Roman" w:hAnsi="Times New Roman"/>
        </w:rPr>
        <w:t>• With the Board Decision dated 27.10.2022 and numbered 11324 published in the Official Gazette dated 02.11.2022 and numbered 32001, the first paragraph of the Article 24 of the Procedures and Principles Concerning the Determination of Power Plant Sites of Generation Facilities Subject to Associate Licenses or Licenses​?​ in the Electricity Market has been amended as follows,</w:t>
      </w:r>
    </w:p>
    <w:p w14:paraId="156E48DD" w14:textId="77777777" w:rsidR="004C0A79" w:rsidRPr="00731F8E" w:rsidRDefault="004C0A79" w:rsidP="004C0A79">
      <w:pPr>
        <w:pStyle w:val="GvdeMetni"/>
        <w:spacing w:before="44"/>
        <w:rPr>
          <w:rFonts w:cs="Times New Roman"/>
          <w:i/>
          <w:szCs w:val="22"/>
        </w:rPr>
      </w:pPr>
    </w:p>
    <w:p w14:paraId="42EE079F" w14:textId="77777777" w:rsidR="004C0A79" w:rsidRPr="00731F8E" w:rsidRDefault="004C0A79" w:rsidP="004C0A79">
      <w:pPr>
        <w:pStyle w:val="GvdeMetni"/>
        <w:spacing w:line="259" w:lineRule="auto"/>
        <w:ind w:left="1557" w:right="133"/>
        <w:rPr>
          <w:rFonts w:cs="Times New Roman"/>
          <w:szCs w:val="22"/>
        </w:rPr>
      </w:pPr>
      <w:r w:rsidRPr="00731F8E">
        <w:rPr>
          <w:rFonts w:cs="Times New Roman"/>
          <w:szCs w:val="22"/>
        </w:rPr>
        <w:t>“(1) The total mechanical power of the auxiliary source-based units that can be installed in multiple-source electricity generation facilities;</w:t>
      </w:r>
    </w:p>
    <w:p w14:paraId="40A74796" w14:textId="77777777" w:rsidR="004C0A79" w:rsidRPr="00731F8E" w:rsidRDefault="004C0A79" w:rsidP="00A86526">
      <w:pPr>
        <w:pStyle w:val="P68B1DB1-ListParagraph2"/>
        <w:numPr>
          <w:ilvl w:val="5"/>
          <w:numId w:val="67"/>
        </w:numPr>
        <w:tabs>
          <w:tab w:val="left" w:pos="1782"/>
        </w:tabs>
        <w:spacing w:line="259" w:lineRule="auto"/>
        <w:ind w:right="133" w:firstLine="0"/>
        <w:rPr>
          <w:rFonts w:ascii="Times New Roman" w:hAnsi="Times New Roman" w:cs="Times New Roman"/>
          <w:szCs w:val="22"/>
        </w:rPr>
      </w:pPr>
      <w:r w:rsidRPr="00731F8E">
        <w:rPr>
          <w:rFonts w:ascii="Times New Roman" w:hAnsi="Times New Roman" w:cs="Times New Roman"/>
          <w:szCs w:val="22"/>
        </w:rPr>
        <w:t>In electricity generation facilities with a total electrical installed power of the units based on the main source of 50 MW and below, the total electrical installed power of the units based on the main source,</w:t>
      </w:r>
    </w:p>
    <w:p w14:paraId="6C7223C0" w14:textId="77777777" w:rsidR="004C0A79" w:rsidRPr="00731F8E" w:rsidRDefault="004C0A79" w:rsidP="00A86526">
      <w:pPr>
        <w:pStyle w:val="P68B1DB1-ListParagraph2"/>
        <w:numPr>
          <w:ilvl w:val="5"/>
          <w:numId w:val="67"/>
        </w:numPr>
        <w:tabs>
          <w:tab w:val="left" w:pos="1777"/>
        </w:tabs>
        <w:spacing w:line="259" w:lineRule="auto"/>
        <w:ind w:right="129" w:firstLine="0"/>
        <w:rPr>
          <w:rFonts w:ascii="Times New Roman" w:hAnsi="Times New Roman" w:cs="Times New Roman"/>
          <w:szCs w:val="22"/>
        </w:rPr>
      </w:pPr>
      <w:r w:rsidRPr="00731F8E">
        <w:rPr>
          <w:rFonts w:ascii="Times New Roman" w:hAnsi="Times New Roman" w:cs="Times New Roman"/>
          <w:szCs w:val="22"/>
        </w:rPr>
        <w:t>In electricity generation facilities where the total electrical installed power of the units based on the main source is above 50 MW; it cannot exceed the total power to be found by adding the power corresponding to half of the part of the electrical installed power of the main source exceeding 50 MW to the 50 MW power. The mechanical installed power of the units based on the auxiliary source to be installed within the scope of this article shall not exceed 100 MW in total, except for the generation facilities whose main source is based on wind energy."</w:t>
      </w:r>
    </w:p>
    <w:p w14:paraId="71D269EB" w14:textId="77777777" w:rsidR="004C0A79" w:rsidRPr="00731F8E" w:rsidRDefault="004C0A79" w:rsidP="004C0A79">
      <w:pPr>
        <w:pStyle w:val="GvdeMetni"/>
        <w:spacing w:before="18"/>
        <w:rPr>
          <w:rFonts w:cs="Times New Roman"/>
          <w:szCs w:val="22"/>
        </w:rPr>
      </w:pPr>
    </w:p>
    <w:p w14:paraId="30364F3D" w14:textId="77777777" w:rsidR="004C0A79" w:rsidRPr="00731F8E" w:rsidRDefault="004C0A79" w:rsidP="004C0A79">
      <w:pPr>
        <w:tabs>
          <w:tab w:val="left" w:pos="1558"/>
        </w:tabs>
        <w:spacing w:line="259" w:lineRule="auto"/>
        <w:ind w:left="567" w:right="133"/>
        <w:rPr>
          <w:rFonts w:ascii="Times New Roman" w:hAnsi="Times New Roman"/>
        </w:rPr>
      </w:pPr>
      <w:r w:rsidRPr="00731F8E">
        <w:rPr>
          <w:rFonts w:ascii="Times New Roman" w:hAnsi="Times New Roman"/>
        </w:rPr>
        <w:t>• With the Board Decision dated 27.10.2022 and numbered 11324 published in the Official Gazette dated 02.11.2022 and numbered 32001, the first paragraph of the Article 24 of the Procedures and Principles Concerning the Determination of Power Plant Sites of Generation Facilities Subject to Associate Licenses or Licenses​?​ in the Electricity Market has been amended as follows,</w:t>
      </w:r>
    </w:p>
    <w:p w14:paraId="2E8A9C2C" w14:textId="77777777" w:rsidR="004C0A79" w:rsidRPr="00731F8E" w:rsidRDefault="004C0A79" w:rsidP="004C0A79">
      <w:pPr>
        <w:pStyle w:val="GvdeMetni"/>
        <w:spacing w:before="23"/>
        <w:rPr>
          <w:rFonts w:cs="Times New Roman"/>
          <w:i/>
          <w:szCs w:val="22"/>
        </w:rPr>
      </w:pPr>
    </w:p>
    <w:p w14:paraId="169602A1" w14:textId="77777777" w:rsidR="004C0A79" w:rsidRPr="00731F8E" w:rsidRDefault="004C0A79" w:rsidP="004C0A79">
      <w:pPr>
        <w:pStyle w:val="GvdeMetni"/>
        <w:spacing w:line="259" w:lineRule="auto"/>
        <w:ind w:left="1558" w:right="131"/>
        <w:rPr>
          <w:rFonts w:cs="Times New Roman"/>
          <w:szCs w:val="22"/>
        </w:rPr>
      </w:pPr>
      <w:r w:rsidRPr="00731F8E">
        <w:rPr>
          <w:rFonts w:cs="Times New Roman"/>
          <w:szCs w:val="22"/>
        </w:rPr>
        <w:t>“ğ) The electricity storage unit within the storage electricity generation facility, the electricity storage unit integrated into the generation facility and the meters measuring the electricity energy supplied and withdrawn from the individual electricity storage facilities.”</w:t>
      </w:r>
    </w:p>
    <w:p w14:paraId="13EF8846" w14:textId="77777777" w:rsidR="004C0A79" w:rsidRPr="00731F8E" w:rsidRDefault="004C0A79" w:rsidP="004C0A79">
      <w:pPr>
        <w:pStyle w:val="GvdeMetni"/>
        <w:spacing w:line="259" w:lineRule="auto"/>
        <w:ind w:left="1559" w:right="130" w:hanging="1"/>
        <w:rPr>
          <w:rFonts w:cs="Times New Roman"/>
          <w:szCs w:val="22"/>
        </w:rPr>
      </w:pPr>
      <w:r w:rsidRPr="00731F8E">
        <w:rPr>
          <w:rFonts w:cs="Times New Roman"/>
          <w:szCs w:val="22"/>
        </w:rPr>
        <w:t>"h) Meters measuring the electrical energy consumed at charging stations with the conditions specified within the scope of the Charging Service Regulation published in the Official Gazette dated 2/4/2022 and numbered 31797."</w:t>
      </w:r>
    </w:p>
    <w:p w14:paraId="674B983B" w14:textId="77777777" w:rsidR="004C0A79" w:rsidRPr="00731F8E" w:rsidRDefault="004C0A79" w:rsidP="004C0A79">
      <w:pPr>
        <w:pStyle w:val="GvdeMetni"/>
        <w:spacing w:before="18"/>
        <w:rPr>
          <w:rFonts w:cs="Times New Roman"/>
          <w:szCs w:val="22"/>
        </w:rPr>
      </w:pPr>
    </w:p>
    <w:p w14:paraId="5A1BEF1E" w14:textId="77777777" w:rsidR="004C0A79" w:rsidRPr="00731F8E" w:rsidRDefault="004C0A79" w:rsidP="00A86526">
      <w:pPr>
        <w:pStyle w:val="ListeParagraf"/>
        <w:widowControl w:val="0"/>
        <w:numPr>
          <w:ilvl w:val="4"/>
          <w:numId w:val="67"/>
        </w:numPr>
        <w:tabs>
          <w:tab w:val="left" w:pos="1558"/>
        </w:tabs>
        <w:autoSpaceDE w:val="0"/>
        <w:autoSpaceDN w:val="0"/>
        <w:spacing w:before="1" w:after="0" w:line="240" w:lineRule="auto"/>
        <w:ind w:left="1558" w:hanging="359"/>
        <w:contextualSpacing w:val="0"/>
        <w:jc w:val="left"/>
        <w:rPr>
          <w:rFonts w:ascii="Times New Roman" w:hAnsi="Times New Roman"/>
        </w:rPr>
      </w:pPr>
      <w:r w:rsidRPr="00731F8E">
        <w:rPr>
          <w:rFonts w:ascii="Times New Roman" w:hAnsi="Times New Roman"/>
        </w:rPr>
        <w:t>The first paragraph of Article 4 has been amended as follows.</w:t>
      </w:r>
    </w:p>
    <w:p w14:paraId="7CB12A03" w14:textId="77777777" w:rsidR="004C0A79" w:rsidRPr="00731F8E" w:rsidRDefault="004C0A79" w:rsidP="004C0A79">
      <w:pPr>
        <w:rPr>
          <w:rFonts w:ascii="Times New Roman" w:hAnsi="Times New Roman"/>
        </w:rPr>
        <w:sectPr w:rsidR="004C0A79" w:rsidRPr="00731F8E">
          <w:pgSz w:w="11910" w:h="16840"/>
          <w:pgMar w:top="1360" w:right="1280" w:bottom="280" w:left="1300" w:header="720" w:footer="720" w:gutter="0"/>
          <w:cols w:space="720"/>
        </w:sectPr>
      </w:pPr>
    </w:p>
    <w:p w14:paraId="33A5A64F" w14:textId="77777777" w:rsidR="004C0A79" w:rsidRPr="00731F8E" w:rsidRDefault="004C0A79" w:rsidP="004C0A79">
      <w:pPr>
        <w:pStyle w:val="GvdeMetni"/>
        <w:spacing w:before="37" w:line="259" w:lineRule="auto"/>
        <w:ind w:left="1556" w:right="132"/>
        <w:rPr>
          <w:rFonts w:cs="Times New Roman"/>
          <w:szCs w:val="22"/>
        </w:rPr>
      </w:pPr>
      <w:r w:rsidRPr="00731F8E">
        <w:rPr>
          <w:rFonts w:cs="Times New Roman"/>
          <w:szCs w:val="22"/>
        </w:rPr>
        <w:lastRenderedPageBreak/>
        <w:t xml:space="preserve">"(1) The active electrical energy consumption limit of the meters that must be included in the scope of OSOS is determined by the Board. This limit may be revised twice in a calendar year with the approval of the Board upon the request of the distribution company. Meters with consumption above the limit determined by the Board; </w:t>
      </w:r>
    </w:p>
    <w:p w14:paraId="74E9E9DB" w14:textId="77777777" w:rsidR="004C0A79" w:rsidRPr="00731F8E" w:rsidRDefault="004C0A79" w:rsidP="004C0A79">
      <w:pPr>
        <w:pStyle w:val="GvdeMetni"/>
        <w:spacing w:before="37" w:line="259" w:lineRule="auto"/>
        <w:ind w:left="1556" w:right="132"/>
        <w:rPr>
          <w:rFonts w:cs="Times New Roman"/>
          <w:szCs w:val="22"/>
        </w:rPr>
      </w:pPr>
      <w:r w:rsidRPr="00731F8E">
        <w:rPr>
          <w:rFonts w:cs="Times New Roman"/>
          <w:szCs w:val="22"/>
        </w:rPr>
        <w:t>a) For those whose limits have been revised by the Board decision, within one year at the latest from the date of the Board decision,</w:t>
      </w:r>
    </w:p>
    <w:p w14:paraId="4CBD6980" w14:textId="77777777" w:rsidR="004C0A79" w:rsidRPr="00731F8E" w:rsidRDefault="004C0A79" w:rsidP="004C0A79">
      <w:pPr>
        <w:pStyle w:val="GvdeMetni"/>
        <w:spacing w:before="37" w:line="259" w:lineRule="auto"/>
        <w:ind w:left="1556" w:right="132"/>
        <w:rPr>
          <w:rFonts w:cs="Times New Roman"/>
          <w:szCs w:val="22"/>
        </w:rPr>
      </w:pPr>
      <w:r w:rsidRPr="00731F8E">
        <w:rPr>
          <w:rFonts w:cs="Times New Roman"/>
          <w:szCs w:val="22"/>
        </w:rPr>
        <w:t>b) Meters belonging to consumers who exceed the limit approved by the Board in the previous calendar year must be included in the scope of OSOS until the end of the next relevant calendar year at the latest.</w:t>
      </w:r>
    </w:p>
    <w:p w14:paraId="19851F8E" w14:textId="77777777" w:rsidR="004C0A79" w:rsidRPr="00731F8E" w:rsidRDefault="004C0A79" w:rsidP="004C0A79">
      <w:pPr>
        <w:pStyle w:val="GvdeMetni"/>
        <w:spacing w:line="259" w:lineRule="auto"/>
        <w:ind w:left="1556" w:right="135"/>
        <w:rPr>
          <w:rFonts w:cs="Times New Roman"/>
          <w:szCs w:val="22"/>
        </w:rPr>
      </w:pPr>
      <w:r w:rsidRPr="00731F8E">
        <w:rPr>
          <w:rFonts w:cs="Times New Roman"/>
          <w:szCs w:val="22"/>
        </w:rPr>
        <w:t>This period may be extended within the scope of force majeure or circumstances deemed appropriate by the Board."</w:t>
      </w:r>
    </w:p>
    <w:p w14:paraId="23184C13" w14:textId="77777777" w:rsidR="004C0A79" w:rsidRPr="00731F8E" w:rsidRDefault="004C0A79" w:rsidP="004C0A79">
      <w:pPr>
        <w:pStyle w:val="GvdeMetni"/>
        <w:spacing w:before="20"/>
        <w:rPr>
          <w:rFonts w:cs="Times New Roman"/>
          <w:szCs w:val="22"/>
        </w:rPr>
      </w:pPr>
    </w:p>
    <w:p w14:paraId="762B454C" w14:textId="77777777" w:rsidR="004C0A79" w:rsidRPr="00731F8E" w:rsidRDefault="004C0A79" w:rsidP="00A86526">
      <w:pPr>
        <w:pStyle w:val="ListeParagraf"/>
        <w:widowControl w:val="0"/>
        <w:numPr>
          <w:ilvl w:val="4"/>
          <w:numId w:val="67"/>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Clause (ç) of the second paragraph of Article 5 has been amended as follows.</w:t>
      </w:r>
    </w:p>
    <w:p w14:paraId="750E70FD" w14:textId="77777777" w:rsidR="004C0A79" w:rsidRPr="00731F8E" w:rsidRDefault="004C0A79" w:rsidP="004C0A79">
      <w:pPr>
        <w:pStyle w:val="GvdeMetni"/>
        <w:spacing w:before="41"/>
        <w:rPr>
          <w:rFonts w:cs="Times New Roman"/>
          <w:i/>
          <w:szCs w:val="22"/>
        </w:rPr>
      </w:pPr>
    </w:p>
    <w:p w14:paraId="461187D4" w14:textId="77777777" w:rsidR="004C0A79" w:rsidRPr="00731F8E" w:rsidRDefault="004C0A79" w:rsidP="004C0A79">
      <w:pPr>
        <w:pStyle w:val="GvdeMetni"/>
        <w:spacing w:line="259" w:lineRule="auto"/>
        <w:ind w:left="1556" w:right="133"/>
        <w:rPr>
          <w:rFonts w:cs="Times New Roman"/>
          <w:szCs w:val="22"/>
        </w:rPr>
      </w:pPr>
      <w:r w:rsidRPr="00731F8E">
        <w:rPr>
          <w:rFonts w:cs="Times New Roman"/>
          <w:szCs w:val="22"/>
        </w:rPr>
        <w:t>"ç) The electricity storage unit within the storage electricity generation facility, the electricity storage unit integrated into the generation facility and the legal entity engaged in the relevant market activity for independent electricity storage facilities,"</w:t>
      </w:r>
    </w:p>
    <w:p w14:paraId="2994BBD7" w14:textId="77777777" w:rsidR="004C0A79" w:rsidRPr="00731F8E" w:rsidRDefault="004C0A79" w:rsidP="004C0A79">
      <w:pPr>
        <w:pStyle w:val="GvdeMetni"/>
        <w:spacing w:before="20"/>
        <w:rPr>
          <w:rFonts w:cs="Times New Roman"/>
          <w:szCs w:val="22"/>
        </w:rPr>
      </w:pPr>
    </w:p>
    <w:p w14:paraId="49F6E931" w14:textId="77777777" w:rsidR="004C0A79" w:rsidRPr="00731F8E" w:rsidRDefault="004C0A79" w:rsidP="00A86526">
      <w:pPr>
        <w:pStyle w:val="ListeParagraf"/>
        <w:widowControl w:val="0"/>
        <w:numPr>
          <w:ilvl w:val="4"/>
          <w:numId w:val="67"/>
        </w:numPr>
        <w:tabs>
          <w:tab w:val="left" w:pos="1556"/>
        </w:tabs>
        <w:autoSpaceDE w:val="0"/>
        <w:autoSpaceDN w:val="0"/>
        <w:spacing w:after="0" w:line="259" w:lineRule="auto"/>
        <w:ind w:right="133"/>
        <w:contextualSpacing w:val="0"/>
        <w:rPr>
          <w:rFonts w:ascii="Times New Roman" w:hAnsi="Times New Roman"/>
        </w:rPr>
      </w:pPr>
      <w:r w:rsidRPr="00731F8E">
        <w:rPr>
          <w:rFonts w:ascii="Times New Roman" w:hAnsi="Times New Roman"/>
        </w:rPr>
        <w:t>The second paragraph of Article 6 has been amended as follows and the phrase "units or" has been added to come after the phrase "electricity storage" in the third paragraph.</w:t>
      </w:r>
    </w:p>
    <w:p w14:paraId="205CDE96" w14:textId="77777777" w:rsidR="004C0A79" w:rsidRPr="00731F8E" w:rsidRDefault="004C0A79" w:rsidP="004C0A79">
      <w:pPr>
        <w:pStyle w:val="GvdeMetni"/>
        <w:spacing w:before="20"/>
        <w:rPr>
          <w:rFonts w:cs="Times New Roman"/>
          <w:i/>
          <w:szCs w:val="22"/>
        </w:rPr>
      </w:pPr>
    </w:p>
    <w:p w14:paraId="25D3D58B" w14:textId="77777777" w:rsidR="004C0A79" w:rsidRPr="00731F8E" w:rsidRDefault="004C0A79" w:rsidP="004C0A79">
      <w:pPr>
        <w:pStyle w:val="GvdeMetni"/>
        <w:spacing w:line="259" w:lineRule="auto"/>
        <w:ind w:left="1556" w:right="135"/>
        <w:rPr>
          <w:rFonts w:cs="Times New Roman"/>
          <w:szCs w:val="22"/>
        </w:rPr>
      </w:pPr>
      <w:r w:rsidRPr="00731F8E">
        <w:rPr>
          <w:rFonts w:cs="Times New Roman"/>
          <w:szCs w:val="22"/>
        </w:rPr>
        <w:t>"(2) 15-minute generation or consumption values of generation, consumption facilities and electricity storage units or facilities, which are balancing units, are shared with the market operator at the latest 2 hours after the relevant time."</w:t>
      </w:r>
    </w:p>
    <w:p w14:paraId="4AB4000D" w14:textId="77777777" w:rsidR="004C0A79" w:rsidRPr="00731F8E" w:rsidRDefault="004C0A79" w:rsidP="004C0A79">
      <w:pPr>
        <w:pStyle w:val="GvdeMetni"/>
        <w:spacing w:before="21"/>
        <w:rPr>
          <w:rFonts w:cs="Times New Roman"/>
          <w:szCs w:val="22"/>
        </w:rPr>
      </w:pPr>
    </w:p>
    <w:p w14:paraId="7672C24B"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6" w:lineRule="auto"/>
        <w:ind w:left="836" w:right="135" w:hanging="361"/>
        <w:contextualSpacing w:val="0"/>
        <w:rPr>
          <w:rFonts w:ascii="Times New Roman" w:hAnsi="Times New Roman"/>
        </w:rPr>
      </w:pPr>
      <w:r w:rsidRPr="00731F8E">
        <w:rPr>
          <w:rFonts w:ascii="Times New Roman" w:hAnsi="Times New Roman"/>
        </w:rPr>
        <w:t>From the annexes of the "Procedures and Principles Regarding Applications for Preliminary License and License Transactions" approved by the Board Decision dated 27.10.2022 and numbered 11331-1 published in the Official Gazette dated 19.11.2022 and numbered 32018 and the Board Decision dated 27/06/2019 and numbered 8674, it has been decided;</w:t>
      </w:r>
    </w:p>
    <w:p w14:paraId="2B94B3B4" w14:textId="77777777" w:rsidR="004C0A79" w:rsidRPr="00731F8E" w:rsidRDefault="004C0A79" w:rsidP="00A86526">
      <w:pPr>
        <w:pStyle w:val="ListeParagraf"/>
        <w:widowControl w:val="0"/>
        <w:numPr>
          <w:ilvl w:val="0"/>
          <w:numId w:val="58"/>
        </w:numPr>
        <w:tabs>
          <w:tab w:val="left" w:pos="1081"/>
          <w:tab w:val="left" w:pos="1109"/>
        </w:tabs>
        <w:autoSpaceDE w:val="0"/>
        <w:autoSpaceDN w:val="0"/>
        <w:spacing w:before="167" w:after="0" w:line="240" w:lineRule="auto"/>
        <w:ind w:right="133" w:hanging="286"/>
        <w:contextualSpacing w:val="0"/>
        <w:rPr>
          <w:rFonts w:ascii="Times New Roman" w:hAnsi="Times New Roman"/>
        </w:rPr>
      </w:pPr>
      <w:r w:rsidRPr="00731F8E">
        <w:rPr>
          <w:rFonts w:ascii="Times New Roman" w:hAnsi="Times New Roman"/>
        </w:rPr>
        <w:t>The Board Decision dated 30/09/2021 and numbered 10441-1, which includes the "List of Information and Documents to be Submitted in the Preliminary License Application (ANNEX-3)", shall be repealed,</w:t>
      </w:r>
    </w:p>
    <w:p w14:paraId="02BECEFF" w14:textId="77777777" w:rsidR="004C0A79" w:rsidRPr="00731F8E" w:rsidRDefault="004C0A79" w:rsidP="004C0A79">
      <w:pPr>
        <w:pStyle w:val="GvdeMetni"/>
        <w:rPr>
          <w:rFonts w:cs="Times New Roman"/>
          <w:i/>
          <w:szCs w:val="22"/>
        </w:rPr>
      </w:pPr>
    </w:p>
    <w:p w14:paraId="6D17AE80" w14:textId="77777777" w:rsidR="004C0A79" w:rsidRPr="00731F8E" w:rsidRDefault="004C0A79" w:rsidP="00A86526">
      <w:pPr>
        <w:pStyle w:val="ListeParagraf"/>
        <w:widowControl w:val="0"/>
        <w:numPr>
          <w:ilvl w:val="0"/>
          <w:numId w:val="58"/>
        </w:numPr>
        <w:tabs>
          <w:tab w:val="left" w:pos="1059"/>
          <w:tab w:val="left" w:pos="1109"/>
        </w:tabs>
        <w:autoSpaceDE w:val="0"/>
        <w:autoSpaceDN w:val="0"/>
        <w:spacing w:after="0" w:line="240" w:lineRule="auto"/>
        <w:ind w:right="133" w:hanging="286"/>
        <w:contextualSpacing w:val="0"/>
        <w:rPr>
          <w:rFonts w:ascii="Times New Roman" w:hAnsi="Times New Roman"/>
        </w:rPr>
      </w:pPr>
      <w:r w:rsidRPr="00731F8E">
        <w:rPr>
          <w:rFonts w:ascii="Times New Roman" w:hAnsi="Times New Roman"/>
        </w:rPr>
        <w:t>The attached "List of Information and Documents to be Submitted in the Preliminary License Application (ANNEX-3)" shall be accepted and sent to the Presidency for publication in the Official Gazette,</w:t>
      </w:r>
    </w:p>
    <w:p w14:paraId="408E689A" w14:textId="77777777" w:rsidR="004C0A79" w:rsidRPr="00731F8E" w:rsidRDefault="004C0A79" w:rsidP="004C0A79">
      <w:pPr>
        <w:rPr>
          <w:rFonts w:ascii="Times New Roman" w:hAnsi="Times New Roman"/>
        </w:rPr>
      </w:pPr>
    </w:p>
    <w:p w14:paraId="324FAF57" w14:textId="77777777" w:rsidR="004C0A79" w:rsidRPr="00731F8E" w:rsidRDefault="004C0A79" w:rsidP="004C0A79">
      <w:pPr>
        <w:pStyle w:val="GvdeMetni"/>
        <w:spacing w:before="42"/>
        <w:rPr>
          <w:rFonts w:cs="Times New Roman"/>
          <w:i/>
          <w:szCs w:val="22"/>
        </w:rPr>
      </w:pPr>
    </w:p>
    <w:p w14:paraId="36067CD0"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after="0" w:line="256" w:lineRule="auto"/>
        <w:ind w:left="836" w:right="133" w:hanging="361"/>
        <w:contextualSpacing w:val="0"/>
        <w:rPr>
          <w:rFonts w:ascii="Times New Roman" w:hAnsi="Times New Roman"/>
        </w:rPr>
      </w:pPr>
      <w:r w:rsidRPr="00731F8E">
        <w:rPr>
          <w:rFonts w:ascii="Times New Roman" w:hAnsi="Times New Roman"/>
        </w:rPr>
        <w:t>With the Board Decision dated 27.10.2022 and numbered 11331-2 published in the Official Gazette dated 19.11.2022 and numbered 32018, from the annexes of the "Procedures and Principles Regarding Applications for Preliminary License and Licensing Procedures", it has been decided;</w:t>
      </w:r>
    </w:p>
    <w:p w14:paraId="31EF1A18" w14:textId="77777777" w:rsidR="004C0A79" w:rsidRPr="00731F8E" w:rsidRDefault="004C0A79" w:rsidP="00A86526">
      <w:pPr>
        <w:pStyle w:val="ListeParagraf"/>
        <w:widowControl w:val="0"/>
        <w:numPr>
          <w:ilvl w:val="0"/>
          <w:numId w:val="57"/>
        </w:numPr>
        <w:tabs>
          <w:tab w:val="left" w:pos="1102"/>
          <w:tab w:val="left" w:pos="1109"/>
        </w:tabs>
        <w:autoSpaceDE w:val="0"/>
        <w:autoSpaceDN w:val="0"/>
        <w:spacing w:before="167" w:after="0" w:line="240" w:lineRule="auto"/>
        <w:ind w:right="135" w:hanging="286"/>
        <w:contextualSpacing w:val="0"/>
        <w:rPr>
          <w:rFonts w:ascii="Times New Roman" w:hAnsi="Times New Roman"/>
        </w:rPr>
      </w:pPr>
      <w:r w:rsidRPr="00731F8E">
        <w:rPr>
          <w:rFonts w:ascii="Times New Roman" w:hAnsi="Times New Roman"/>
        </w:rPr>
        <w:t>The Board Decision dated 30/09/2021 and numbered 10441-2, which includes the "List of Information and Documents to be Submitted in the Preliminary License Application (ANNEX-4)", shall be repealed,</w:t>
      </w:r>
    </w:p>
    <w:p w14:paraId="3CC8DF17" w14:textId="77777777" w:rsidR="004C0A79" w:rsidRPr="00731F8E" w:rsidRDefault="004C0A79" w:rsidP="00A86526">
      <w:pPr>
        <w:pStyle w:val="ListeParagraf"/>
        <w:widowControl w:val="0"/>
        <w:numPr>
          <w:ilvl w:val="0"/>
          <w:numId w:val="57"/>
        </w:numPr>
        <w:tabs>
          <w:tab w:val="left" w:pos="1078"/>
          <w:tab w:val="left" w:pos="1109"/>
        </w:tabs>
        <w:autoSpaceDE w:val="0"/>
        <w:autoSpaceDN w:val="0"/>
        <w:spacing w:before="3" w:after="0" w:line="237" w:lineRule="auto"/>
        <w:ind w:right="135" w:hanging="286"/>
        <w:contextualSpacing w:val="0"/>
        <w:rPr>
          <w:rFonts w:ascii="Times New Roman" w:hAnsi="Times New Roman"/>
        </w:rPr>
      </w:pPr>
      <w:r w:rsidRPr="00731F8E">
        <w:rPr>
          <w:rFonts w:ascii="Times New Roman" w:hAnsi="Times New Roman"/>
        </w:rPr>
        <w:t>The attached "List of Information and Documents to be Submitted in the Preliminary License Application (ANNEX-4)" shall be accepted and sent to the Presidency for publication in the Official Gazette,</w:t>
      </w:r>
    </w:p>
    <w:p w14:paraId="01233D11" w14:textId="77777777" w:rsidR="004C0A79" w:rsidRPr="00731F8E" w:rsidRDefault="004C0A79" w:rsidP="004C0A79">
      <w:pPr>
        <w:spacing w:before="1"/>
        <w:ind w:left="835"/>
        <w:rPr>
          <w:rFonts w:ascii="Times New Roman" w:hAnsi="Times New Roman"/>
        </w:rPr>
      </w:pPr>
    </w:p>
    <w:p w14:paraId="3FEA6222" w14:textId="77777777" w:rsidR="004C0A79" w:rsidRPr="00731F8E" w:rsidRDefault="004C0A79" w:rsidP="004C0A79">
      <w:pPr>
        <w:rPr>
          <w:rFonts w:ascii="Times New Roman" w:hAnsi="Times New Roman"/>
        </w:rPr>
        <w:sectPr w:rsidR="004C0A79" w:rsidRPr="00731F8E">
          <w:pgSz w:w="11910" w:h="16840"/>
          <w:pgMar w:top="1360" w:right="1280" w:bottom="280" w:left="1300" w:header="720" w:footer="720" w:gutter="0"/>
          <w:cols w:space="720"/>
        </w:sectPr>
      </w:pPr>
    </w:p>
    <w:p w14:paraId="1DC38B98" w14:textId="77777777" w:rsidR="004C0A79" w:rsidRPr="00731F8E" w:rsidRDefault="004C0A79" w:rsidP="00A86526">
      <w:pPr>
        <w:pStyle w:val="ListeParagraf"/>
        <w:widowControl w:val="0"/>
        <w:numPr>
          <w:ilvl w:val="3"/>
          <w:numId w:val="67"/>
        </w:numPr>
        <w:tabs>
          <w:tab w:val="left" w:pos="834"/>
          <w:tab w:val="left" w:pos="836"/>
        </w:tabs>
        <w:autoSpaceDE w:val="0"/>
        <w:autoSpaceDN w:val="0"/>
        <w:spacing w:before="77" w:after="0" w:line="256" w:lineRule="auto"/>
        <w:ind w:left="836" w:right="133" w:hanging="361"/>
        <w:contextualSpacing w:val="0"/>
        <w:rPr>
          <w:rFonts w:ascii="Times New Roman" w:hAnsi="Times New Roman"/>
        </w:rPr>
      </w:pPr>
      <w:r w:rsidRPr="00731F8E">
        <w:rPr>
          <w:rFonts w:ascii="Times New Roman" w:hAnsi="Times New Roman"/>
        </w:rPr>
        <w:lastRenderedPageBreak/>
        <w:t>From the annexes of the "Procedures and Principles Regarding Applications for Preliminary License and License Transactions" approved by the Board Decision dated 27.10.2022 and numbered 11332 published in the Official Gazette dated 19.11.2022 and numbered 32018 and the Board Decision dated 27/06/2019 and numbered 8674, it has been decided;</w:t>
      </w:r>
    </w:p>
    <w:p w14:paraId="71CF11F8" w14:textId="77777777" w:rsidR="004C0A79" w:rsidRPr="00731F8E" w:rsidRDefault="004C0A79" w:rsidP="00A86526">
      <w:pPr>
        <w:pStyle w:val="ListeParagraf"/>
        <w:widowControl w:val="0"/>
        <w:numPr>
          <w:ilvl w:val="0"/>
          <w:numId w:val="56"/>
        </w:numPr>
        <w:tabs>
          <w:tab w:val="left" w:pos="1109"/>
          <w:tab w:val="left" w:pos="1124"/>
        </w:tabs>
        <w:autoSpaceDE w:val="0"/>
        <w:autoSpaceDN w:val="0"/>
        <w:spacing w:before="167" w:after="0" w:line="240" w:lineRule="auto"/>
        <w:ind w:right="134" w:hanging="286"/>
        <w:contextualSpacing w:val="0"/>
        <w:rPr>
          <w:rFonts w:ascii="Times New Roman" w:hAnsi="Times New Roman"/>
        </w:rPr>
      </w:pPr>
      <w:r w:rsidRPr="00731F8E">
        <w:rPr>
          <w:rFonts w:ascii="Times New Roman" w:hAnsi="Times New Roman"/>
        </w:rPr>
        <w:t>To repeal the Board Decision dated 30/09/2021 and numbered 10441-3, which includes the</w:t>
      </w:r>
      <w:r w:rsidRPr="00731F8E">
        <w:rPr>
          <w:rFonts w:ascii="Times New Roman" w:hAnsi="Times New Roman"/>
          <w:b/>
        </w:rPr>
        <w:tab/>
      </w:r>
      <w:r w:rsidRPr="00731F8E">
        <w:rPr>
          <w:rFonts w:ascii="Times New Roman" w:hAnsi="Times New Roman"/>
        </w:rPr>
        <w:t>"List of Information and Documents to be Submitted in Preliminary License and License Amendment Applications and Merger, Division, Facility/Project Transfer Approval Applications (ANNEX-5)",</w:t>
      </w:r>
    </w:p>
    <w:p w14:paraId="2FF14970" w14:textId="77777777" w:rsidR="004C0A79" w:rsidRPr="00731F8E" w:rsidRDefault="004C0A79" w:rsidP="004C0A79">
      <w:pPr>
        <w:pStyle w:val="GvdeMetni"/>
        <w:rPr>
          <w:rFonts w:cs="Times New Roman"/>
          <w:i/>
          <w:szCs w:val="22"/>
        </w:rPr>
      </w:pPr>
    </w:p>
    <w:p w14:paraId="569B085B" w14:textId="77777777" w:rsidR="004C0A79" w:rsidRPr="00731F8E" w:rsidRDefault="004C0A79" w:rsidP="00A86526">
      <w:pPr>
        <w:pStyle w:val="ListeParagraf"/>
        <w:widowControl w:val="0"/>
        <w:numPr>
          <w:ilvl w:val="0"/>
          <w:numId w:val="56"/>
        </w:numPr>
        <w:tabs>
          <w:tab w:val="left" w:pos="1088"/>
          <w:tab w:val="left" w:pos="1109"/>
        </w:tabs>
        <w:autoSpaceDE w:val="0"/>
        <w:autoSpaceDN w:val="0"/>
        <w:spacing w:after="0" w:line="240" w:lineRule="auto"/>
        <w:ind w:right="135" w:hanging="286"/>
        <w:contextualSpacing w:val="0"/>
        <w:rPr>
          <w:rFonts w:ascii="Times New Roman" w:hAnsi="Times New Roman"/>
        </w:rPr>
      </w:pPr>
      <w:r w:rsidRPr="00731F8E">
        <w:rPr>
          <w:rFonts w:ascii="Times New Roman" w:hAnsi="Times New Roman"/>
        </w:rPr>
        <w:t>The attached "List of Information and Documents to be Submitted in Preliminary License and License Amendment Applications and Merger, Division, Facility/Project Transfer Approval Applications and Notifications (ANNEX-5)" shall be accepted and sent to the Presidency for publication in the Official Gazette,</w:t>
      </w:r>
    </w:p>
    <w:p w14:paraId="149C6D84" w14:textId="77777777" w:rsidR="004C0A79" w:rsidRPr="00731F8E" w:rsidRDefault="004C0A79" w:rsidP="004C0A79">
      <w:pPr>
        <w:ind w:left="835"/>
        <w:rPr>
          <w:rFonts w:ascii="Times New Roman" w:hAnsi="Times New Roman"/>
        </w:rPr>
      </w:pPr>
    </w:p>
    <w:p w14:paraId="50222E5A" w14:textId="77777777" w:rsidR="004C0A79" w:rsidRPr="00731F8E" w:rsidRDefault="004C0A79" w:rsidP="004C0A79">
      <w:pPr>
        <w:pStyle w:val="GvdeMetni"/>
        <w:spacing w:before="42"/>
        <w:rPr>
          <w:rFonts w:cs="Times New Roman"/>
          <w:i/>
          <w:szCs w:val="22"/>
        </w:rPr>
      </w:pPr>
    </w:p>
    <w:p w14:paraId="4A5924E3" w14:textId="77777777" w:rsidR="004C0A79" w:rsidRPr="00731F8E" w:rsidRDefault="004C0A79" w:rsidP="00A86526">
      <w:pPr>
        <w:pStyle w:val="ListeParagraf"/>
        <w:widowControl w:val="0"/>
        <w:numPr>
          <w:ilvl w:val="3"/>
          <w:numId w:val="67"/>
        </w:numPr>
        <w:tabs>
          <w:tab w:val="left" w:pos="835"/>
        </w:tabs>
        <w:autoSpaceDE w:val="0"/>
        <w:autoSpaceDN w:val="0"/>
        <w:spacing w:after="0" w:line="256" w:lineRule="auto"/>
        <w:ind w:left="835" w:right="134" w:hanging="360"/>
        <w:contextualSpacing w:val="0"/>
        <w:rPr>
          <w:rFonts w:ascii="Times New Roman" w:hAnsi="Times New Roman"/>
        </w:rPr>
      </w:pPr>
      <w:r w:rsidRPr="00731F8E">
        <w:rPr>
          <w:rFonts w:ascii="Times New Roman" w:hAnsi="Times New Roman"/>
        </w:rPr>
        <w:t>With the Board Decision dated 27.10.2022 and numbered 11329-1 published in the Official Gazette dated 19.11.2022 and numbered 32018; it has been decided to repeal the Board Decision dated 17/03/2022 and numbered 10847-2.</w:t>
      </w:r>
    </w:p>
    <w:p w14:paraId="58E8EB69" w14:textId="77777777" w:rsidR="004C0A79" w:rsidRPr="00731F8E" w:rsidRDefault="004C0A79" w:rsidP="00A86526">
      <w:pPr>
        <w:pStyle w:val="ListeParagraf"/>
        <w:widowControl w:val="0"/>
        <w:numPr>
          <w:ilvl w:val="3"/>
          <w:numId w:val="67"/>
        </w:numPr>
        <w:tabs>
          <w:tab w:val="left" w:pos="835"/>
        </w:tabs>
        <w:autoSpaceDE w:val="0"/>
        <w:autoSpaceDN w:val="0"/>
        <w:spacing w:before="168" w:after="0" w:line="256" w:lineRule="auto"/>
        <w:ind w:left="835" w:right="132" w:hanging="360"/>
        <w:contextualSpacing w:val="0"/>
        <w:rPr>
          <w:rFonts w:ascii="Times New Roman" w:hAnsi="Times New Roman"/>
        </w:rPr>
      </w:pPr>
      <w:r w:rsidRPr="00731F8E">
        <w:rPr>
          <w:rFonts w:ascii="Times New Roman" w:hAnsi="Times New Roman"/>
        </w:rPr>
        <w:t>With the Board Decision dated 27.10.2022 and numbered 11329-2 published in the Official Gazette dated 19.11.2022 and numbered 32018; Within the framework of the first paragraph of Article 9 and clause (a) of the third paragraph of Article 23 of the Electricity Market License Regulation, "Preliminary License Periods and Construction Periods to be Referenced in Determining the Facility Completion Date" have been accepted.</w:t>
      </w:r>
    </w:p>
    <w:p w14:paraId="7A9BF7E7" w14:textId="77777777" w:rsidR="004C0A79" w:rsidRPr="00731F8E" w:rsidRDefault="004C0A79" w:rsidP="00A86526">
      <w:pPr>
        <w:pStyle w:val="ListeParagraf"/>
        <w:widowControl w:val="0"/>
        <w:numPr>
          <w:ilvl w:val="3"/>
          <w:numId w:val="67"/>
        </w:numPr>
        <w:tabs>
          <w:tab w:val="left" w:pos="833"/>
          <w:tab w:val="left" w:pos="835"/>
        </w:tabs>
        <w:autoSpaceDE w:val="0"/>
        <w:autoSpaceDN w:val="0"/>
        <w:spacing w:before="168" w:after="0" w:line="259" w:lineRule="auto"/>
        <w:ind w:left="835" w:right="134" w:hanging="361"/>
        <w:contextualSpacing w:val="0"/>
        <w:rPr>
          <w:rFonts w:ascii="Times New Roman" w:hAnsi="Times New Roman"/>
        </w:rPr>
      </w:pPr>
      <w:r w:rsidRPr="00731F8E">
        <w:rPr>
          <w:rFonts w:ascii="Times New Roman" w:hAnsi="Times New Roman"/>
        </w:rPr>
        <w:t>With the Board Decision dated 27.10.2022 and numbered 11328 published in the Official Gazette dated 19.11.2022 and numbered 32018, it has been decided;</w:t>
      </w:r>
    </w:p>
    <w:p w14:paraId="4C82542D" w14:textId="77777777" w:rsidR="004C0A79" w:rsidRPr="00731F8E" w:rsidRDefault="004C0A79" w:rsidP="00A86526">
      <w:pPr>
        <w:pStyle w:val="ListeParagraf"/>
        <w:widowControl w:val="0"/>
        <w:numPr>
          <w:ilvl w:val="0"/>
          <w:numId w:val="55"/>
        </w:numPr>
        <w:tabs>
          <w:tab w:val="left" w:pos="1246"/>
          <w:tab w:val="left" w:pos="1248"/>
        </w:tabs>
        <w:autoSpaceDE w:val="0"/>
        <w:autoSpaceDN w:val="0"/>
        <w:spacing w:after="0" w:line="259" w:lineRule="auto"/>
        <w:ind w:right="135"/>
        <w:contextualSpacing w:val="0"/>
        <w:rPr>
          <w:rFonts w:ascii="Times New Roman" w:hAnsi="Times New Roman"/>
        </w:rPr>
      </w:pPr>
      <w:r w:rsidRPr="00731F8E">
        <w:rPr>
          <w:rFonts w:ascii="Times New Roman" w:hAnsi="Times New Roman"/>
        </w:rPr>
        <w:t>The following amounts shall be taken as the basis as the total unit investment amounts on a resource basis in determining the guarantee amounts to be submitted to the Authority by calculating the capital obligation to be provided in preliminary license and generation license applications made for generation activity in the electricity market,</w:t>
      </w:r>
    </w:p>
    <w:p w14:paraId="3EE4148B" w14:textId="77777777" w:rsidR="004C0A79" w:rsidRPr="00731F8E" w:rsidRDefault="004C0A79" w:rsidP="004C0A79">
      <w:pPr>
        <w:pStyle w:val="Balk1"/>
        <w:spacing w:before="157" w:line="453" w:lineRule="auto"/>
        <w:ind w:left="1346" w:right="1515" w:firstLine="185"/>
        <w:rPr>
          <w:rFonts w:ascii="Times New Roman" w:hAnsi="Times New Roman" w:cs="Times New Roman"/>
          <w:szCs w:val="22"/>
        </w:rPr>
      </w:pPr>
      <w:r w:rsidRPr="00731F8E">
        <w:rPr>
          <w:rFonts w:ascii="Times New Roman" w:hAnsi="Times New Roman" w:cs="Times New Roman"/>
          <w:noProof/>
          <w:szCs w:val="22"/>
        </w:rPr>
        <mc:AlternateContent>
          <mc:Choice Requires="wps">
            <w:drawing>
              <wp:anchor distT="0" distB="0" distL="0" distR="0" simplePos="0" relativeHeight="251662336" behindDoc="0" locked="0" layoutInCell="1" allowOverlap="1" wp14:anchorId="4E4A503C" wp14:editId="13F4FC05">
                <wp:simplePos x="0" y="0"/>
                <wp:positionH relativeFrom="page">
                  <wp:posOffset>1680972</wp:posOffset>
                </wp:positionH>
                <wp:positionV relativeFrom="paragraph">
                  <wp:posOffset>595326</wp:posOffset>
                </wp:positionV>
                <wp:extent cx="3842385" cy="248792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2385" cy="2487929"/>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31"/>
                              <w:gridCol w:w="2880"/>
                            </w:tblGrid>
                            <w:tr w:rsidR="004C0A79" w14:paraId="50F739ED" w14:textId="77777777">
                              <w:trPr>
                                <w:trHeight w:val="652"/>
                              </w:trPr>
                              <w:tc>
                                <w:tcPr>
                                  <w:tcW w:w="3031" w:type="dxa"/>
                                  <w:shd w:val="clear" w:color="auto" w:fill="C0C0C0"/>
                                </w:tcPr>
                                <w:p w14:paraId="3C7607FC" w14:textId="77777777" w:rsidR="004C0A79" w:rsidRDefault="004C0A79">
                                  <w:pPr>
                                    <w:pStyle w:val="P68B1DB1-TableParagraph3"/>
                                    <w:spacing w:before="198"/>
                                    <w:ind w:left="947"/>
                                    <w:jc w:val="left"/>
                                  </w:pPr>
                                  <w:r>
                                    <w:t xml:space="preserve">Source Type </w:t>
                                  </w:r>
                                </w:p>
                              </w:tc>
                              <w:tc>
                                <w:tcPr>
                                  <w:tcW w:w="2880" w:type="dxa"/>
                                  <w:shd w:val="clear" w:color="auto" w:fill="C0C0C0"/>
                                </w:tcPr>
                                <w:p w14:paraId="171D0FE3" w14:textId="77777777" w:rsidR="004C0A79" w:rsidRDefault="004C0A79">
                                  <w:pPr>
                                    <w:pStyle w:val="P68B1DB1-TableParagraph3"/>
                                    <w:spacing w:before="63"/>
                                    <w:ind w:left="940" w:hanging="766"/>
                                    <w:jc w:val="left"/>
                                  </w:pPr>
                                  <w:r>
                                    <w:t>Total Unit Investment Amount (TL/MWm)</w:t>
                                  </w:r>
                                </w:p>
                              </w:tc>
                            </w:tr>
                            <w:tr w:rsidR="004C0A79" w14:paraId="48CF02DC" w14:textId="77777777">
                              <w:trPr>
                                <w:trHeight w:val="267"/>
                              </w:trPr>
                              <w:tc>
                                <w:tcPr>
                                  <w:tcW w:w="3031" w:type="dxa"/>
                                </w:tcPr>
                                <w:p w14:paraId="3776175C" w14:textId="77777777" w:rsidR="004C0A79" w:rsidRDefault="004C0A79">
                                  <w:pPr>
                                    <w:pStyle w:val="TableParagraph"/>
                                    <w:spacing w:line="248" w:lineRule="exact"/>
                                    <w:ind w:left="16"/>
                                  </w:pPr>
                                  <w:r>
                                    <w:t>Coal</w:t>
                                  </w:r>
                                </w:p>
                              </w:tc>
                              <w:tc>
                                <w:tcPr>
                                  <w:tcW w:w="2880" w:type="dxa"/>
                                </w:tcPr>
                                <w:p w14:paraId="486AEB3B" w14:textId="77777777" w:rsidR="004C0A79" w:rsidRDefault="004C0A79">
                                  <w:pPr>
                                    <w:pStyle w:val="TableParagraph"/>
                                    <w:spacing w:line="248" w:lineRule="exact"/>
                                    <w:ind w:left="26"/>
                                  </w:pPr>
                                  <w:r>
                                    <w:t>9.300.000</w:t>
                                  </w:r>
                                </w:p>
                              </w:tc>
                            </w:tr>
                            <w:tr w:rsidR="004C0A79" w14:paraId="6A4528AB" w14:textId="77777777">
                              <w:trPr>
                                <w:trHeight w:val="267"/>
                              </w:trPr>
                              <w:tc>
                                <w:tcPr>
                                  <w:tcW w:w="3031" w:type="dxa"/>
                                </w:tcPr>
                                <w:p w14:paraId="48AD9640" w14:textId="77777777" w:rsidR="004C0A79" w:rsidRDefault="004C0A79">
                                  <w:pPr>
                                    <w:pStyle w:val="TableParagraph"/>
                                    <w:spacing w:line="248" w:lineRule="exact"/>
                                    <w:ind w:left="16"/>
                                  </w:pPr>
                                  <w:r>
                                    <w:t>Natural gas / LPG</w:t>
                                  </w:r>
                                </w:p>
                              </w:tc>
                              <w:tc>
                                <w:tcPr>
                                  <w:tcW w:w="2880" w:type="dxa"/>
                                </w:tcPr>
                                <w:p w14:paraId="4669F768" w14:textId="77777777" w:rsidR="004C0A79" w:rsidRDefault="004C0A79">
                                  <w:pPr>
                                    <w:pStyle w:val="TableParagraph"/>
                                    <w:spacing w:line="248" w:lineRule="exact"/>
                                    <w:ind w:left="26"/>
                                  </w:pPr>
                                  <w:r>
                                    <w:t>4,600,000</w:t>
                                  </w:r>
                                </w:p>
                              </w:tc>
                            </w:tr>
                            <w:tr w:rsidR="004C0A79" w14:paraId="32202383" w14:textId="77777777">
                              <w:trPr>
                                <w:trHeight w:val="284"/>
                              </w:trPr>
                              <w:tc>
                                <w:tcPr>
                                  <w:tcW w:w="3031" w:type="dxa"/>
                                </w:tcPr>
                                <w:p w14:paraId="7A362ACB" w14:textId="77777777" w:rsidR="004C0A79" w:rsidRDefault="004C0A79">
                                  <w:pPr>
                                    <w:pStyle w:val="TableParagraph"/>
                                    <w:spacing w:before="15" w:line="249" w:lineRule="exact"/>
                                    <w:ind w:left="16"/>
                                  </w:pPr>
                                  <w:r>
                                    <w:t>Fuel Oil / Naphtha</w:t>
                                  </w:r>
                                </w:p>
                              </w:tc>
                              <w:tc>
                                <w:tcPr>
                                  <w:tcW w:w="2880" w:type="dxa"/>
                                </w:tcPr>
                                <w:p w14:paraId="0B14A58F" w14:textId="77777777" w:rsidR="004C0A79" w:rsidRDefault="004C0A79">
                                  <w:pPr>
                                    <w:pStyle w:val="TableParagraph"/>
                                    <w:spacing w:before="15" w:line="249" w:lineRule="exact"/>
                                    <w:ind w:left="26"/>
                                  </w:pPr>
                                  <w:r>
                                    <w:t>4,600,000</w:t>
                                  </w:r>
                                </w:p>
                              </w:tc>
                            </w:tr>
                            <w:tr w:rsidR="004C0A79" w14:paraId="1B012DF6" w14:textId="77777777">
                              <w:trPr>
                                <w:trHeight w:val="268"/>
                              </w:trPr>
                              <w:tc>
                                <w:tcPr>
                                  <w:tcW w:w="3031" w:type="dxa"/>
                                </w:tcPr>
                                <w:p w14:paraId="15FF13C9" w14:textId="77777777" w:rsidR="004C0A79" w:rsidRDefault="004C0A79">
                                  <w:pPr>
                                    <w:pStyle w:val="TableParagraph"/>
                                    <w:spacing w:line="248" w:lineRule="exact"/>
                                    <w:ind w:left="16"/>
                                  </w:pPr>
                                  <w:r>
                                    <w:t>Hydraulic</w:t>
                                  </w:r>
                                </w:p>
                              </w:tc>
                              <w:tc>
                                <w:tcPr>
                                  <w:tcW w:w="2880" w:type="dxa"/>
                                </w:tcPr>
                                <w:p w14:paraId="75A6CC86" w14:textId="77777777" w:rsidR="004C0A79" w:rsidRDefault="004C0A79">
                                  <w:pPr>
                                    <w:pStyle w:val="TableParagraph"/>
                                    <w:spacing w:line="248" w:lineRule="exact"/>
                                    <w:ind w:left="26"/>
                                  </w:pPr>
                                  <w:r>
                                    <w:t>9.300.000</w:t>
                                  </w:r>
                                </w:p>
                              </w:tc>
                            </w:tr>
                            <w:tr w:rsidR="004C0A79" w14:paraId="2D09881C" w14:textId="77777777">
                              <w:trPr>
                                <w:trHeight w:val="282"/>
                              </w:trPr>
                              <w:tc>
                                <w:tcPr>
                                  <w:tcW w:w="3031" w:type="dxa"/>
                                </w:tcPr>
                                <w:p w14:paraId="174D04D2" w14:textId="77777777" w:rsidR="004C0A79" w:rsidRDefault="004C0A79">
                                  <w:pPr>
                                    <w:pStyle w:val="TableParagraph"/>
                                    <w:spacing w:before="13" w:line="249" w:lineRule="exact"/>
                                    <w:ind w:left="16"/>
                                  </w:pPr>
                                  <w:r>
                                    <w:t>Wind</w:t>
                                  </w:r>
                                </w:p>
                              </w:tc>
                              <w:tc>
                                <w:tcPr>
                                  <w:tcW w:w="2880" w:type="dxa"/>
                                </w:tcPr>
                                <w:p w14:paraId="00BEA696" w14:textId="77777777" w:rsidR="004C0A79" w:rsidRDefault="004C0A79">
                                  <w:pPr>
                                    <w:pStyle w:val="TableParagraph"/>
                                    <w:spacing w:before="13" w:line="249" w:lineRule="exact"/>
                                    <w:ind w:left="26"/>
                                  </w:pPr>
                                  <w:r>
                                    <w:t>9.300.000</w:t>
                                  </w:r>
                                </w:p>
                              </w:tc>
                            </w:tr>
                            <w:tr w:rsidR="004C0A79" w14:paraId="05A2647B" w14:textId="77777777">
                              <w:trPr>
                                <w:trHeight w:val="268"/>
                              </w:trPr>
                              <w:tc>
                                <w:tcPr>
                                  <w:tcW w:w="3031" w:type="dxa"/>
                                </w:tcPr>
                                <w:p w14:paraId="61B755D0" w14:textId="77777777" w:rsidR="004C0A79" w:rsidRDefault="004C0A79">
                                  <w:pPr>
                                    <w:pStyle w:val="TableParagraph"/>
                                    <w:spacing w:line="248" w:lineRule="exact"/>
                                    <w:ind w:left="16"/>
                                  </w:pPr>
                                  <w:r>
                                    <w:t>Geothermal</w:t>
                                  </w:r>
                                </w:p>
                              </w:tc>
                              <w:tc>
                                <w:tcPr>
                                  <w:tcW w:w="2880" w:type="dxa"/>
                                </w:tcPr>
                                <w:p w14:paraId="51640861" w14:textId="77777777" w:rsidR="004C0A79" w:rsidRDefault="004C0A79">
                                  <w:pPr>
                                    <w:pStyle w:val="TableParagraph"/>
                                    <w:spacing w:line="248" w:lineRule="exact"/>
                                    <w:ind w:left="26" w:right="1"/>
                                  </w:pPr>
                                  <w:r>
                                    <w:t>13.000.000</w:t>
                                  </w:r>
                                </w:p>
                              </w:tc>
                            </w:tr>
                            <w:tr w:rsidR="004C0A79" w14:paraId="6C8A87BA" w14:textId="77777777">
                              <w:trPr>
                                <w:trHeight w:val="270"/>
                              </w:trPr>
                              <w:tc>
                                <w:tcPr>
                                  <w:tcW w:w="3031" w:type="dxa"/>
                                </w:tcPr>
                                <w:p w14:paraId="41F58419" w14:textId="77777777" w:rsidR="004C0A79" w:rsidRDefault="004C0A79">
                                  <w:pPr>
                                    <w:pStyle w:val="TableParagraph"/>
                                    <w:spacing w:before="1" w:line="249" w:lineRule="exact"/>
                                    <w:ind w:left="16"/>
                                  </w:pPr>
                                  <w:r>
                                    <w:t>Biomass</w:t>
                                  </w:r>
                                </w:p>
                              </w:tc>
                              <w:tc>
                                <w:tcPr>
                                  <w:tcW w:w="2880" w:type="dxa"/>
                                </w:tcPr>
                                <w:p w14:paraId="02D97C84" w14:textId="77777777" w:rsidR="004C0A79" w:rsidRDefault="004C0A79">
                                  <w:pPr>
                                    <w:pStyle w:val="TableParagraph"/>
                                    <w:spacing w:before="1" w:line="249" w:lineRule="exact"/>
                                    <w:ind w:left="26" w:right="1"/>
                                  </w:pPr>
                                  <w:r>
                                    <w:t>12.500.000</w:t>
                                  </w:r>
                                </w:p>
                              </w:tc>
                            </w:tr>
                            <w:tr w:rsidR="004C0A79" w14:paraId="070069BB" w14:textId="77777777">
                              <w:trPr>
                                <w:trHeight w:val="282"/>
                              </w:trPr>
                              <w:tc>
                                <w:tcPr>
                                  <w:tcW w:w="3031" w:type="dxa"/>
                                </w:tcPr>
                                <w:p w14:paraId="1985D81F" w14:textId="77777777" w:rsidR="004C0A79" w:rsidRDefault="004C0A79">
                                  <w:pPr>
                                    <w:pStyle w:val="TableParagraph"/>
                                    <w:spacing w:before="13" w:line="249" w:lineRule="exact"/>
                                    <w:ind w:left="16"/>
                                  </w:pPr>
                                  <w:r>
                                    <w:t>Solar</w:t>
                                  </w:r>
                                </w:p>
                              </w:tc>
                              <w:tc>
                                <w:tcPr>
                                  <w:tcW w:w="2880" w:type="dxa"/>
                                </w:tcPr>
                                <w:p w14:paraId="3EC0D6E2" w14:textId="77777777" w:rsidR="004C0A79" w:rsidRDefault="004C0A79">
                                  <w:pPr>
                                    <w:pStyle w:val="TableParagraph"/>
                                    <w:spacing w:before="13" w:line="249" w:lineRule="exact"/>
                                    <w:ind w:left="26"/>
                                  </w:pPr>
                                  <w:r>
                                    <w:t>6.500.000</w:t>
                                  </w:r>
                                </w:p>
                              </w:tc>
                            </w:tr>
                            <w:tr w:rsidR="004C0A79" w14:paraId="3D5FC042" w14:textId="77777777">
                              <w:trPr>
                                <w:trHeight w:val="267"/>
                              </w:trPr>
                              <w:tc>
                                <w:tcPr>
                                  <w:tcW w:w="3031" w:type="dxa"/>
                                </w:tcPr>
                                <w:p w14:paraId="35E4E54E" w14:textId="77777777" w:rsidR="004C0A79" w:rsidRDefault="004C0A79">
                                  <w:pPr>
                                    <w:pStyle w:val="TableParagraph"/>
                                    <w:spacing w:line="248" w:lineRule="exact"/>
                                    <w:ind w:left="16"/>
                                  </w:pPr>
                                  <w:r>
                                    <w:t>Nuclear</w:t>
                                  </w:r>
                                </w:p>
                              </w:tc>
                              <w:tc>
                                <w:tcPr>
                                  <w:tcW w:w="2880" w:type="dxa"/>
                                </w:tcPr>
                                <w:p w14:paraId="293DA7EC" w14:textId="77777777" w:rsidR="004C0A79" w:rsidRDefault="004C0A79">
                                  <w:pPr>
                                    <w:pStyle w:val="TableParagraph"/>
                                    <w:spacing w:line="248" w:lineRule="exact"/>
                                    <w:ind w:left="26" w:right="1"/>
                                  </w:pPr>
                                  <w:r>
                                    <w:t>32.500.000</w:t>
                                  </w:r>
                                </w:p>
                              </w:tc>
                            </w:tr>
                            <w:tr w:rsidR="004C0A79" w14:paraId="2EB1039B" w14:textId="77777777">
                              <w:trPr>
                                <w:trHeight w:val="284"/>
                              </w:trPr>
                              <w:tc>
                                <w:tcPr>
                                  <w:tcW w:w="3031" w:type="dxa"/>
                                </w:tcPr>
                                <w:p w14:paraId="1D5F6E4F" w14:textId="77777777" w:rsidR="004C0A79" w:rsidRDefault="004C0A79">
                                  <w:pPr>
                                    <w:pStyle w:val="TableParagraph"/>
                                    <w:spacing w:before="15" w:line="249" w:lineRule="exact"/>
                                    <w:ind w:left="16"/>
                                  </w:pPr>
                                  <w:r>
                                    <w:t>Process Waste Heat(*)</w:t>
                                  </w:r>
                                </w:p>
                              </w:tc>
                              <w:tc>
                                <w:tcPr>
                                  <w:tcW w:w="2880" w:type="dxa"/>
                                </w:tcPr>
                                <w:p w14:paraId="7117875E" w14:textId="77777777" w:rsidR="004C0A79" w:rsidRDefault="004C0A79">
                                  <w:pPr>
                                    <w:pStyle w:val="TableParagraph"/>
                                    <w:spacing w:before="15" w:line="249" w:lineRule="exact"/>
                                    <w:ind w:left="26"/>
                                  </w:pPr>
                                  <w:r>
                                    <w:t>4,600,000</w:t>
                                  </w:r>
                                </w:p>
                              </w:tc>
                            </w:tr>
                            <w:tr w:rsidR="004C0A79" w14:paraId="1613A5A5" w14:textId="77777777">
                              <w:trPr>
                                <w:trHeight w:val="267"/>
                              </w:trPr>
                              <w:tc>
                                <w:tcPr>
                                  <w:tcW w:w="3031" w:type="dxa"/>
                                </w:tcPr>
                                <w:p w14:paraId="57E41EDC" w14:textId="77777777" w:rsidR="004C0A79" w:rsidRDefault="004C0A79">
                                  <w:pPr>
                                    <w:pStyle w:val="TableParagraph"/>
                                    <w:spacing w:line="248" w:lineRule="exact"/>
                                    <w:ind w:left="16"/>
                                  </w:pPr>
                                  <w:r>
                                    <w:t>Others</w:t>
                                  </w:r>
                                </w:p>
                              </w:tc>
                              <w:tc>
                                <w:tcPr>
                                  <w:tcW w:w="2880" w:type="dxa"/>
                                </w:tcPr>
                                <w:p w14:paraId="6580B7AF" w14:textId="77777777" w:rsidR="004C0A79" w:rsidRDefault="004C0A79">
                                  <w:pPr>
                                    <w:pStyle w:val="TableParagraph"/>
                                    <w:spacing w:line="248" w:lineRule="exact"/>
                                    <w:ind w:left="26"/>
                                  </w:pPr>
                                  <w:r>
                                    <w:t>6.500.000</w:t>
                                  </w:r>
                                </w:p>
                              </w:tc>
                            </w:tr>
                          </w:tbl>
                          <w:p w14:paraId="0AC66218" w14:textId="77777777" w:rsidR="004C0A79" w:rsidRDefault="004C0A79" w:rsidP="004C0A79">
                            <w:pPr>
                              <w:pStyle w:val="GvdeMetni"/>
                            </w:pPr>
                          </w:p>
                        </w:txbxContent>
                      </wps:txbx>
                      <wps:bodyPr wrap="square" lIns="0" tIns="0" rIns="0" bIns="0" rtlCol="0">
                        <a:noAutofit/>
                      </wps:bodyPr>
                    </wps:wsp>
                  </a:graphicData>
                </a:graphic>
              </wp:anchor>
            </w:drawing>
          </mc:Choice>
          <mc:Fallback>
            <w:pict>
              <v:shapetype w14:anchorId="4E4A503C" id="_x0000_t202" coordsize="21600,21600" o:spt="202" path="m,l,21600r21600,l21600,xe">
                <v:stroke joinstyle="miter"/>
                <v:path gradientshapeok="t" o:connecttype="rect"/>
              </v:shapetype>
              <v:shape id="Textbox 3" o:spid="_x0000_s1026" type="#_x0000_t202" style="position:absolute;left:0;text-align:left;margin-left:132.35pt;margin-top:46.9pt;width:302.55pt;height:195.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" filled="f" stroked="f">
                <v:path arrowok="t"/>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31"/>
                        <w:gridCol w:w="2880"/>
                      </w:tblGrid>
                      <w:tr w:rsidR="004C0A79" w14:paraId="50F739ED" w14:textId="77777777">
                        <w:trPr>
                          <w:trHeight w:val="652"/>
                        </w:trPr>
                        <w:tc>
                          <w:tcPr>
                            <w:tcW w:w="3031" w:type="dxa"/>
                            <w:shd w:val="clear" w:color="auto" w:fill="C0C0C0"/>
                          </w:tcPr>
                          <w:p w14:paraId="3C7607FC" w14:textId="77777777" w:rsidR="004C0A79" w:rsidRDefault="004C0A79">
                            <w:pPr>
                              <w:pStyle w:val="P68B1DB1-TableParagraph3"/>
                              <w:spacing w:before="198"/>
                              <w:ind w:left="947"/>
                              <w:jc w:val="left"/>
                            </w:pPr>
                            <w:r>
                              <w:t xml:space="preserve">Source Type </w:t>
                            </w:r>
                          </w:p>
                        </w:tc>
                        <w:tc>
                          <w:tcPr>
                            <w:tcW w:w="2880" w:type="dxa"/>
                            <w:shd w:val="clear" w:color="auto" w:fill="C0C0C0"/>
                          </w:tcPr>
                          <w:p w14:paraId="171D0FE3" w14:textId="77777777" w:rsidR="004C0A79" w:rsidRDefault="004C0A79">
                            <w:pPr>
                              <w:pStyle w:val="P68B1DB1-TableParagraph3"/>
                              <w:spacing w:before="63"/>
                              <w:ind w:left="940" w:hanging="766"/>
                              <w:jc w:val="left"/>
                            </w:pPr>
                            <w:r>
                              <w:t>Total Unit Investment Amount (TL/MWm)</w:t>
                            </w:r>
                          </w:p>
                        </w:tc>
                      </w:tr>
                      <w:tr w:rsidR="004C0A79" w14:paraId="48CF02DC" w14:textId="77777777">
                        <w:trPr>
                          <w:trHeight w:val="267"/>
                        </w:trPr>
                        <w:tc>
                          <w:tcPr>
                            <w:tcW w:w="3031" w:type="dxa"/>
                          </w:tcPr>
                          <w:p w14:paraId="3776175C" w14:textId="77777777" w:rsidR="004C0A79" w:rsidRDefault="004C0A79">
                            <w:pPr>
                              <w:pStyle w:val="TableParagraph"/>
                              <w:spacing w:line="248" w:lineRule="exact"/>
                              <w:ind w:left="16"/>
                            </w:pPr>
                            <w:r>
                              <w:t>Coal</w:t>
                            </w:r>
                          </w:p>
                        </w:tc>
                        <w:tc>
                          <w:tcPr>
                            <w:tcW w:w="2880" w:type="dxa"/>
                          </w:tcPr>
                          <w:p w14:paraId="486AEB3B" w14:textId="77777777" w:rsidR="004C0A79" w:rsidRDefault="004C0A79">
                            <w:pPr>
                              <w:pStyle w:val="TableParagraph"/>
                              <w:spacing w:line="248" w:lineRule="exact"/>
                              <w:ind w:left="26"/>
                            </w:pPr>
                            <w:r>
                              <w:t>9.300.000</w:t>
                            </w:r>
                          </w:p>
                        </w:tc>
                      </w:tr>
                      <w:tr w:rsidR="004C0A79" w14:paraId="6A4528AB" w14:textId="77777777">
                        <w:trPr>
                          <w:trHeight w:val="267"/>
                        </w:trPr>
                        <w:tc>
                          <w:tcPr>
                            <w:tcW w:w="3031" w:type="dxa"/>
                          </w:tcPr>
                          <w:p w14:paraId="48AD9640" w14:textId="77777777" w:rsidR="004C0A79" w:rsidRDefault="004C0A79">
                            <w:pPr>
                              <w:pStyle w:val="TableParagraph"/>
                              <w:spacing w:line="248" w:lineRule="exact"/>
                              <w:ind w:left="16"/>
                            </w:pPr>
                            <w:r>
                              <w:t>Natural gas / LPG</w:t>
                            </w:r>
                          </w:p>
                        </w:tc>
                        <w:tc>
                          <w:tcPr>
                            <w:tcW w:w="2880" w:type="dxa"/>
                          </w:tcPr>
                          <w:p w14:paraId="4669F768" w14:textId="77777777" w:rsidR="004C0A79" w:rsidRDefault="004C0A79">
                            <w:pPr>
                              <w:pStyle w:val="TableParagraph"/>
                              <w:spacing w:line="248" w:lineRule="exact"/>
                              <w:ind w:left="26"/>
                            </w:pPr>
                            <w:r>
                              <w:t>4,600,000</w:t>
                            </w:r>
                          </w:p>
                        </w:tc>
                      </w:tr>
                      <w:tr w:rsidR="004C0A79" w14:paraId="32202383" w14:textId="77777777">
                        <w:trPr>
                          <w:trHeight w:val="284"/>
                        </w:trPr>
                        <w:tc>
                          <w:tcPr>
                            <w:tcW w:w="3031" w:type="dxa"/>
                          </w:tcPr>
                          <w:p w14:paraId="7A362ACB" w14:textId="77777777" w:rsidR="004C0A79" w:rsidRDefault="004C0A79">
                            <w:pPr>
                              <w:pStyle w:val="TableParagraph"/>
                              <w:spacing w:before="15" w:line="249" w:lineRule="exact"/>
                              <w:ind w:left="16"/>
                            </w:pPr>
                            <w:r>
                              <w:t>Fuel Oil / Naphtha</w:t>
                            </w:r>
                          </w:p>
                        </w:tc>
                        <w:tc>
                          <w:tcPr>
                            <w:tcW w:w="2880" w:type="dxa"/>
                          </w:tcPr>
                          <w:p w14:paraId="0B14A58F" w14:textId="77777777" w:rsidR="004C0A79" w:rsidRDefault="004C0A79">
                            <w:pPr>
                              <w:pStyle w:val="TableParagraph"/>
                              <w:spacing w:before="15" w:line="249" w:lineRule="exact"/>
                              <w:ind w:left="26"/>
                            </w:pPr>
                            <w:r>
                              <w:t>4,600,000</w:t>
                            </w:r>
                          </w:p>
                        </w:tc>
                      </w:tr>
                      <w:tr w:rsidR="004C0A79" w14:paraId="1B012DF6" w14:textId="77777777">
                        <w:trPr>
                          <w:trHeight w:val="268"/>
                        </w:trPr>
                        <w:tc>
                          <w:tcPr>
                            <w:tcW w:w="3031" w:type="dxa"/>
                          </w:tcPr>
                          <w:p w14:paraId="15FF13C9" w14:textId="77777777" w:rsidR="004C0A79" w:rsidRDefault="004C0A79">
                            <w:pPr>
                              <w:pStyle w:val="TableParagraph"/>
                              <w:spacing w:line="248" w:lineRule="exact"/>
                              <w:ind w:left="16"/>
                            </w:pPr>
                            <w:r>
                              <w:t>Hydraulic</w:t>
                            </w:r>
                          </w:p>
                        </w:tc>
                        <w:tc>
                          <w:tcPr>
                            <w:tcW w:w="2880" w:type="dxa"/>
                          </w:tcPr>
                          <w:p w14:paraId="75A6CC86" w14:textId="77777777" w:rsidR="004C0A79" w:rsidRDefault="004C0A79">
                            <w:pPr>
                              <w:pStyle w:val="TableParagraph"/>
                              <w:spacing w:line="248" w:lineRule="exact"/>
                              <w:ind w:left="26"/>
                            </w:pPr>
                            <w:r>
                              <w:t>9.300.000</w:t>
                            </w:r>
                          </w:p>
                        </w:tc>
                      </w:tr>
                      <w:tr w:rsidR="004C0A79" w14:paraId="2D09881C" w14:textId="77777777">
                        <w:trPr>
                          <w:trHeight w:val="282"/>
                        </w:trPr>
                        <w:tc>
                          <w:tcPr>
                            <w:tcW w:w="3031" w:type="dxa"/>
                          </w:tcPr>
                          <w:p w14:paraId="174D04D2" w14:textId="77777777" w:rsidR="004C0A79" w:rsidRDefault="004C0A79">
                            <w:pPr>
                              <w:pStyle w:val="TableParagraph"/>
                              <w:spacing w:before="13" w:line="249" w:lineRule="exact"/>
                              <w:ind w:left="16"/>
                            </w:pPr>
                            <w:r>
                              <w:t>Wind</w:t>
                            </w:r>
                          </w:p>
                        </w:tc>
                        <w:tc>
                          <w:tcPr>
                            <w:tcW w:w="2880" w:type="dxa"/>
                          </w:tcPr>
                          <w:p w14:paraId="00BEA696" w14:textId="77777777" w:rsidR="004C0A79" w:rsidRDefault="004C0A79">
                            <w:pPr>
                              <w:pStyle w:val="TableParagraph"/>
                              <w:spacing w:before="13" w:line="249" w:lineRule="exact"/>
                              <w:ind w:left="26"/>
                            </w:pPr>
                            <w:r>
                              <w:t>9.300.000</w:t>
                            </w:r>
                          </w:p>
                        </w:tc>
                      </w:tr>
                      <w:tr w:rsidR="004C0A79" w14:paraId="05A2647B" w14:textId="77777777">
                        <w:trPr>
                          <w:trHeight w:val="268"/>
                        </w:trPr>
                        <w:tc>
                          <w:tcPr>
                            <w:tcW w:w="3031" w:type="dxa"/>
                          </w:tcPr>
                          <w:p w14:paraId="61B755D0" w14:textId="77777777" w:rsidR="004C0A79" w:rsidRDefault="004C0A79">
                            <w:pPr>
                              <w:pStyle w:val="TableParagraph"/>
                              <w:spacing w:line="248" w:lineRule="exact"/>
                              <w:ind w:left="16"/>
                            </w:pPr>
                            <w:r>
                              <w:t>Geothermal</w:t>
                            </w:r>
                          </w:p>
                        </w:tc>
                        <w:tc>
                          <w:tcPr>
                            <w:tcW w:w="2880" w:type="dxa"/>
                          </w:tcPr>
                          <w:p w14:paraId="51640861" w14:textId="77777777" w:rsidR="004C0A79" w:rsidRDefault="004C0A79">
                            <w:pPr>
                              <w:pStyle w:val="TableParagraph"/>
                              <w:spacing w:line="248" w:lineRule="exact"/>
                              <w:ind w:left="26" w:right="1"/>
                            </w:pPr>
                            <w:r>
                              <w:t>13.000.000</w:t>
                            </w:r>
                          </w:p>
                        </w:tc>
                      </w:tr>
                      <w:tr w:rsidR="004C0A79" w14:paraId="6C8A87BA" w14:textId="77777777">
                        <w:trPr>
                          <w:trHeight w:val="270"/>
                        </w:trPr>
                        <w:tc>
                          <w:tcPr>
                            <w:tcW w:w="3031" w:type="dxa"/>
                          </w:tcPr>
                          <w:p w14:paraId="41F58419" w14:textId="77777777" w:rsidR="004C0A79" w:rsidRDefault="004C0A79">
                            <w:pPr>
                              <w:pStyle w:val="TableParagraph"/>
                              <w:spacing w:before="1" w:line="249" w:lineRule="exact"/>
                              <w:ind w:left="16"/>
                            </w:pPr>
                            <w:r>
                              <w:t>Biomass</w:t>
                            </w:r>
                          </w:p>
                        </w:tc>
                        <w:tc>
                          <w:tcPr>
                            <w:tcW w:w="2880" w:type="dxa"/>
                          </w:tcPr>
                          <w:p w14:paraId="02D97C84" w14:textId="77777777" w:rsidR="004C0A79" w:rsidRDefault="004C0A79">
                            <w:pPr>
                              <w:pStyle w:val="TableParagraph"/>
                              <w:spacing w:before="1" w:line="249" w:lineRule="exact"/>
                              <w:ind w:left="26" w:right="1"/>
                            </w:pPr>
                            <w:r>
                              <w:t>12.500.000</w:t>
                            </w:r>
                          </w:p>
                        </w:tc>
                      </w:tr>
                      <w:tr w:rsidR="004C0A79" w14:paraId="070069BB" w14:textId="77777777">
                        <w:trPr>
                          <w:trHeight w:val="282"/>
                        </w:trPr>
                        <w:tc>
                          <w:tcPr>
                            <w:tcW w:w="3031" w:type="dxa"/>
                          </w:tcPr>
                          <w:p w14:paraId="1985D81F" w14:textId="77777777" w:rsidR="004C0A79" w:rsidRDefault="004C0A79">
                            <w:pPr>
                              <w:pStyle w:val="TableParagraph"/>
                              <w:spacing w:before="13" w:line="249" w:lineRule="exact"/>
                              <w:ind w:left="16"/>
                            </w:pPr>
                            <w:r>
                              <w:t>Solar</w:t>
                            </w:r>
                          </w:p>
                        </w:tc>
                        <w:tc>
                          <w:tcPr>
                            <w:tcW w:w="2880" w:type="dxa"/>
                          </w:tcPr>
                          <w:p w14:paraId="3EC0D6E2" w14:textId="77777777" w:rsidR="004C0A79" w:rsidRDefault="004C0A79">
                            <w:pPr>
                              <w:pStyle w:val="TableParagraph"/>
                              <w:spacing w:before="13" w:line="249" w:lineRule="exact"/>
                              <w:ind w:left="26"/>
                            </w:pPr>
                            <w:r>
                              <w:t>6.500.000</w:t>
                            </w:r>
                          </w:p>
                        </w:tc>
                      </w:tr>
                      <w:tr w:rsidR="004C0A79" w14:paraId="3D5FC042" w14:textId="77777777">
                        <w:trPr>
                          <w:trHeight w:val="267"/>
                        </w:trPr>
                        <w:tc>
                          <w:tcPr>
                            <w:tcW w:w="3031" w:type="dxa"/>
                          </w:tcPr>
                          <w:p w14:paraId="35E4E54E" w14:textId="77777777" w:rsidR="004C0A79" w:rsidRDefault="004C0A79">
                            <w:pPr>
                              <w:pStyle w:val="TableParagraph"/>
                              <w:spacing w:line="248" w:lineRule="exact"/>
                              <w:ind w:left="16"/>
                            </w:pPr>
                            <w:r>
                              <w:t>Nuclear</w:t>
                            </w:r>
                          </w:p>
                        </w:tc>
                        <w:tc>
                          <w:tcPr>
                            <w:tcW w:w="2880" w:type="dxa"/>
                          </w:tcPr>
                          <w:p w14:paraId="293DA7EC" w14:textId="77777777" w:rsidR="004C0A79" w:rsidRDefault="004C0A79">
                            <w:pPr>
                              <w:pStyle w:val="TableParagraph"/>
                              <w:spacing w:line="248" w:lineRule="exact"/>
                              <w:ind w:left="26" w:right="1"/>
                            </w:pPr>
                            <w:r>
                              <w:t>32.500.000</w:t>
                            </w:r>
                          </w:p>
                        </w:tc>
                      </w:tr>
                      <w:tr w:rsidR="004C0A79" w14:paraId="2EB1039B" w14:textId="77777777">
                        <w:trPr>
                          <w:trHeight w:val="284"/>
                        </w:trPr>
                        <w:tc>
                          <w:tcPr>
                            <w:tcW w:w="3031" w:type="dxa"/>
                          </w:tcPr>
                          <w:p w14:paraId="1D5F6E4F" w14:textId="77777777" w:rsidR="004C0A79" w:rsidRDefault="004C0A79">
                            <w:pPr>
                              <w:pStyle w:val="TableParagraph"/>
                              <w:spacing w:before="15" w:line="249" w:lineRule="exact"/>
                              <w:ind w:left="16"/>
                            </w:pPr>
                            <w:r>
                              <w:t>Process Waste Heat(*)</w:t>
                            </w:r>
                          </w:p>
                        </w:tc>
                        <w:tc>
                          <w:tcPr>
                            <w:tcW w:w="2880" w:type="dxa"/>
                          </w:tcPr>
                          <w:p w14:paraId="7117875E" w14:textId="77777777" w:rsidR="004C0A79" w:rsidRDefault="004C0A79">
                            <w:pPr>
                              <w:pStyle w:val="TableParagraph"/>
                              <w:spacing w:before="15" w:line="249" w:lineRule="exact"/>
                              <w:ind w:left="26"/>
                            </w:pPr>
                            <w:r>
                              <w:t>4,600,000</w:t>
                            </w:r>
                          </w:p>
                        </w:tc>
                      </w:tr>
                      <w:tr w:rsidR="004C0A79" w14:paraId="1613A5A5" w14:textId="77777777">
                        <w:trPr>
                          <w:trHeight w:val="267"/>
                        </w:trPr>
                        <w:tc>
                          <w:tcPr>
                            <w:tcW w:w="3031" w:type="dxa"/>
                          </w:tcPr>
                          <w:p w14:paraId="57E41EDC" w14:textId="77777777" w:rsidR="004C0A79" w:rsidRDefault="004C0A79">
                            <w:pPr>
                              <w:pStyle w:val="TableParagraph"/>
                              <w:spacing w:line="248" w:lineRule="exact"/>
                              <w:ind w:left="16"/>
                            </w:pPr>
                            <w:r>
                              <w:t>Others</w:t>
                            </w:r>
                          </w:p>
                        </w:tc>
                        <w:tc>
                          <w:tcPr>
                            <w:tcW w:w="2880" w:type="dxa"/>
                          </w:tcPr>
                          <w:p w14:paraId="6580B7AF" w14:textId="77777777" w:rsidR="004C0A79" w:rsidRDefault="004C0A79">
                            <w:pPr>
                              <w:pStyle w:val="TableParagraph"/>
                              <w:spacing w:line="248" w:lineRule="exact"/>
                              <w:ind w:left="26"/>
                            </w:pPr>
                            <w:r>
                              <w:t>6.500.000</w:t>
                            </w:r>
                          </w:p>
                        </w:tc>
                      </w:tr>
                    </w:tbl>
                    <w:p w14:paraId="0AC66218" w14:textId="77777777" w:rsidR="004C0A79" w:rsidRDefault="004C0A79" w:rsidP="004C0A79">
                      <w:pPr>
                        <w:pStyle w:val="GvdeMetni"/>
                      </w:pPr>
                    </w:p>
                  </w:txbxContent>
                </v:textbox>
                <w10:wrap anchorx="page"/>
              </v:shape>
            </w:pict>
          </mc:Fallback>
        </mc:AlternateContent>
      </w:r>
      <w:r w:rsidRPr="00731F8E">
        <w:rPr>
          <w:rFonts w:ascii="Times New Roman" w:hAnsi="Times New Roman" w:cs="Times New Roman"/>
          <w:szCs w:val="22"/>
        </w:rPr>
        <w:t>Total Unit Investment Amounts Based on Resources in the Electricity Market Table 1</w:t>
      </w:r>
    </w:p>
    <w:p w14:paraId="4EF4FC4D" w14:textId="77777777" w:rsidR="004C0A79" w:rsidRPr="00731F8E" w:rsidRDefault="004C0A79" w:rsidP="004C0A79">
      <w:pPr>
        <w:pStyle w:val="GvdeMetni"/>
        <w:rPr>
          <w:rFonts w:cs="Times New Roman"/>
          <w:b/>
          <w:i/>
          <w:szCs w:val="22"/>
        </w:rPr>
      </w:pPr>
    </w:p>
    <w:p w14:paraId="277FEDB7" w14:textId="77777777" w:rsidR="004C0A79" w:rsidRPr="00731F8E" w:rsidRDefault="004C0A79" w:rsidP="004C0A79">
      <w:pPr>
        <w:pStyle w:val="GvdeMetni"/>
        <w:rPr>
          <w:rFonts w:cs="Times New Roman"/>
          <w:b/>
          <w:i/>
          <w:szCs w:val="22"/>
        </w:rPr>
      </w:pPr>
    </w:p>
    <w:p w14:paraId="71CF53DA" w14:textId="77777777" w:rsidR="004C0A79" w:rsidRPr="00731F8E" w:rsidRDefault="004C0A79" w:rsidP="004C0A79">
      <w:pPr>
        <w:pStyle w:val="GvdeMetni"/>
        <w:rPr>
          <w:rFonts w:cs="Times New Roman"/>
          <w:b/>
          <w:i/>
          <w:szCs w:val="22"/>
        </w:rPr>
      </w:pPr>
    </w:p>
    <w:p w14:paraId="39D0D240" w14:textId="77777777" w:rsidR="004C0A79" w:rsidRPr="00731F8E" w:rsidRDefault="004C0A79" w:rsidP="004C0A79">
      <w:pPr>
        <w:pStyle w:val="GvdeMetni"/>
        <w:rPr>
          <w:rFonts w:cs="Times New Roman"/>
          <w:b/>
          <w:i/>
          <w:szCs w:val="22"/>
        </w:rPr>
      </w:pPr>
    </w:p>
    <w:p w14:paraId="1B1EA510" w14:textId="77777777" w:rsidR="004C0A79" w:rsidRPr="00731F8E" w:rsidRDefault="004C0A79" w:rsidP="004C0A79">
      <w:pPr>
        <w:pStyle w:val="GvdeMetni"/>
        <w:rPr>
          <w:rFonts w:cs="Times New Roman"/>
          <w:b/>
          <w:i/>
          <w:szCs w:val="22"/>
        </w:rPr>
      </w:pPr>
    </w:p>
    <w:p w14:paraId="01AF190E" w14:textId="77777777" w:rsidR="004C0A79" w:rsidRPr="00731F8E" w:rsidRDefault="004C0A79" w:rsidP="004C0A79">
      <w:pPr>
        <w:pStyle w:val="GvdeMetni"/>
        <w:rPr>
          <w:rFonts w:cs="Times New Roman"/>
          <w:b/>
          <w:i/>
          <w:szCs w:val="22"/>
        </w:rPr>
      </w:pPr>
    </w:p>
    <w:p w14:paraId="3560D114" w14:textId="77777777" w:rsidR="004C0A79" w:rsidRPr="00731F8E" w:rsidRDefault="004C0A79" w:rsidP="004C0A79">
      <w:pPr>
        <w:pStyle w:val="GvdeMetni"/>
        <w:rPr>
          <w:rFonts w:cs="Times New Roman"/>
          <w:b/>
          <w:i/>
          <w:szCs w:val="22"/>
        </w:rPr>
      </w:pPr>
    </w:p>
    <w:p w14:paraId="5E41BF70" w14:textId="77777777" w:rsidR="004C0A79" w:rsidRPr="00731F8E" w:rsidRDefault="004C0A79" w:rsidP="004C0A79">
      <w:pPr>
        <w:pStyle w:val="GvdeMetni"/>
        <w:rPr>
          <w:rFonts w:cs="Times New Roman"/>
          <w:b/>
          <w:i/>
          <w:szCs w:val="22"/>
        </w:rPr>
      </w:pPr>
    </w:p>
    <w:p w14:paraId="1B5A0DFF" w14:textId="77777777" w:rsidR="004C0A79" w:rsidRPr="00731F8E" w:rsidRDefault="004C0A79" w:rsidP="004C0A79">
      <w:pPr>
        <w:pStyle w:val="GvdeMetni"/>
        <w:rPr>
          <w:rFonts w:cs="Times New Roman"/>
          <w:b/>
          <w:i/>
          <w:szCs w:val="22"/>
        </w:rPr>
      </w:pPr>
    </w:p>
    <w:p w14:paraId="68D7AF19" w14:textId="77777777" w:rsidR="004C0A79" w:rsidRPr="00731F8E" w:rsidRDefault="004C0A79" w:rsidP="004C0A79">
      <w:pPr>
        <w:pStyle w:val="GvdeMetni"/>
        <w:rPr>
          <w:rFonts w:cs="Times New Roman"/>
          <w:b/>
          <w:i/>
          <w:szCs w:val="22"/>
        </w:rPr>
      </w:pPr>
    </w:p>
    <w:p w14:paraId="35654C84" w14:textId="77777777" w:rsidR="004C0A79" w:rsidRPr="00731F8E" w:rsidRDefault="004C0A79" w:rsidP="004C0A79">
      <w:pPr>
        <w:pStyle w:val="GvdeMetni"/>
        <w:rPr>
          <w:rFonts w:cs="Times New Roman"/>
          <w:b/>
          <w:i/>
          <w:szCs w:val="22"/>
        </w:rPr>
      </w:pPr>
    </w:p>
    <w:p w14:paraId="0A353627" w14:textId="77777777" w:rsidR="004C0A79" w:rsidRPr="00731F8E" w:rsidRDefault="004C0A79" w:rsidP="004C0A79">
      <w:pPr>
        <w:pStyle w:val="GvdeMetni"/>
        <w:rPr>
          <w:rFonts w:cs="Times New Roman"/>
          <w:b/>
          <w:i/>
          <w:szCs w:val="22"/>
        </w:rPr>
      </w:pPr>
    </w:p>
    <w:p w14:paraId="366B339C" w14:textId="77777777" w:rsidR="004C0A79" w:rsidRPr="00731F8E" w:rsidRDefault="004C0A79" w:rsidP="004C0A79">
      <w:pPr>
        <w:pStyle w:val="GvdeMetni"/>
        <w:spacing w:before="197"/>
        <w:rPr>
          <w:rFonts w:cs="Times New Roman"/>
          <w:b/>
          <w:i/>
          <w:szCs w:val="22"/>
        </w:rPr>
      </w:pPr>
    </w:p>
    <w:p w14:paraId="49A7BF6A" w14:textId="77777777" w:rsidR="004C0A79" w:rsidRPr="00731F8E" w:rsidRDefault="004C0A79" w:rsidP="004C0A79">
      <w:pPr>
        <w:ind w:left="1196" w:firstLine="150"/>
        <w:rPr>
          <w:rFonts w:ascii="Times New Roman" w:hAnsi="Times New Roman"/>
        </w:rPr>
      </w:pPr>
      <w:r w:rsidRPr="00731F8E">
        <w:rPr>
          <w:rFonts w:ascii="Times New Roman" w:hAnsi="Times New Roman"/>
        </w:rPr>
        <w:t>(*) It is valid for generation facilities where the main source/fuel in electricity generation is process waste heat.</w:t>
      </w:r>
    </w:p>
    <w:p w14:paraId="436713E2" w14:textId="77777777" w:rsidR="004C0A79" w:rsidRPr="00731F8E" w:rsidRDefault="004C0A79" w:rsidP="004C0A79">
      <w:pPr>
        <w:ind w:left="1196" w:firstLine="150"/>
        <w:rPr>
          <w:rFonts w:ascii="Times New Roman" w:hAnsi="Times New Roman"/>
        </w:rPr>
      </w:pPr>
    </w:p>
    <w:p w14:paraId="64729ECA" w14:textId="77777777" w:rsidR="004C0A79" w:rsidRPr="00731F8E" w:rsidRDefault="004C0A79" w:rsidP="004C0A79">
      <w:pPr>
        <w:ind w:left="1196" w:firstLine="150"/>
        <w:rPr>
          <w:rFonts w:ascii="Times New Roman" w:hAnsi="Times New Roman"/>
        </w:rPr>
      </w:pPr>
    </w:p>
    <w:p w14:paraId="1C42957C" w14:textId="77777777" w:rsidR="004C0A79" w:rsidRPr="00731F8E" w:rsidRDefault="004C0A79" w:rsidP="004C0A79">
      <w:pPr>
        <w:ind w:left="1196" w:firstLine="150"/>
        <w:rPr>
          <w:rFonts w:ascii="Times New Roman" w:hAnsi="Times New Roman"/>
        </w:rPr>
      </w:pPr>
    </w:p>
    <w:p w14:paraId="416D7151" w14:textId="77777777" w:rsidR="004C0A79" w:rsidRPr="00731F8E" w:rsidRDefault="004C0A79" w:rsidP="004C0A79">
      <w:pPr>
        <w:pStyle w:val="Balk1"/>
        <w:spacing w:before="1"/>
        <w:ind w:left="1246"/>
        <w:rPr>
          <w:rFonts w:ascii="Times New Roman" w:hAnsi="Times New Roman" w:cs="Times New Roman"/>
          <w:szCs w:val="22"/>
        </w:rPr>
      </w:pPr>
      <w:r w:rsidRPr="00731F8E">
        <w:rPr>
          <w:rFonts w:ascii="Times New Roman" w:hAnsi="Times New Roman" w:cs="Times New Roman"/>
          <w:szCs w:val="22"/>
        </w:rPr>
        <w:t>Table 2</w:t>
      </w:r>
    </w:p>
    <w:tbl>
      <w:tblPr>
        <w:tblStyle w:val="TableNormal"/>
        <w:tblW w:w="0" w:type="auto"/>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01"/>
        <w:gridCol w:w="3403"/>
      </w:tblGrid>
      <w:tr w:rsidR="004C0A79" w:rsidRPr="00731F8E" w14:paraId="3033904E" w14:textId="77777777" w:rsidTr="004C0A79">
        <w:trPr>
          <w:trHeight w:val="805"/>
        </w:trPr>
        <w:tc>
          <w:tcPr>
            <w:tcW w:w="3401" w:type="dxa"/>
            <w:shd w:val="clear" w:color="auto" w:fill="C0C0C0"/>
          </w:tcPr>
          <w:p w14:paraId="1EA0FDE7" w14:textId="77777777" w:rsidR="004C0A79" w:rsidRPr="00731F8E" w:rsidRDefault="004C0A79" w:rsidP="004C0A79">
            <w:pPr>
              <w:pStyle w:val="P68B1DB1-TableParagraph3"/>
              <w:spacing w:before="267"/>
              <w:ind w:left="184"/>
              <w:jc w:val="left"/>
              <w:rPr>
                <w:rFonts w:ascii="Times New Roman" w:hAnsi="Times New Roman" w:cs="Times New Roman"/>
                <w:szCs w:val="22"/>
              </w:rPr>
            </w:pPr>
            <w:r w:rsidRPr="00731F8E">
              <w:rPr>
                <w:rFonts w:ascii="Times New Roman" w:hAnsi="Times New Roman" w:cs="Times New Roman"/>
                <w:szCs w:val="22"/>
              </w:rPr>
              <w:t>Storage Electricity Generation Plant</w:t>
            </w:r>
          </w:p>
        </w:tc>
        <w:tc>
          <w:tcPr>
            <w:tcW w:w="3403" w:type="dxa"/>
            <w:shd w:val="clear" w:color="auto" w:fill="C0C0C0"/>
          </w:tcPr>
          <w:p w14:paraId="213959B7" w14:textId="77777777" w:rsidR="004C0A79" w:rsidRPr="00731F8E" w:rsidRDefault="004C0A79" w:rsidP="004C0A79">
            <w:pPr>
              <w:pStyle w:val="P68B1DB1-TableParagraph3"/>
              <w:spacing w:before="133"/>
              <w:ind w:left="1230" w:hanging="797"/>
              <w:jc w:val="left"/>
              <w:rPr>
                <w:rFonts w:ascii="Times New Roman" w:hAnsi="Times New Roman" w:cs="Times New Roman"/>
                <w:szCs w:val="22"/>
              </w:rPr>
            </w:pPr>
            <w:r w:rsidRPr="00731F8E">
              <w:rPr>
                <w:rFonts w:ascii="Times New Roman" w:hAnsi="Times New Roman" w:cs="Times New Roman"/>
                <w:szCs w:val="22"/>
              </w:rPr>
              <w:t>Total Unit Investment Amount (TL/MWm)</w:t>
            </w:r>
          </w:p>
        </w:tc>
      </w:tr>
      <w:tr w:rsidR="004C0A79" w:rsidRPr="00731F8E" w14:paraId="104B4666" w14:textId="77777777" w:rsidTr="004C0A79">
        <w:trPr>
          <w:trHeight w:val="275"/>
        </w:trPr>
        <w:tc>
          <w:tcPr>
            <w:tcW w:w="3401" w:type="dxa"/>
          </w:tcPr>
          <w:p w14:paraId="4533DD79" w14:textId="77777777" w:rsidR="004C0A79" w:rsidRPr="00731F8E" w:rsidRDefault="004C0A79" w:rsidP="004C0A79">
            <w:pPr>
              <w:pStyle w:val="TableParagraph"/>
              <w:spacing w:before="6" w:line="249" w:lineRule="exact"/>
              <w:ind w:left="69"/>
              <w:rPr>
                <w:rFonts w:ascii="Times New Roman" w:hAnsi="Times New Roman" w:cs="Times New Roman"/>
                <w:szCs w:val="22"/>
              </w:rPr>
            </w:pPr>
            <w:r w:rsidRPr="00731F8E">
              <w:rPr>
                <w:rFonts w:ascii="Times New Roman" w:hAnsi="Times New Roman" w:cs="Times New Roman"/>
                <w:szCs w:val="22"/>
              </w:rPr>
              <w:t>Electricity Storage Unit</w:t>
            </w:r>
          </w:p>
        </w:tc>
        <w:tc>
          <w:tcPr>
            <w:tcW w:w="3403" w:type="dxa"/>
          </w:tcPr>
          <w:p w14:paraId="71C43C54" w14:textId="77777777" w:rsidR="004C0A79" w:rsidRPr="00731F8E" w:rsidRDefault="004C0A79" w:rsidP="004C0A79">
            <w:pPr>
              <w:pStyle w:val="TableParagraph"/>
              <w:spacing w:before="6" w:line="249" w:lineRule="exact"/>
              <w:ind w:left="21"/>
              <w:rPr>
                <w:rFonts w:ascii="Times New Roman" w:hAnsi="Times New Roman" w:cs="Times New Roman"/>
                <w:szCs w:val="22"/>
              </w:rPr>
            </w:pPr>
            <w:r w:rsidRPr="00731F8E">
              <w:rPr>
                <w:rFonts w:ascii="Times New Roman" w:hAnsi="Times New Roman" w:cs="Times New Roman"/>
                <w:szCs w:val="22"/>
              </w:rPr>
              <w:t>3.700.000</w:t>
            </w:r>
          </w:p>
        </w:tc>
      </w:tr>
    </w:tbl>
    <w:p w14:paraId="32D86F7A" w14:textId="77777777" w:rsidR="004C0A79" w:rsidRPr="00731F8E" w:rsidRDefault="004C0A79" w:rsidP="004C0A79">
      <w:pPr>
        <w:pStyle w:val="GvdeMetni"/>
        <w:spacing w:before="38"/>
        <w:rPr>
          <w:rFonts w:cs="Times New Roman"/>
          <w:b/>
          <w:i/>
          <w:szCs w:val="22"/>
        </w:rPr>
      </w:pPr>
    </w:p>
    <w:p w14:paraId="34396C8B" w14:textId="77777777" w:rsidR="004C0A79" w:rsidRPr="00731F8E" w:rsidRDefault="004C0A79" w:rsidP="00A86526">
      <w:pPr>
        <w:pStyle w:val="ListeParagraf"/>
        <w:widowControl w:val="0"/>
        <w:numPr>
          <w:ilvl w:val="0"/>
          <w:numId w:val="55"/>
        </w:numPr>
        <w:tabs>
          <w:tab w:val="left" w:pos="1193"/>
        </w:tabs>
        <w:autoSpaceDE w:val="0"/>
        <w:autoSpaceDN w:val="0"/>
        <w:spacing w:after="0" w:line="240" w:lineRule="auto"/>
        <w:ind w:left="1193" w:hanging="358"/>
        <w:contextualSpacing w:val="0"/>
        <w:rPr>
          <w:rFonts w:ascii="Times New Roman" w:hAnsi="Times New Roman"/>
        </w:rPr>
      </w:pPr>
      <w:r w:rsidRPr="00731F8E">
        <w:rPr>
          <w:rFonts w:ascii="Times New Roman" w:hAnsi="Times New Roman"/>
        </w:rPr>
        <w:t>Regarding the calculation of the capital amount;</w:t>
      </w:r>
    </w:p>
    <w:p w14:paraId="1A05E671" w14:textId="77777777" w:rsidR="004C0A79" w:rsidRPr="00731F8E" w:rsidRDefault="004C0A79" w:rsidP="004C0A79">
      <w:pPr>
        <w:pStyle w:val="GvdeMetni"/>
        <w:rPr>
          <w:rFonts w:cs="Times New Roman"/>
          <w:i/>
          <w:szCs w:val="22"/>
        </w:rPr>
      </w:pPr>
    </w:p>
    <w:p w14:paraId="6F663DA3" w14:textId="77777777" w:rsidR="004C0A79" w:rsidRPr="00731F8E" w:rsidRDefault="004C0A79" w:rsidP="00A86526">
      <w:pPr>
        <w:pStyle w:val="ListeParagraf"/>
        <w:widowControl w:val="0"/>
        <w:numPr>
          <w:ilvl w:val="1"/>
          <w:numId w:val="55"/>
        </w:numPr>
        <w:tabs>
          <w:tab w:val="left" w:pos="1108"/>
        </w:tabs>
        <w:autoSpaceDE w:val="0"/>
        <w:autoSpaceDN w:val="0"/>
        <w:spacing w:after="0" w:line="240" w:lineRule="auto"/>
        <w:ind w:right="133" w:firstLine="0"/>
        <w:contextualSpacing w:val="0"/>
        <w:rPr>
          <w:rFonts w:ascii="Times New Roman" w:hAnsi="Times New Roman"/>
        </w:rPr>
      </w:pPr>
      <w:r w:rsidRPr="00731F8E">
        <w:rPr>
          <w:rFonts w:ascii="Times New Roman" w:hAnsi="Times New Roman"/>
        </w:rPr>
        <w:t>The capital of the legal entities that will apply for a preliminary license within the framework of the fifth paragraph of Article 12 of the Electricity Market License Regulation (Regulation) shall correspond to at least five percent of the projected total investment amount of the installed power in MWm (including three digits after the comma) for the generation facility, and one percent in terms of preliminary license applications for the establishment of a generation facility based on nuclear energy or domestic coal,</w:t>
      </w:r>
    </w:p>
    <w:p w14:paraId="40578615" w14:textId="77777777" w:rsidR="004C0A79" w:rsidRPr="00731F8E" w:rsidRDefault="004C0A79" w:rsidP="00A86526">
      <w:pPr>
        <w:pStyle w:val="ListeParagraf"/>
        <w:widowControl w:val="0"/>
        <w:numPr>
          <w:ilvl w:val="1"/>
          <w:numId w:val="55"/>
        </w:numPr>
        <w:tabs>
          <w:tab w:val="left" w:pos="1093"/>
        </w:tabs>
        <w:autoSpaceDE w:val="0"/>
        <w:autoSpaceDN w:val="0"/>
        <w:spacing w:before="267" w:after="0" w:line="240" w:lineRule="auto"/>
        <w:ind w:right="135" w:firstLine="0"/>
        <w:contextualSpacing w:val="0"/>
        <w:rPr>
          <w:rFonts w:ascii="Times New Roman" w:hAnsi="Times New Roman"/>
        </w:rPr>
      </w:pPr>
      <w:r w:rsidRPr="00731F8E">
        <w:rPr>
          <w:rFonts w:ascii="Times New Roman" w:hAnsi="Times New Roman"/>
        </w:rPr>
        <w:t>The capital of the legal entities who will apply for a generation license within the framework of the sixth paragraph of Article 20 of the Regulation shall correspond to at least twenty percent of the total investment amount envisaged for the installed power in MWm for the generation facility, and five percent in terms of generation license applications made for the establishment of a generation facility within the scope of YEKA based on nuclear energy or domestic coal or exceeding the power limit specified in the Regulation,</w:t>
      </w:r>
    </w:p>
    <w:p w14:paraId="78BFB4CF" w14:textId="77777777" w:rsidR="004C0A79" w:rsidRPr="00731F8E" w:rsidRDefault="004C0A79" w:rsidP="004C0A79">
      <w:pPr>
        <w:pStyle w:val="GvdeMetni"/>
        <w:spacing w:before="27"/>
        <w:rPr>
          <w:rFonts w:cs="Times New Roman"/>
          <w:i/>
          <w:szCs w:val="22"/>
        </w:rPr>
      </w:pPr>
    </w:p>
    <w:tbl>
      <w:tblPr>
        <w:tblStyle w:val="TableNormal"/>
        <w:tblW w:w="0" w:type="auto"/>
        <w:tblInd w:w="12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59"/>
        <w:gridCol w:w="2100"/>
        <w:gridCol w:w="3240"/>
      </w:tblGrid>
      <w:tr w:rsidR="004C0A79" w:rsidRPr="00731F8E" w14:paraId="1412584F" w14:textId="77777777" w:rsidTr="004C0A79">
        <w:trPr>
          <w:trHeight w:val="1273"/>
        </w:trPr>
        <w:tc>
          <w:tcPr>
            <w:tcW w:w="2659" w:type="dxa"/>
          </w:tcPr>
          <w:p w14:paraId="6D885997" w14:textId="77777777" w:rsidR="004C0A79" w:rsidRPr="00731F8E" w:rsidRDefault="004C0A79" w:rsidP="004C0A79">
            <w:pPr>
              <w:pStyle w:val="TableParagraph"/>
              <w:spacing w:before="233"/>
              <w:rPr>
                <w:rFonts w:ascii="Times New Roman" w:hAnsi="Times New Roman" w:cs="Times New Roman"/>
                <w:szCs w:val="22"/>
              </w:rPr>
            </w:pPr>
          </w:p>
          <w:p w14:paraId="22E1E161" w14:textId="77777777" w:rsidR="004C0A79" w:rsidRPr="00731F8E" w:rsidRDefault="004C0A79" w:rsidP="004C0A79">
            <w:pPr>
              <w:pStyle w:val="TableParagraph"/>
              <w:ind w:left="25" w:right="1"/>
              <w:rPr>
                <w:rFonts w:ascii="Times New Roman" w:hAnsi="Times New Roman" w:cs="Times New Roman"/>
                <w:szCs w:val="22"/>
              </w:rPr>
            </w:pPr>
            <w:r w:rsidRPr="00731F8E">
              <w:rPr>
                <w:rFonts w:ascii="Times New Roman" w:hAnsi="Times New Roman" w:cs="Times New Roman"/>
                <w:szCs w:val="22"/>
              </w:rPr>
              <w:t>Application Type</w:t>
            </w:r>
          </w:p>
        </w:tc>
        <w:tc>
          <w:tcPr>
            <w:tcW w:w="2100" w:type="dxa"/>
          </w:tcPr>
          <w:p w14:paraId="4E9012E4" w14:textId="77777777" w:rsidR="004C0A79" w:rsidRPr="00731F8E" w:rsidRDefault="004C0A79" w:rsidP="004C0A79">
            <w:pPr>
              <w:pStyle w:val="TableParagraph"/>
              <w:spacing w:before="98"/>
              <w:ind w:left="208" w:right="181" w:hanging="6"/>
              <w:rPr>
                <w:rFonts w:ascii="Times New Roman" w:hAnsi="Times New Roman" w:cs="Times New Roman"/>
                <w:szCs w:val="22"/>
              </w:rPr>
            </w:pPr>
            <w:r w:rsidRPr="00731F8E">
              <w:rPr>
                <w:rFonts w:ascii="Times New Roman" w:hAnsi="Times New Roman" w:cs="Times New Roman"/>
                <w:szCs w:val="22"/>
              </w:rPr>
              <w:t>Percentage to be applied to the total investment amount envisaged (%)</w:t>
            </w:r>
          </w:p>
        </w:tc>
        <w:tc>
          <w:tcPr>
            <w:tcW w:w="3240" w:type="dxa"/>
          </w:tcPr>
          <w:p w14:paraId="083187B4" w14:textId="77777777" w:rsidR="004C0A79" w:rsidRPr="00731F8E" w:rsidRDefault="004C0A79" w:rsidP="004C0A79">
            <w:pPr>
              <w:pStyle w:val="TableParagraph"/>
              <w:spacing w:before="233"/>
              <w:rPr>
                <w:rFonts w:ascii="Times New Roman" w:hAnsi="Times New Roman" w:cs="Times New Roman"/>
                <w:szCs w:val="22"/>
              </w:rPr>
            </w:pPr>
          </w:p>
          <w:p w14:paraId="6F2FB3D1" w14:textId="77777777" w:rsidR="004C0A79" w:rsidRPr="00731F8E" w:rsidRDefault="004C0A79" w:rsidP="004C0A79">
            <w:pPr>
              <w:pStyle w:val="TableParagraph"/>
              <w:ind w:left="25"/>
              <w:rPr>
                <w:rFonts w:ascii="Times New Roman" w:hAnsi="Times New Roman" w:cs="Times New Roman"/>
                <w:szCs w:val="22"/>
              </w:rPr>
            </w:pPr>
            <w:r w:rsidRPr="00731F8E">
              <w:rPr>
                <w:rFonts w:ascii="Times New Roman" w:hAnsi="Times New Roman" w:cs="Times New Roman"/>
                <w:szCs w:val="22"/>
              </w:rPr>
              <w:t>The formula applied is:</w:t>
            </w:r>
          </w:p>
        </w:tc>
      </w:tr>
      <w:tr w:rsidR="004C0A79" w:rsidRPr="00731F8E" w14:paraId="68E21894" w14:textId="77777777" w:rsidTr="004C0A79">
        <w:trPr>
          <w:trHeight w:val="330"/>
        </w:trPr>
        <w:tc>
          <w:tcPr>
            <w:tcW w:w="2659" w:type="dxa"/>
          </w:tcPr>
          <w:p w14:paraId="1ED27A16" w14:textId="77777777" w:rsidR="004C0A79" w:rsidRPr="00731F8E" w:rsidRDefault="004C0A79" w:rsidP="004C0A79">
            <w:pPr>
              <w:pStyle w:val="TableParagraph"/>
              <w:spacing w:before="30"/>
              <w:ind w:left="25"/>
              <w:rPr>
                <w:rFonts w:ascii="Times New Roman" w:hAnsi="Times New Roman" w:cs="Times New Roman"/>
                <w:szCs w:val="22"/>
              </w:rPr>
            </w:pPr>
            <w:r w:rsidRPr="00731F8E">
              <w:rPr>
                <w:rFonts w:ascii="Times New Roman" w:hAnsi="Times New Roman" w:cs="Times New Roman"/>
                <w:szCs w:val="22"/>
              </w:rPr>
              <w:t xml:space="preserve">Preliminary </w:t>
            </w:r>
            <w:r w:rsidRPr="00731F8E">
              <w:rPr>
                <w:rFonts w:ascii="Times New Roman" w:hAnsi="Times New Roman" w:cs="Times New Roman"/>
                <w:szCs w:val="22"/>
                <w:vertAlign w:val="superscript"/>
              </w:rPr>
              <w:t>license1</w:t>
            </w:r>
          </w:p>
        </w:tc>
        <w:tc>
          <w:tcPr>
            <w:tcW w:w="2100" w:type="dxa"/>
          </w:tcPr>
          <w:p w14:paraId="0BA257FD" w14:textId="77777777" w:rsidR="004C0A79" w:rsidRPr="00731F8E" w:rsidRDefault="004C0A79" w:rsidP="004C0A79">
            <w:pPr>
              <w:pStyle w:val="TableParagraph"/>
              <w:spacing w:before="30"/>
              <w:ind w:left="26" w:right="3"/>
              <w:rPr>
                <w:rFonts w:ascii="Times New Roman" w:hAnsi="Times New Roman" w:cs="Times New Roman"/>
                <w:szCs w:val="22"/>
              </w:rPr>
            </w:pPr>
            <w:r w:rsidRPr="00731F8E">
              <w:rPr>
                <w:rFonts w:ascii="Times New Roman" w:hAnsi="Times New Roman" w:cs="Times New Roman"/>
                <w:szCs w:val="22"/>
              </w:rPr>
              <w:t>5</w:t>
            </w:r>
          </w:p>
        </w:tc>
        <w:tc>
          <w:tcPr>
            <w:tcW w:w="3240" w:type="dxa"/>
          </w:tcPr>
          <w:p w14:paraId="6E164F03" w14:textId="77777777" w:rsidR="004C0A79" w:rsidRPr="00731F8E" w:rsidRDefault="004C0A79" w:rsidP="004C0A79">
            <w:pPr>
              <w:pStyle w:val="TableParagraph"/>
              <w:spacing w:before="30"/>
              <w:ind w:left="25" w:right="2"/>
              <w:rPr>
                <w:rFonts w:ascii="Times New Roman" w:hAnsi="Times New Roman" w:cs="Times New Roman"/>
                <w:szCs w:val="22"/>
              </w:rPr>
            </w:pPr>
            <w:r w:rsidRPr="00731F8E">
              <w:rPr>
                <w:rFonts w:ascii="Times New Roman" w:hAnsi="Times New Roman" w:cs="Times New Roman"/>
                <w:szCs w:val="22"/>
              </w:rPr>
              <w:t>P x byt x 0.05</w:t>
            </w:r>
          </w:p>
        </w:tc>
      </w:tr>
      <w:tr w:rsidR="004C0A79" w:rsidRPr="00731F8E" w14:paraId="7843CA66" w14:textId="77777777" w:rsidTr="004C0A79">
        <w:trPr>
          <w:trHeight w:val="330"/>
        </w:trPr>
        <w:tc>
          <w:tcPr>
            <w:tcW w:w="2659" w:type="dxa"/>
          </w:tcPr>
          <w:p w14:paraId="44D5D496" w14:textId="77777777" w:rsidR="004C0A79" w:rsidRPr="00731F8E" w:rsidRDefault="004C0A79" w:rsidP="004C0A79">
            <w:pPr>
              <w:pStyle w:val="TableParagraph"/>
              <w:spacing w:before="30"/>
              <w:ind w:left="25" w:right="3"/>
              <w:rPr>
                <w:rFonts w:ascii="Times New Roman" w:hAnsi="Times New Roman" w:cs="Times New Roman"/>
                <w:szCs w:val="22"/>
              </w:rPr>
            </w:pPr>
            <w:r w:rsidRPr="00731F8E">
              <w:rPr>
                <w:rFonts w:ascii="Times New Roman" w:hAnsi="Times New Roman" w:cs="Times New Roman"/>
                <w:szCs w:val="22"/>
              </w:rPr>
              <w:t xml:space="preserve">Generation </w:t>
            </w:r>
            <w:r w:rsidRPr="00731F8E">
              <w:rPr>
                <w:rFonts w:ascii="Times New Roman" w:hAnsi="Times New Roman" w:cs="Times New Roman"/>
                <w:szCs w:val="22"/>
                <w:vertAlign w:val="superscript"/>
              </w:rPr>
              <w:t>License2</w:t>
            </w:r>
          </w:p>
        </w:tc>
        <w:tc>
          <w:tcPr>
            <w:tcW w:w="2100" w:type="dxa"/>
          </w:tcPr>
          <w:p w14:paraId="5A494AC5" w14:textId="77777777" w:rsidR="004C0A79" w:rsidRPr="00731F8E" w:rsidRDefault="004C0A79" w:rsidP="004C0A79">
            <w:pPr>
              <w:pStyle w:val="TableParagraph"/>
              <w:spacing w:before="30"/>
              <w:ind w:left="26"/>
              <w:rPr>
                <w:rFonts w:ascii="Times New Roman" w:hAnsi="Times New Roman" w:cs="Times New Roman"/>
                <w:szCs w:val="22"/>
              </w:rPr>
            </w:pPr>
            <w:r w:rsidRPr="00731F8E">
              <w:rPr>
                <w:rFonts w:ascii="Times New Roman" w:hAnsi="Times New Roman" w:cs="Times New Roman"/>
                <w:szCs w:val="22"/>
              </w:rPr>
              <w:t>20</w:t>
            </w:r>
          </w:p>
        </w:tc>
        <w:tc>
          <w:tcPr>
            <w:tcW w:w="3240" w:type="dxa"/>
          </w:tcPr>
          <w:p w14:paraId="48C63DF5" w14:textId="77777777" w:rsidR="004C0A79" w:rsidRPr="00731F8E" w:rsidRDefault="004C0A79" w:rsidP="004C0A79">
            <w:pPr>
              <w:pStyle w:val="TableParagraph"/>
              <w:spacing w:before="30"/>
              <w:ind w:left="25" w:right="2"/>
              <w:rPr>
                <w:rFonts w:ascii="Times New Roman" w:hAnsi="Times New Roman" w:cs="Times New Roman"/>
                <w:szCs w:val="22"/>
              </w:rPr>
            </w:pPr>
            <w:r w:rsidRPr="00731F8E">
              <w:rPr>
                <w:rFonts w:ascii="Times New Roman" w:hAnsi="Times New Roman" w:cs="Times New Roman"/>
                <w:szCs w:val="22"/>
              </w:rPr>
              <w:t>P x byt x 0.20</w:t>
            </w:r>
          </w:p>
        </w:tc>
      </w:tr>
    </w:tbl>
    <w:p w14:paraId="5BB8A88F" w14:textId="77777777" w:rsidR="004C0A79" w:rsidRPr="00731F8E" w:rsidRDefault="004C0A79" w:rsidP="004C0A79">
      <w:pPr>
        <w:pStyle w:val="P68B1DB1-Normal5"/>
        <w:spacing w:before="2"/>
        <w:ind w:left="1097" w:right="2397" w:firstLine="16"/>
        <w:rPr>
          <w:rFonts w:ascii="Times New Roman" w:hAnsi="Times New Roman" w:cs="Times New Roman"/>
          <w:sz w:val="22"/>
          <w:szCs w:val="22"/>
        </w:rPr>
      </w:pPr>
      <w:r w:rsidRPr="00731F8E">
        <w:rPr>
          <w:rFonts w:ascii="Times New Roman" w:hAnsi="Times New Roman" w:cs="Times New Roman"/>
          <w:sz w:val="22"/>
          <w:szCs w:val="22"/>
        </w:rPr>
        <w:t>P : Installed Power (in MWm; including three digits after the comma) BYT : Total unit investment amount stipulated by the Authority(TL)</w:t>
      </w:r>
    </w:p>
    <w:p w14:paraId="56275961" w14:textId="77777777" w:rsidR="004C0A79" w:rsidRPr="00731F8E" w:rsidRDefault="004C0A79" w:rsidP="004C0A79">
      <w:pPr>
        <w:pStyle w:val="P68B1DB1-Normal5"/>
        <w:spacing w:before="1"/>
        <w:ind w:left="1109" w:right="137" w:hanging="34"/>
        <w:rPr>
          <w:rFonts w:ascii="Times New Roman" w:hAnsi="Times New Roman" w:cs="Times New Roman"/>
          <w:sz w:val="22"/>
          <w:szCs w:val="22"/>
        </w:rPr>
      </w:pPr>
      <w:r w:rsidRPr="00731F8E">
        <w:rPr>
          <w:rFonts w:ascii="Times New Roman" w:hAnsi="Times New Roman" w:cs="Times New Roman"/>
          <w:sz w:val="22"/>
          <w:szCs w:val="22"/>
          <w:vertAlign w:val="superscript"/>
        </w:rPr>
        <w:t>1</w:t>
      </w:r>
      <w:r w:rsidRPr="00731F8E">
        <w:rPr>
          <w:rFonts w:ascii="Times New Roman" w:hAnsi="Times New Roman" w:cs="Times New Roman"/>
          <w:sz w:val="22"/>
          <w:szCs w:val="22"/>
        </w:rPr>
        <w:t xml:space="preserve"> 1% for preliminary license applications for the establishment of a generation facility based on nuclear energy or domestic coal.</w:t>
      </w:r>
    </w:p>
    <w:p w14:paraId="3E9CB980" w14:textId="77777777" w:rsidR="004C0A79" w:rsidRPr="00731F8E" w:rsidRDefault="004C0A79" w:rsidP="004C0A79">
      <w:pPr>
        <w:pStyle w:val="P68B1DB1-Normal5"/>
        <w:ind w:left="1109" w:hanging="68"/>
        <w:rPr>
          <w:rFonts w:ascii="Times New Roman" w:hAnsi="Times New Roman" w:cs="Times New Roman"/>
          <w:sz w:val="22"/>
          <w:szCs w:val="22"/>
        </w:rPr>
      </w:pPr>
      <w:r w:rsidRPr="00731F8E">
        <w:rPr>
          <w:rFonts w:ascii="Times New Roman" w:hAnsi="Times New Roman" w:cs="Times New Roman"/>
          <w:sz w:val="22"/>
          <w:szCs w:val="22"/>
          <w:vertAlign w:val="superscript"/>
        </w:rPr>
        <w:t>2</w:t>
      </w:r>
      <w:r w:rsidRPr="00731F8E">
        <w:rPr>
          <w:rFonts w:ascii="Times New Roman" w:hAnsi="Times New Roman" w:cs="Times New Roman"/>
          <w:sz w:val="22"/>
          <w:szCs w:val="22"/>
        </w:rPr>
        <w:t xml:space="preserve"> 5% for generation license applications based on nuclear energy or domestic coal or for the establishment of generation facilities under YEKA.</w:t>
      </w:r>
    </w:p>
    <w:p w14:paraId="1D85467C" w14:textId="77777777" w:rsidR="004C0A79" w:rsidRPr="00731F8E" w:rsidRDefault="004C0A79" w:rsidP="004C0A79">
      <w:pPr>
        <w:pStyle w:val="GvdeMetni"/>
        <w:spacing w:before="20"/>
        <w:rPr>
          <w:rFonts w:cs="Times New Roman"/>
          <w:i/>
          <w:szCs w:val="22"/>
        </w:rPr>
      </w:pPr>
    </w:p>
    <w:p w14:paraId="1CEDB481" w14:textId="77777777" w:rsidR="004C0A79" w:rsidRPr="00731F8E" w:rsidRDefault="004C0A79" w:rsidP="00A86526">
      <w:pPr>
        <w:pStyle w:val="ListeParagraf"/>
        <w:widowControl w:val="0"/>
        <w:numPr>
          <w:ilvl w:val="1"/>
          <w:numId w:val="55"/>
        </w:numPr>
        <w:tabs>
          <w:tab w:val="left" w:pos="1035"/>
        </w:tabs>
        <w:autoSpaceDE w:val="0"/>
        <w:autoSpaceDN w:val="0"/>
        <w:spacing w:before="1" w:after="0" w:line="240" w:lineRule="auto"/>
        <w:ind w:right="136" w:firstLine="0"/>
        <w:contextualSpacing w:val="0"/>
        <w:rPr>
          <w:rFonts w:ascii="Times New Roman" w:hAnsi="Times New Roman"/>
        </w:rPr>
      </w:pPr>
      <w:r w:rsidRPr="00731F8E">
        <w:rPr>
          <w:rFonts w:ascii="Times New Roman" w:hAnsi="Times New Roman"/>
        </w:rPr>
        <w:t>In the preliminary license and generation license applications within the scope of the storage electricity generation facility, the capital amount calculations within the scope of clauses (a) and (b) shall be calculated separately in MWh (including three digits after the comma) for the electricity storage unit and added to the capital amount determined according to the relevant source within the framework of clauses (a) and (b),</w:t>
      </w:r>
    </w:p>
    <w:p w14:paraId="663267D7" w14:textId="77777777" w:rsidR="004C0A79" w:rsidRPr="00731F8E" w:rsidRDefault="004C0A79" w:rsidP="004C0A79">
      <w:pPr>
        <w:pStyle w:val="GvdeMetni"/>
        <w:rPr>
          <w:rFonts w:cs="Times New Roman"/>
          <w:i/>
          <w:szCs w:val="22"/>
        </w:rPr>
      </w:pPr>
    </w:p>
    <w:p w14:paraId="36C69F0A" w14:textId="77777777" w:rsidR="004C0A79" w:rsidRPr="00731F8E" w:rsidRDefault="004C0A79" w:rsidP="00A86526">
      <w:pPr>
        <w:pStyle w:val="ListeParagraf"/>
        <w:widowControl w:val="0"/>
        <w:numPr>
          <w:ilvl w:val="0"/>
          <w:numId w:val="55"/>
        </w:numPr>
        <w:tabs>
          <w:tab w:val="left" w:pos="1193"/>
        </w:tabs>
        <w:autoSpaceDE w:val="0"/>
        <w:autoSpaceDN w:val="0"/>
        <w:spacing w:after="0" w:line="240" w:lineRule="auto"/>
        <w:ind w:left="1193" w:hanging="358"/>
        <w:contextualSpacing w:val="0"/>
        <w:rPr>
          <w:rFonts w:ascii="Times New Roman" w:hAnsi="Times New Roman"/>
        </w:rPr>
      </w:pPr>
      <w:r w:rsidRPr="00731F8E">
        <w:rPr>
          <w:rFonts w:ascii="Times New Roman" w:hAnsi="Times New Roman"/>
        </w:rPr>
        <w:t>Regarding the calculation of the collateral amount;</w:t>
      </w:r>
    </w:p>
    <w:p w14:paraId="7CD006BD" w14:textId="77777777" w:rsidR="004C0A79" w:rsidRPr="00731F8E" w:rsidRDefault="004C0A79" w:rsidP="004C0A79">
      <w:pPr>
        <w:pStyle w:val="GvdeMetni"/>
        <w:rPr>
          <w:rFonts w:cs="Times New Roman"/>
          <w:i/>
          <w:szCs w:val="22"/>
        </w:rPr>
      </w:pPr>
    </w:p>
    <w:p w14:paraId="539F8522" w14:textId="77777777" w:rsidR="004C0A79" w:rsidRPr="00731F8E" w:rsidRDefault="004C0A79" w:rsidP="00A86526">
      <w:pPr>
        <w:pStyle w:val="ListeParagraf"/>
        <w:widowControl w:val="0"/>
        <w:numPr>
          <w:ilvl w:val="1"/>
          <w:numId w:val="55"/>
        </w:numPr>
        <w:tabs>
          <w:tab w:val="left" w:pos="1050"/>
        </w:tabs>
        <w:autoSpaceDE w:val="0"/>
        <w:autoSpaceDN w:val="0"/>
        <w:spacing w:before="1" w:after="0" w:line="240" w:lineRule="auto"/>
        <w:ind w:left="1050" w:hanging="227"/>
        <w:contextualSpacing w:val="0"/>
        <w:rPr>
          <w:rFonts w:ascii="Times New Roman" w:hAnsi="Times New Roman"/>
        </w:rPr>
      </w:pPr>
      <w:r w:rsidRPr="00731F8E">
        <w:rPr>
          <w:rFonts w:ascii="Times New Roman" w:hAnsi="Times New Roman"/>
        </w:rPr>
        <w:t>Within the framework of the fifth paragraph of Article 12 of the Regulation;</w:t>
      </w:r>
    </w:p>
    <w:p w14:paraId="29C34896" w14:textId="77777777" w:rsidR="004C0A79" w:rsidRPr="00731F8E" w:rsidRDefault="004C0A79" w:rsidP="004C0A79">
      <w:pPr>
        <w:pStyle w:val="GvdeMetni"/>
        <w:spacing w:before="2"/>
        <w:rPr>
          <w:rFonts w:cs="Times New Roman"/>
          <w:i/>
          <w:szCs w:val="22"/>
        </w:rPr>
      </w:pPr>
    </w:p>
    <w:p w14:paraId="43C47729" w14:textId="77777777" w:rsidR="004C0A79" w:rsidRPr="00731F8E" w:rsidRDefault="004C0A79" w:rsidP="00A86526">
      <w:pPr>
        <w:pStyle w:val="ListeParagraf"/>
        <w:widowControl w:val="0"/>
        <w:numPr>
          <w:ilvl w:val="2"/>
          <w:numId w:val="55"/>
        </w:numPr>
        <w:tabs>
          <w:tab w:val="left" w:pos="1277"/>
        </w:tabs>
        <w:autoSpaceDE w:val="0"/>
        <w:autoSpaceDN w:val="0"/>
        <w:spacing w:after="0" w:line="237" w:lineRule="auto"/>
        <w:ind w:right="135" w:firstLine="0"/>
        <w:contextualSpacing w:val="0"/>
        <w:rPr>
          <w:rFonts w:ascii="Times New Roman" w:hAnsi="Times New Roman"/>
        </w:rPr>
      </w:pPr>
      <w:r w:rsidRPr="00731F8E">
        <w:rPr>
          <w:rFonts w:ascii="Times New Roman" w:hAnsi="Times New Roman"/>
        </w:rPr>
        <w:t>The amount of guarantee to be received from the legal entities that will apply for a preliminary license per MWm of installed power (including the three digits after the comma) shall be 50,000 (fifty thousand) TL,</w:t>
      </w:r>
    </w:p>
    <w:p w14:paraId="631C4379" w14:textId="77777777" w:rsidR="004C0A79" w:rsidRPr="00731F8E" w:rsidRDefault="004C0A79" w:rsidP="004C0A79">
      <w:pPr>
        <w:pStyle w:val="GvdeMetni"/>
        <w:rPr>
          <w:rFonts w:cs="Times New Roman"/>
          <w:i/>
          <w:szCs w:val="22"/>
        </w:rPr>
      </w:pPr>
    </w:p>
    <w:p w14:paraId="4E556228" w14:textId="77777777" w:rsidR="004C0A79" w:rsidRPr="00731F8E" w:rsidRDefault="004C0A79" w:rsidP="00A86526">
      <w:pPr>
        <w:pStyle w:val="ListeParagraf"/>
        <w:widowControl w:val="0"/>
        <w:numPr>
          <w:ilvl w:val="2"/>
          <w:numId w:val="55"/>
        </w:numPr>
        <w:tabs>
          <w:tab w:val="left" w:pos="1217"/>
        </w:tabs>
        <w:autoSpaceDE w:val="0"/>
        <w:autoSpaceDN w:val="0"/>
        <w:spacing w:before="1" w:after="0" w:line="240" w:lineRule="auto"/>
        <w:ind w:right="133" w:firstLine="0"/>
        <w:contextualSpacing w:val="0"/>
        <w:rPr>
          <w:rFonts w:ascii="Times New Roman" w:hAnsi="Times New Roman"/>
        </w:rPr>
      </w:pPr>
      <w:r w:rsidRPr="00731F8E">
        <w:rPr>
          <w:rFonts w:ascii="Times New Roman" w:hAnsi="Times New Roman"/>
        </w:rPr>
        <w:t>In the preliminary license applications within the scope of the storage electricity generation facility, the guarantee amount to be received per MWh for the electricity storage unit shall be 50,000 (fifty thousand) TL, and the guarantee amount to be submitted to the Authority in this context shall be determined by adding the guarantee amount to be calculated for the electricity storage unit to the guarantee amount determined in clause (a.1),</w:t>
      </w:r>
    </w:p>
    <w:p w14:paraId="3CA37345" w14:textId="77777777" w:rsidR="004C0A79" w:rsidRPr="00731F8E" w:rsidRDefault="004C0A79" w:rsidP="004C0A79">
      <w:pPr>
        <w:rPr>
          <w:rFonts w:ascii="Times New Roman" w:hAnsi="Times New Roman"/>
        </w:rPr>
        <w:sectPr w:rsidR="004C0A79" w:rsidRPr="00731F8E">
          <w:pgSz w:w="11910" w:h="16840"/>
          <w:pgMar w:top="1380" w:right="1280" w:bottom="280" w:left="1300" w:header="720" w:footer="720" w:gutter="0"/>
          <w:cols w:space="720"/>
        </w:sectPr>
      </w:pPr>
    </w:p>
    <w:p w14:paraId="6589F6A1" w14:textId="77777777" w:rsidR="004C0A79" w:rsidRPr="00731F8E" w:rsidRDefault="004C0A79" w:rsidP="00A86526">
      <w:pPr>
        <w:pStyle w:val="ListeParagraf"/>
        <w:widowControl w:val="0"/>
        <w:numPr>
          <w:ilvl w:val="2"/>
          <w:numId w:val="55"/>
        </w:numPr>
        <w:tabs>
          <w:tab w:val="left" w:pos="1276"/>
        </w:tabs>
        <w:autoSpaceDE w:val="0"/>
        <w:autoSpaceDN w:val="0"/>
        <w:spacing w:before="37" w:after="0" w:line="240" w:lineRule="auto"/>
        <w:ind w:left="1276" w:hanging="452"/>
        <w:contextualSpacing w:val="0"/>
        <w:rPr>
          <w:rFonts w:ascii="Times New Roman" w:hAnsi="Times New Roman"/>
        </w:rPr>
      </w:pPr>
      <w:r w:rsidRPr="00731F8E">
        <w:rPr>
          <w:rFonts w:ascii="Times New Roman" w:hAnsi="Times New Roman"/>
        </w:rPr>
        <w:lastRenderedPageBreak/>
        <w:t>For each project, the amount of guarantee to be submitted to the Authority in preliminary license applications</w:t>
      </w:r>
    </w:p>
    <w:p w14:paraId="78C77326" w14:textId="77777777" w:rsidR="004C0A79" w:rsidRPr="00731F8E" w:rsidRDefault="004C0A79" w:rsidP="004C0A79">
      <w:pPr>
        <w:ind w:left="823"/>
        <w:rPr>
          <w:rFonts w:ascii="Times New Roman" w:hAnsi="Times New Roman"/>
        </w:rPr>
      </w:pPr>
      <w:r w:rsidRPr="00731F8E">
        <w:rPr>
          <w:rFonts w:ascii="Times New Roman" w:hAnsi="Times New Roman"/>
        </w:rPr>
        <w:t>not exceed 30.000.000 (thirty million) TL,</w:t>
      </w:r>
    </w:p>
    <w:p w14:paraId="169971E4" w14:textId="77777777" w:rsidR="004C0A79" w:rsidRPr="00731F8E" w:rsidRDefault="004C0A79" w:rsidP="004C0A79">
      <w:pPr>
        <w:pStyle w:val="GvdeMetni"/>
        <w:rPr>
          <w:rFonts w:cs="Times New Roman"/>
          <w:i/>
          <w:szCs w:val="22"/>
        </w:rPr>
      </w:pPr>
    </w:p>
    <w:p w14:paraId="17B2FFB0" w14:textId="77777777" w:rsidR="004C0A79" w:rsidRPr="00731F8E" w:rsidRDefault="004C0A79" w:rsidP="00A86526">
      <w:pPr>
        <w:pStyle w:val="ListeParagraf"/>
        <w:widowControl w:val="0"/>
        <w:numPr>
          <w:ilvl w:val="1"/>
          <w:numId w:val="55"/>
        </w:numPr>
        <w:tabs>
          <w:tab w:val="left" w:pos="1060"/>
        </w:tabs>
        <w:autoSpaceDE w:val="0"/>
        <w:autoSpaceDN w:val="0"/>
        <w:spacing w:after="0" w:line="240" w:lineRule="auto"/>
        <w:ind w:left="1060" w:hanging="237"/>
        <w:contextualSpacing w:val="0"/>
        <w:rPr>
          <w:rFonts w:ascii="Times New Roman" w:hAnsi="Times New Roman"/>
        </w:rPr>
      </w:pPr>
      <w:r w:rsidRPr="00731F8E">
        <w:rPr>
          <w:rFonts w:ascii="Times New Roman" w:hAnsi="Times New Roman"/>
        </w:rPr>
        <w:t>Within the framework of the sixth paragraph of Article 20 of the Regulation;</w:t>
      </w:r>
    </w:p>
    <w:p w14:paraId="4907BDD5" w14:textId="77777777" w:rsidR="004C0A79" w:rsidRPr="00731F8E" w:rsidRDefault="004C0A79" w:rsidP="004C0A79">
      <w:pPr>
        <w:pStyle w:val="GvdeMetni"/>
        <w:rPr>
          <w:rFonts w:cs="Times New Roman"/>
          <w:i/>
          <w:szCs w:val="22"/>
        </w:rPr>
      </w:pPr>
    </w:p>
    <w:p w14:paraId="490A6560" w14:textId="77777777" w:rsidR="004C0A79" w:rsidRPr="00731F8E" w:rsidRDefault="004C0A79" w:rsidP="00A86526">
      <w:pPr>
        <w:pStyle w:val="ListeParagraf"/>
        <w:widowControl w:val="0"/>
        <w:numPr>
          <w:ilvl w:val="2"/>
          <w:numId w:val="55"/>
        </w:numPr>
        <w:tabs>
          <w:tab w:val="left" w:pos="1238"/>
        </w:tabs>
        <w:autoSpaceDE w:val="0"/>
        <w:autoSpaceDN w:val="0"/>
        <w:spacing w:after="0" w:line="240" w:lineRule="auto"/>
        <w:ind w:right="133" w:firstLine="0"/>
        <w:contextualSpacing w:val="0"/>
        <w:rPr>
          <w:rFonts w:ascii="Times New Roman" w:hAnsi="Times New Roman"/>
        </w:rPr>
      </w:pPr>
      <w:r w:rsidRPr="00731F8E">
        <w:rPr>
          <w:rFonts w:ascii="Times New Roman" w:hAnsi="Times New Roman"/>
        </w:rPr>
        <w:t>In the generation license applications exceeding the power limit specified in the Regulation within the scope of the Regulation on Renewable Energy Resource Areas published in the Official Gazette dated 9/10/2016 and numbered 29852, the guarantee amounts to be submitted to the Authority shall be determined in accordance with the table below, and the upper limit regarding the guarantee amount to be calculated according to the formula mentioned in the table shall be determined as 130.000.000 (one hundred thirty million) TL for each project,</w:t>
      </w:r>
    </w:p>
    <w:p w14:paraId="2EDFFB47" w14:textId="77777777" w:rsidR="004C0A79" w:rsidRPr="00731F8E" w:rsidRDefault="004C0A79" w:rsidP="004C0A79">
      <w:pPr>
        <w:pStyle w:val="GvdeMetni"/>
        <w:spacing w:before="2"/>
        <w:rPr>
          <w:rFonts w:cs="Times New Roman"/>
          <w:i/>
          <w:szCs w:val="22"/>
        </w:rPr>
      </w:pPr>
    </w:p>
    <w:tbl>
      <w:tblPr>
        <w:tblStyle w:val="TableNormal"/>
        <w:tblW w:w="0" w:type="auto"/>
        <w:tblInd w:w="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4"/>
        <w:gridCol w:w="4536"/>
      </w:tblGrid>
      <w:tr w:rsidR="004C0A79" w:rsidRPr="00731F8E" w14:paraId="67E247E3" w14:textId="77777777" w:rsidTr="004C0A79">
        <w:trPr>
          <w:trHeight w:val="935"/>
        </w:trPr>
        <w:tc>
          <w:tcPr>
            <w:tcW w:w="2834" w:type="dxa"/>
          </w:tcPr>
          <w:p w14:paraId="61B79FBE" w14:textId="77777777" w:rsidR="004C0A79" w:rsidRPr="00731F8E" w:rsidRDefault="004C0A79" w:rsidP="004C0A79">
            <w:pPr>
              <w:pStyle w:val="TableParagraph"/>
              <w:spacing w:before="64"/>
              <w:ind w:left="155" w:right="147" w:firstLine="4"/>
              <w:rPr>
                <w:rFonts w:ascii="Times New Roman" w:hAnsi="Times New Roman" w:cs="Times New Roman"/>
                <w:szCs w:val="22"/>
              </w:rPr>
            </w:pPr>
            <w:r w:rsidRPr="00731F8E">
              <w:rPr>
                <w:rFonts w:ascii="Times New Roman" w:hAnsi="Times New Roman" w:cs="Times New Roman"/>
                <w:szCs w:val="22"/>
              </w:rPr>
              <w:t>Percentage to be applied to the total investment amount envisaged (%)</w:t>
            </w:r>
          </w:p>
        </w:tc>
        <w:tc>
          <w:tcPr>
            <w:tcW w:w="4536" w:type="dxa"/>
          </w:tcPr>
          <w:p w14:paraId="5C782AC4" w14:textId="77777777" w:rsidR="004C0A79" w:rsidRPr="00731F8E" w:rsidRDefault="004C0A79" w:rsidP="004C0A79">
            <w:pPr>
              <w:pStyle w:val="TableParagraph"/>
              <w:spacing w:before="64"/>
              <w:rPr>
                <w:rFonts w:ascii="Times New Roman" w:hAnsi="Times New Roman" w:cs="Times New Roman"/>
                <w:szCs w:val="22"/>
              </w:rPr>
            </w:pPr>
          </w:p>
          <w:p w14:paraId="090D8CE1" w14:textId="77777777" w:rsidR="004C0A79" w:rsidRPr="00731F8E" w:rsidRDefault="004C0A79" w:rsidP="004C0A79">
            <w:pPr>
              <w:pStyle w:val="TableParagraph"/>
              <w:ind w:left="12"/>
              <w:rPr>
                <w:rFonts w:ascii="Times New Roman" w:hAnsi="Times New Roman" w:cs="Times New Roman"/>
                <w:szCs w:val="22"/>
              </w:rPr>
            </w:pPr>
            <w:r w:rsidRPr="00731F8E">
              <w:rPr>
                <w:rFonts w:ascii="Times New Roman" w:hAnsi="Times New Roman" w:cs="Times New Roman"/>
                <w:szCs w:val="22"/>
              </w:rPr>
              <w:t>The formula applied is:</w:t>
            </w:r>
          </w:p>
        </w:tc>
      </w:tr>
      <w:tr w:rsidR="004C0A79" w:rsidRPr="00731F8E" w14:paraId="093F69A7" w14:textId="77777777" w:rsidTr="004C0A79">
        <w:trPr>
          <w:trHeight w:val="486"/>
        </w:trPr>
        <w:tc>
          <w:tcPr>
            <w:tcW w:w="2834" w:type="dxa"/>
          </w:tcPr>
          <w:p w14:paraId="6EECB97C" w14:textId="77777777" w:rsidR="004C0A79" w:rsidRPr="00731F8E" w:rsidRDefault="004C0A79" w:rsidP="004C0A79">
            <w:pPr>
              <w:pStyle w:val="TableParagraph"/>
              <w:spacing w:before="107"/>
              <w:ind w:left="10" w:right="1"/>
              <w:rPr>
                <w:rFonts w:ascii="Times New Roman" w:hAnsi="Times New Roman" w:cs="Times New Roman"/>
                <w:szCs w:val="22"/>
              </w:rPr>
            </w:pPr>
            <w:r w:rsidRPr="00731F8E">
              <w:rPr>
                <w:rFonts w:ascii="Times New Roman" w:hAnsi="Times New Roman" w:cs="Times New Roman"/>
                <w:szCs w:val="22"/>
              </w:rPr>
              <w:t>1</w:t>
            </w:r>
          </w:p>
        </w:tc>
        <w:tc>
          <w:tcPr>
            <w:tcW w:w="4536" w:type="dxa"/>
          </w:tcPr>
          <w:p w14:paraId="0A94CB14" w14:textId="77777777" w:rsidR="004C0A79" w:rsidRPr="00731F8E" w:rsidRDefault="004C0A79" w:rsidP="004C0A79">
            <w:pPr>
              <w:pStyle w:val="TableParagraph"/>
              <w:spacing w:before="107"/>
              <w:ind w:left="12" w:right="3"/>
              <w:rPr>
                <w:rFonts w:ascii="Times New Roman" w:hAnsi="Times New Roman" w:cs="Times New Roman"/>
                <w:szCs w:val="22"/>
              </w:rPr>
            </w:pPr>
            <w:r w:rsidRPr="00731F8E">
              <w:rPr>
                <w:rFonts w:ascii="Times New Roman" w:hAnsi="Times New Roman" w:cs="Times New Roman"/>
                <w:szCs w:val="22"/>
              </w:rPr>
              <w:t>P x byt x 0.01</w:t>
            </w:r>
          </w:p>
        </w:tc>
      </w:tr>
    </w:tbl>
    <w:p w14:paraId="60C4E5A9" w14:textId="77777777" w:rsidR="004C0A79" w:rsidRPr="00731F8E" w:rsidRDefault="004C0A79" w:rsidP="004C0A79">
      <w:pPr>
        <w:ind w:left="1337" w:right="2159" w:hanging="1"/>
        <w:rPr>
          <w:rFonts w:ascii="Times New Roman" w:hAnsi="Times New Roman"/>
        </w:rPr>
      </w:pPr>
      <w:r w:rsidRPr="00731F8E">
        <w:rPr>
          <w:rFonts w:ascii="Times New Roman" w:hAnsi="Times New Roman"/>
          <w:position w:val="1"/>
        </w:rPr>
        <w:t>P: Installed Power (</w:t>
      </w:r>
      <w:r w:rsidRPr="00731F8E">
        <w:rPr>
          <w:rFonts w:ascii="Times New Roman" w:hAnsi="Times New Roman"/>
          <w:i/>
          <w:position w:val="1"/>
        </w:rPr>
        <w:t>in MWm; including three digits after the comma</w:t>
      </w:r>
      <w:r w:rsidRPr="00731F8E">
        <w:rPr>
          <w:rFonts w:ascii="Times New Roman" w:hAnsi="Times New Roman"/>
          <w:position w:val="1"/>
        </w:rPr>
        <w:t>) BYT: Total unit investment amount stipulated by the Authority (TL/MWm )</w:t>
      </w:r>
      <w:r w:rsidRPr="00731F8E">
        <w:rPr>
          <w:rFonts w:ascii="Times New Roman" w:hAnsi="Times New Roman"/>
          <w:i/>
        </w:rPr>
        <w:t xml:space="preserve">  </w:t>
      </w:r>
      <w:r w:rsidRPr="00731F8E">
        <w:rPr>
          <w:rFonts w:ascii="Times New Roman" w:hAnsi="Times New Roman"/>
          <w:position w:val="1"/>
        </w:rPr>
        <w:t xml:space="preserve"> </w:t>
      </w:r>
    </w:p>
    <w:p w14:paraId="7CAB74DC" w14:textId="77777777" w:rsidR="004C0A79" w:rsidRPr="00731F8E" w:rsidRDefault="004C0A79" w:rsidP="004C0A79">
      <w:pPr>
        <w:pStyle w:val="GvdeMetni"/>
        <w:spacing w:before="23"/>
        <w:rPr>
          <w:rFonts w:cs="Times New Roman"/>
          <w:i/>
          <w:szCs w:val="22"/>
        </w:rPr>
      </w:pPr>
    </w:p>
    <w:p w14:paraId="58AF0E69" w14:textId="77777777" w:rsidR="004C0A79" w:rsidRPr="00731F8E" w:rsidRDefault="004C0A79" w:rsidP="00A86526">
      <w:pPr>
        <w:pStyle w:val="ListeParagraf"/>
        <w:widowControl w:val="0"/>
        <w:numPr>
          <w:ilvl w:val="2"/>
          <w:numId w:val="55"/>
        </w:numPr>
        <w:tabs>
          <w:tab w:val="left" w:pos="1218"/>
        </w:tabs>
        <w:autoSpaceDE w:val="0"/>
        <w:autoSpaceDN w:val="0"/>
        <w:spacing w:before="1" w:after="0" w:line="240" w:lineRule="auto"/>
        <w:ind w:left="824" w:right="133" w:firstLine="0"/>
        <w:contextualSpacing w:val="0"/>
        <w:rPr>
          <w:rFonts w:ascii="Times New Roman" w:hAnsi="Times New Roman"/>
        </w:rPr>
      </w:pPr>
      <w:r w:rsidRPr="00731F8E">
        <w:rPr>
          <w:rFonts w:ascii="Times New Roman" w:hAnsi="Times New Roman"/>
        </w:rPr>
        <w:t>In the generation license applications outside the scope of clause (b.1), the guarantee amounts to be submitted to the Authority shall be determined in accordance with the table below, and the upper limit regarding the guarantee amount to be calculated according to the formula mentioned in the table shall be determined as 340.000.000 (three hundred and forty million) TL,</w:t>
      </w:r>
    </w:p>
    <w:p w14:paraId="4EC8C0F7" w14:textId="77777777" w:rsidR="004C0A79" w:rsidRPr="00731F8E" w:rsidRDefault="004C0A79" w:rsidP="004C0A79">
      <w:pPr>
        <w:pStyle w:val="GvdeMetni"/>
        <w:spacing w:before="31"/>
        <w:rPr>
          <w:rFonts w:cs="Times New Roman"/>
          <w:i/>
          <w:szCs w:val="22"/>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8"/>
        <w:gridCol w:w="2834"/>
        <w:gridCol w:w="3259"/>
      </w:tblGrid>
      <w:tr w:rsidR="004C0A79" w:rsidRPr="00731F8E" w14:paraId="31C6BF1B" w14:textId="77777777" w:rsidTr="004C0A79">
        <w:trPr>
          <w:trHeight w:val="952"/>
        </w:trPr>
        <w:tc>
          <w:tcPr>
            <w:tcW w:w="2978" w:type="dxa"/>
          </w:tcPr>
          <w:p w14:paraId="069F9003" w14:textId="77777777" w:rsidR="004C0A79" w:rsidRPr="00731F8E" w:rsidRDefault="004C0A79" w:rsidP="004C0A79">
            <w:pPr>
              <w:pStyle w:val="TableParagraph"/>
              <w:spacing w:before="72"/>
              <w:rPr>
                <w:rFonts w:ascii="Times New Roman" w:hAnsi="Times New Roman" w:cs="Times New Roman"/>
                <w:szCs w:val="22"/>
              </w:rPr>
            </w:pPr>
          </w:p>
          <w:p w14:paraId="3264731F" w14:textId="77777777" w:rsidR="004C0A79" w:rsidRPr="00731F8E" w:rsidRDefault="004C0A79" w:rsidP="004C0A79">
            <w:pPr>
              <w:pStyle w:val="TableParagraph"/>
              <w:spacing w:before="1"/>
              <w:ind w:left="13" w:right="1"/>
              <w:rPr>
                <w:rFonts w:ascii="Times New Roman" w:hAnsi="Times New Roman" w:cs="Times New Roman"/>
                <w:szCs w:val="22"/>
              </w:rPr>
            </w:pPr>
            <w:r w:rsidRPr="00731F8E">
              <w:rPr>
                <w:rFonts w:ascii="Times New Roman" w:hAnsi="Times New Roman" w:cs="Times New Roman"/>
                <w:position w:val="2"/>
                <w:szCs w:val="22"/>
              </w:rPr>
              <w:t>Installed Power (MW)</w:t>
            </w:r>
          </w:p>
        </w:tc>
        <w:tc>
          <w:tcPr>
            <w:tcW w:w="2834" w:type="dxa"/>
          </w:tcPr>
          <w:p w14:paraId="52A1304C" w14:textId="77777777" w:rsidR="004C0A79" w:rsidRPr="00731F8E" w:rsidRDefault="004C0A79" w:rsidP="004C0A79">
            <w:pPr>
              <w:pStyle w:val="TableParagraph"/>
              <w:spacing w:before="73"/>
              <w:ind w:left="156" w:right="146" w:hanging="1"/>
              <w:rPr>
                <w:rFonts w:ascii="Times New Roman" w:hAnsi="Times New Roman" w:cs="Times New Roman"/>
                <w:szCs w:val="22"/>
              </w:rPr>
            </w:pPr>
            <w:r w:rsidRPr="00731F8E">
              <w:rPr>
                <w:rFonts w:ascii="Times New Roman" w:hAnsi="Times New Roman" w:cs="Times New Roman"/>
                <w:szCs w:val="22"/>
              </w:rPr>
              <w:t>Percentage to be applied to the total investment amount envisaged (%)</w:t>
            </w:r>
          </w:p>
        </w:tc>
        <w:tc>
          <w:tcPr>
            <w:tcW w:w="3259" w:type="dxa"/>
          </w:tcPr>
          <w:p w14:paraId="0CC6AAC1" w14:textId="77777777" w:rsidR="004C0A79" w:rsidRPr="00731F8E" w:rsidRDefault="004C0A79" w:rsidP="004C0A79">
            <w:pPr>
              <w:pStyle w:val="TableParagraph"/>
              <w:spacing w:before="73"/>
              <w:rPr>
                <w:rFonts w:ascii="Times New Roman" w:hAnsi="Times New Roman" w:cs="Times New Roman"/>
                <w:szCs w:val="22"/>
              </w:rPr>
            </w:pPr>
          </w:p>
          <w:p w14:paraId="3C916B1B" w14:textId="77777777" w:rsidR="004C0A79" w:rsidRPr="00731F8E" w:rsidRDefault="004C0A79" w:rsidP="004C0A79">
            <w:pPr>
              <w:pStyle w:val="TableParagraph"/>
              <w:ind w:left="13"/>
              <w:rPr>
                <w:rFonts w:ascii="Times New Roman" w:hAnsi="Times New Roman" w:cs="Times New Roman"/>
                <w:szCs w:val="22"/>
              </w:rPr>
            </w:pPr>
            <w:r w:rsidRPr="00731F8E">
              <w:rPr>
                <w:rFonts w:ascii="Times New Roman" w:hAnsi="Times New Roman" w:cs="Times New Roman"/>
                <w:szCs w:val="22"/>
              </w:rPr>
              <w:t>The formula applied is:</w:t>
            </w:r>
          </w:p>
        </w:tc>
      </w:tr>
      <w:tr w:rsidR="004C0A79" w:rsidRPr="00731F8E" w14:paraId="49FB62EA" w14:textId="77777777" w:rsidTr="004C0A79">
        <w:trPr>
          <w:trHeight w:val="467"/>
        </w:trPr>
        <w:tc>
          <w:tcPr>
            <w:tcW w:w="2978" w:type="dxa"/>
          </w:tcPr>
          <w:p w14:paraId="309E2F8C" w14:textId="77777777" w:rsidR="004C0A79" w:rsidRPr="00731F8E" w:rsidRDefault="004C0A79" w:rsidP="004C0A79">
            <w:pPr>
              <w:pStyle w:val="TableParagraph"/>
              <w:spacing w:before="100"/>
              <w:ind w:left="13" w:right="2"/>
              <w:rPr>
                <w:rFonts w:ascii="Times New Roman" w:hAnsi="Times New Roman" w:cs="Times New Roman"/>
                <w:szCs w:val="22"/>
              </w:rPr>
            </w:pPr>
            <w:r w:rsidRPr="00731F8E">
              <w:rPr>
                <w:rFonts w:ascii="Times New Roman" w:hAnsi="Times New Roman" w:cs="Times New Roman"/>
                <w:szCs w:val="22"/>
              </w:rPr>
              <w:t>0 &lt; P ≤ 10</w:t>
            </w:r>
          </w:p>
        </w:tc>
        <w:tc>
          <w:tcPr>
            <w:tcW w:w="2834" w:type="dxa"/>
          </w:tcPr>
          <w:p w14:paraId="3F92E54D" w14:textId="77777777" w:rsidR="004C0A79" w:rsidRPr="00731F8E" w:rsidRDefault="004C0A79" w:rsidP="004C0A79">
            <w:pPr>
              <w:pStyle w:val="TableParagraph"/>
              <w:spacing w:before="100"/>
              <w:ind w:left="10"/>
              <w:rPr>
                <w:rFonts w:ascii="Times New Roman" w:hAnsi="Times New Roman" w:cs="Times New Roman"/>
                <w:szCs w:val="22"/>
              </w:rPr>
            </w:pPr>
            <w:r w:rsidRPr="00731F8E">
              <w:rPr>
                <w:rFonts w:ascii="Times New Roman" w:hAnsi="Times New Roman" w:cs="Times New Roman"/>
                <w:szCs w:val="22"/>
              </w:rPr>
              <w:t>3</w:t>
            </w:r>
          </w:p>
        </w:tc>
        <w:tc>
          <w:tcPr>
            <w:tcW w:w="3259" w:type="dxa"/>
          </w:tcPr>
          <w:p w14:paraId="017393D7" w14:textId="77777777" w:rsidR="004C0A79" w:rsidRPr="00731F8E" w:rsidRDefault="004C0A79" w:rsidP="004C0A79">
            <w:pPr>
              <w:pStyle w:val="TableParagraph"/>
              <w:spacing w:before="100"/>
              <w:ind w:left="13" w:right="3"/>
              <w:rPr>
                <w:rFonts w:ascii="Times New Roman" w:hAnsi="Times New Roman" w:cs="Times New Roman"/>
                <w:szCs w:val="22"/>
              </w:rPr>
            </w:pPr>
            <w:r w:rsidRPr="00731F8E">
              <w:rPr>
                <w:rFonts w:ascii="Times New Roman" w:hAnsi="Times New Roman" w:cs="Times New Roman"/>
                <w:szCs w:val="22"/>
              </w:rPr>
              <w:t>P x byt x 0.03</w:t>
            </w:r>
          </w:p>
        </w:tc>
      </w:tr>
      <w:tr w:rsidR="004C0A79" w:rsidRPr="00731F8E" w14:paraId="46E95D0E" w14:textId="77777777" w:rsidTr="004C0A79">
        <w:trPr>
          <w:trHeight w:val="417"/>
        </w:trPr>
        <w:tc>
          <w:tcPr>
            <w:tcW w:w="2978" w:type="dxa"/>
          </w:tcPr>
          <w:p w14:paraId="4C0E939C" w14:textId="77777777" w:rsidR="004C0A79" w:rsidRPr="00731F8E" w:rsidRDefault="004C0A79" w:rsidP="004C0A79">
            <w:pPr>
              <w:pStyle w:val="TableParagraph"/>
              <w:spacing w:before="73"/>
              <w:ind w:left="13"/>
              <w:rPr>
                <w:rFonts w:ascii="Times New Roman" w:hAnsi="Times New Roman" w:cs="Times New Roman"/>
                <w:szCs w:val="22"/>
              </w:rPr>
            </w:pPr>
            <w:r w:rsidRPr="00731F8E">
              <w:rPr>
                <w:rFonts w:ascii="Times New Roman" w:hAnsi="Times New Roman" w:cs="Times New Roman"/>
                <w:szCs w:val="22"/>
              </w:rPr>
              <w:t>10 &lt; P ≤ 100</w:t>
            </w:r>
          </w:p>
        </w:tc>
        <w:tc>
          <w:tcPr>
            <w:tcW w:w="2834" w:type="dxa"/>
          </w:tcPr>
          <w:p w14:paraId="66419C7D" w14:textId="77777777" w:rsidR="004C0A79" w:rsidRPr="00731F8E" w:rsidRDefault="004C0A79" w:rsidP="004C0A79">
            <w:pPr>
              <w:pStyle w:val="TableParagraph"/>
              <w:spacing w:before="73"/>
              <w:ind w:left="10"/>
              <w:rPr>
                <w:rFonts w:ascii="Times New Roman" w:hAnsi="Times New Roman" w:cs="Times New Roman"/>
                <w:szCs w:val="22"/>
              </w:rPr>
            </w:pPr>
            <w:r w:rsidRPr="00731F8E">
              <w:rPr>
                <w:rFonts w:ascii="Times New Roman" w:hAnsi="Times New Roman" w:cs="Times New Roman"/>
                <w:szCs w:val="22"/>
              </w:rPr>
              <w:t>2</w:t>
            </w:r>
          </w:p>
        </w:tc>
        <w:tc>
          <w:tcPr>
            <w:tcW w:w="3259" w:type="dxa"/>
          </w:tcPr>
          <w:p w14:paraId="7E1D58EC" w14:textId="77777777" w:rsidR="004C0A79" w:rsidRPr="00731F8E" w:rsidRDefault="004C0A79" w:rsidP="004C0A79">
            <w:pPr>
              <w:pStyle w:val="TableParagraph"/>
              <w:spacing w:before="73"/>
              <w:ind w:left="13" w:right="4"/>
              <w:rPr>
                <w:rFonts w:ascii="Times New Roman" w:hAnsi="Times New Roman" w:cs="Times New Roman"/>
                <w:szCs w:val="22"/>
              </w:rPr>
            </w:pPr>
            <w:r w:rsidRPr="00731F8E">
              <w:rPr>
                <w:rFonts w:ascii="Times New Roman" w:hAnsi="Times New Roman" w:cs="Times New Roman"/>
                <w:szCs w:val="22"/>
              </w:rPr>
              <w:t>Byt x [0.3+ (P-10) x 0.02 ]</w:t>
            </w:r>
          </w:p>
        </w:tc>
      </w:tr>
      <w:tr w:rsidR="004C0A79" w:rsidRPr="00731F8E" w14:paraId="18AF9F99" w14:textId="77777777" w:rsidTr="004C0A79">
        <w:trPr>
          <w:trHeight w:val="412"/>
        </w:trPr>
        <w:tc>
          <w:tcPr>
            <w:tcW w:w="2978" w:type="dxa"/>
          </w:tcPr>
          <w:p w14:paraId="01A3BDBA" w14:textId="77777777" w:rsidR="004C0A79" w:rsidRPr="00731F8E" w:rsidRDefault="004C0A79" w:rsidP="004C0A79">
            <w:pPr>
              <w:pStyle w:val="TableParagraph"/>
              <w:spacing w:before="71"/>
              <w:ind w:left="13"/>
              <w:rPr>
                <w:rFonts w:ascii="Times New Roman" w:hAnsi="Times New Roman" w:cs="Times New Roman"/>
                <w:szCs w:val="22"/>
              </w:rPr>
            </w:pPr>
            <w:r w:rsidRPr="00731F8E">
              <w:rPr>
                <w:rFonts w:ascii="Times New Roman" w:hAnsi="Times New Roman" w:cs="Times New Roman"/>
                <w:szCs w:val="22"/>
              </w:rPr>
              <w:t>P &gt; 100</w:t>
            </w:r>
          </w:p>
        </w:tc>
        <w:tc>
          <w:tcPr>
            <w:tcW w:w="2834" w:type="dxa"/>
          </w:tcPr>
          <w:p w14:paraId="01B241AB" w14:textId="77777777" w:rsidR="004C0A79" w:rsidRPr="00731F8E" w:rsidRDefault="004C0A79" w:rsidP="004C0A79">
            <w:pPr>
              <w:pStyle w:val="TableParagraph"/>
              <w:spacing w:before="71"/>
              <w:ind w:left="10" w:right="1"/>
              <w:rPr>
                <w:rFonts w:ascii="Times New Roman" w:hAnsi="Times New Roman" w:cs="Times New Roman"/>
                <w:szCs w:val="22"/>
              </w:rPr>
            </w:pPr>
            <w:r w:rsidRPr="00731F8E">
              <w:rPr>
                <w:rFonts w:ascii="Times New Roman" w:hAnsi="Times New Roman" w:cs="Times New Roman"/>
                <w:szCs w:val="22"/>
              </w:rPr>
              <w:t>1</w:t>
            </w:r>
          </w:p>
        </w:tc>
        <w:tc>
          <w:tcPr>
            <w:tcW w:w="3259" w:type="dxa"/>
          </w:tcPr>
          <w:p w14:paraId="2E8E0056" w14:textId="77777777" w:rsidR="004C0A79" w:rsidRPr="00731F8E" w:rsidRDefault="004C0A79" w:rsidP="004C0A79">
            <w:pPr>
              <w:pStyle w:val="TableParagraph"/>
              <w:spacing w:line="268" w:lineRule="exact"/>
              <w:ind w:left="13" w:right="3"/>
              <w:rPr>
                <w:rFonts w:ascii="Times New Roman" w:hAnsi="Times New Roman" w:cs="Times New Roman"/>
                <w:szCs w:val="22"/>
              </w:rPr>
            </w:pPr>
            <w:r w:rsidRPr="00731F8E">
              <w:rPr>
                <w:rFonts w:ascii="Times New Roman" w:hAnsi="Times New Roman" w:cs="Times New Roman"/>
                <w:szCs w:val="22"/>
              </w:rPr>
              <w:t>Byt x [2.1 + (P – 100) x 0.01]</w:t>
            </w:r>
          </w:p>
        </w:tc>
      </w:tr>
    </w:tbl>
    <w:p w14:paraId="248A6C31" w14:textId="77777777" w:rsidR="004C0A79" w:rsidRPr="00731F8E" w:rsidRDefault="004C0A79" w:rsidP="004C0A79">
      <w:pPr>
        <w:ind w:left="481" w:right="2983" w:hanging="1"/>
        <w:rPr>
          <w:rFonts w:ascii="Times New Roman" w:hAnsi="Times New Roman"/>
        </w:rPr>
      </w:pPr>
      <w:r w:rsidRPr="00731F8E">
        <w:rPr>
          <w:rFonts w:ascii="Times New Roman" w:hAnsi="Times New Roman"/>
          <w:position w:val="1"/>
        </w:rPr>
        <w:t>P: Installed Power (</w:t>
      </w:r>
      <w:r w:rsidRPr="00731F8E">
        <w:rPr>
          <w:rFonts w:ascii="Times New Roman" w:hAnsi="Times New Roman"/>
          <w:i/>
          <w:position w:val="1"/>
        </w:rPr>
        <w:t>in MWm; including three digits after the comma</w:t>
      </w:r>
      <w:r w:rsidRPr="00731F8E">
        <w:rPr>
          <w:rFonts w:ascii="Times New Roman" w:hAnsi="Times New Roman"/>
          <w:position w:val="1"/>
        </w:rPr>
        <w:t>) BYT: Total unit investment amount stipulated by the Authority (TL/MWm )</w:t>
      </w:r>
      <w:r w:rsidRPr="00731F8E">
        <w:rPr>
          <w:rFonts w:ascii="Times New Roman" w:hAnsi="Times New Roman"/>
          <w:i/>
        </w:rPr>
        <w:t xml:space="preserve">  </w:t>
      </w:r>
      <w:r w:rsidRPr="00731F8E">
        <w:rPr>
          <w:rFonts w:ascii="Times New Roman" w:hAnsi="Times New Roman"/>
          <w:position w:val="1"/>
        </w:rPr>
        <w:t xml:space="preserve">   </w:t>
      </w:r>
    </w:p>
    <w:p w14:paraId="6D654716" w14:textId="77777777" w:rsidR="004C0A79" w:rsidRPr="00731F8E" w:rsidRDefault="004C0A79" w:rsidP="004C0A79">
      <w:pPr>
        <w:pStyle w:val="GvdeMetni"/>
        <w:spacing w:before="24"/>
        <w:rPr>
          <w:rFonts w:cs="Times New Roman"/>
          <w:i/>
          <w:szCs w:val="22"/>
        </w:rPr>
      </w:pPr>
    </w:p>
    <w:p w14:paraId="616510C9" w14:textId="77777777" w:rsidR="004C0A79" w:rsidRPr="00731F8E" w:rsidRDefault="004C0A79" w:rsidP="00A86526">
      <w:pPr>
        <w:pStyle w:val="ListeParagraf"/>
        <w:widowControl w:val="0"/>
        <w:numPr>
          <w:ilvl w:val="2"/>
          <w:numId w:val="55"/>
        </w:numPr>
        <w:tabs>
          <w:tab w:val="left" w:pos="1248"/>
          <w:tab w:val="left" w:pos="1275"/>
        </w:tabs>
        <w:autoSpaceDE w:val="0"/>
        <w:autoSpaceDN w:val="0"/>
        <w:spacing w:after="0" w:line="240" w:lineRule="auto"/>
        <w:ind w:left="1248" w:right="133" w:hanging="425"/>
        <w:contextualSpacing w:val="0"/>
        <w:rPr>
          <w:rFonts w:ascii="Times New Roman" w:hAnsi="Times New Roman"/>
        </w:rPr>
      </w:pPr>
      <w:r w:rsidRPr="00731F8E">
        <w:rPr>
          <w:rFonts w:ascii="Times New Roman" w:hAnsi="Times New Roman"/>
        </w:rPr>
        <w:tab/>
      </w:r>
      <w:r w:rsidRPr="00731F8E">
        <w:rPr>
          <w:rFonts w:ascii="Times New Roman" w:hAnsi="Times New Roman"/>
          <w:b/>
        </w:rPr>
        <w:tab/>
      </w:r>
      <w:r w:rsidRPr="00731F8E">
        <w:rPr>
          <w:rFonts w:ascii="Times New Roman" w:hAnsi="Times New Roman"/>
        </w:rPr>
        <w:t>The collateral amount to be submitted to the Authority in the generation license applications within the scope of the storage electricity generation facility shall be calculated separately by using the formula in clause (b.2) in MWh for the electricity storage unit and added to the collateral amount determined according to the relevant source in clause (b.2) and submitted together,</w:t>
      </w:r>
    </w:p>
    <w:p w14:paraId="7D41E5ED" w14:textId="77777777" w:rsidR="004C0A79" w:rsidRPr="00731F8E" w:rsidRDefault="004C0A79" w:rsidP="00A86526">
      <w:pPr>
        <w:pStyle w:val="ListeParagraf"/>
        <w:widowControl w:val="0"/>
        <w:numPr>
          <w:ilvl w:val="0"/>
          <w:numId w:val="55"/>
        </w:numPr>
        <w:tabs>
          <w:tab w:val="left" w:pos="1193"/>
          <w:tab w:val="left" w:pos="1195"/>
        </w:tabs>
        <w:autoSpaceDE w:val="0"/>
        <w:autoSpaceDN w:val="0"/>
        <w:spacing w:before="267" w:after="0" w:line="240" w:lineRule="auto"/>
        <w:ind w:left="1195" w:right="134"/>
        <w:contextualSpacing w:val="0"/>
        <w:rPr>
          <w:rFonts w:ascii="Times New Roman" w:hAnsi="Times New Roman"/>
        </w:rPr>
      </w:pPr>
      <w:r w:rsidRPr="00731F8E">
        <w:rPr>
          <w:rFonts w:ascii="Times New Roman" w:hAnsi="Times New Roman"/>
        </w:rPr>
        <w:t>In applications for multiple-source electricity generation facilities, the installed power of the main source and auxiliary source in MWm shall be collected and evaluated together over the main source unit investment amount in relation to the transactions specified in this decision,</w:t>
      </w:r>
    </w:p>
    <w:p w14:paraId="641EBF6A" w14:textId="77777777" w:rsidR="004C0A79" w:rsidRPr="00731F8E" w:rsidRDefault="004C0A79" w:rsidP="004C0A79">
      <w:pPr>
        <w:pStyle w:val="GvdeMetni"/>
        <w:rPr>
          <w:rFonts w:cs="Times New Roman"/>
          <w:i/>
          <w:szCs w:val="22"/>
        </w:rPr>
      </w:pPr>
    </w:p>
    <w:p w14:paraId="0AA22B57" w14:textId="77777777" w:rsidR="004C0A79" w:rsidRPr="00731F8E" w:rsidRDefault="004C0A79" w:rsidP="00A86526">
      <w:pPr>
        <w:pStyle w:val="ListeParagraf"/>
        <w:widowControl w:val="0"/>
        <w:numPr>
          <w:ilvl w:val="0"/>
          <w:numId w:val="55"/>
        </w:numPr>
        <w:tabs>
          <w:tab w:val="left" w:pos="1193"/>
        </w:tabs>
        <w:autoSpaceDE w:val="0"/>
        <w:autoSpaceDN w:val="0"/>
        <w:spacing w:after="0" w:line="480" w:lineRule="auto"/>
        <w:ind w:left="682" w:right="1422" w:firstLine="153"/>
        <w:contextualSpacing w:val="0"/>
        <w:rPr>
          <w:rFonts w:ascii="Times New Roman" w:hAnsi="Times New Roman"/>
        </w:rPr>
      </w:pPr>
      <w:r w:rsidRPr="00731F8E">
        <w:rPr>
          <w:rFonts w:ascii="Times New Roman" w:hAnsi="Times New Roman"/>
        </w:rPr>
        <w:t>To repeal the Board Decision dated 18/06/2020 and numbered 9397.</w:t>
      </w:r>
    </w:p>
    <w:p w14:paraId="0A655651" w14:textId="77777777" w:rsidR="004C0A79" w:rsidRPr="00731F8E" w:rsidRDefault="004C0A79" w:rsidP="00A86526">
      <w:pPr>
        <w:pStyle w:val="ListeParagraf"/>
        <w:widowControl w:val="0"/>
        <w:numPr>
          <w:ilvl w:val="0"/>
          <w:numId w:val="54"/>
        </w:numPr>
        <w:tabs>
          <w:tab w:val="left" w:pos="836"/>
        </w:tabs>
        <w:autoSpaceDE w:val="0"/>
        <w:autoSpaceDN w:val="0"/>
        <w:spacing w:before="21" w:after="0" w:line="259" w:lineRule="auto"/>
        <w:ind w:right="133"/>
        <w:contextualSpacing w:val="0"/>
        <w:jc w:val="left"/>
        <w:rPr>
          <w:rFonts w:ascii="Times New Roman" w:hAnsi="Times New Roman"/>
        </w:rPr>
      </w:pPr>
      <w:r w:rsidRPr="00731F8E">
        <w:rPr>
          <w:rFonts w:ascii="Times New Roman" w:hAnsi="Times New Roman"/>
        </w:rPr>
        <w:lastRenderedPageBreak/>
        <w:t>• With the Board Decision dated 17.11.2022 and numbered 11391 published in the Official Gazette dated 19.11.2022 and numbered 32018; During the evaluation phase of pre-license applications to be made within the scope of the fourteenth paragraph of Article 12, the twenty-first paragraph of Article 24 and the Provisional Article 37 of the Electricity Market License Regulation, it has been decided;</w:t>
      </w:r>
    </w:p>
    <w:p w14:paraId="6CAD0D42" w14:textId="77777777" w:rsidR="004C0A79" w:rsidRPr="00731F8E" w:rsidRDefault="004C0A79" w:rsidP="004C0A79">
      <w:pPr>
        <w:spacing w:before="37" w:line="259" w:lineRule="auto"/>
        <w:ind w:left="836" w:right="135"/>
        <w:rPr>
          <w:rFonts w:ascii="Times New Roman" w:hAnsi="Times New Roman"/>
        </w:rPr>
      </w:pPr>
    </w:p>
    <w:p w14:paraId="45E280C8"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after="0" w:line="259" w:lineRule="auto"/>
        <w:ind w:right="133"/>
        <w:contextualSpacing w:val="0"/>
        <w:rPr>
          <w:rFonts w:ascii="Times New Roman" w:hAnsi="Times New Roman"/>
        </w:rPr>
      </w:pPr>
      <w:r w:rsidRPr="00731F8E">
        <w:rPr>
          <w:rFonts w:ascii="Times New Roman" w:hAnsi="Times New Roman"/>
        </w:rPr>
        <w:t>Within the scope of the examinations made regarding the evaluation of the applications; the notification letters regarding the deficiencies detected after the examinations to be made for the applications made on the same day shall be sent to the applicants within the day when the examinations made for all of the said applications are completed,</w:t>
      </w:r>
    </w:p>
    <w:p w14:paraId="1D735066" w14:textId="77777777" w:rsidR="004C0A79" w:rsidRPr="00731F8E" w:rsidRDefault="004C0A79" w:rsidP="004C0A79">
      <w:pPr>
        <w:pStyle w:val="GvdeMetni"/>
        <w:spacing w:before="21"/>
        <w:rPr>
          <w:rFonts w:cs="Times New Roman"/>
          <w:i/>
          <w:szCs w:val="22"/>
        </w:rPr>
      </w:pPr>
    </w:p>
    <w:p w14:paraId="6BE0276D"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after="0" w:line="259" w:lineRule="auto"/>
        <w:ind w:right="134"/>
        <w:contextualSpacing w:val="0"/>
        <w:rPr>
          <w:rFonts w:ascii="Times New Roman" w:hAnsi="Times New Roman"/>
        </w:rPr>
      </w:pPr>
      <w:r w:rsidRPr="00731F8E">
        <w:rPr>
          <w:rFonts w:ascii="Times New Roman" w:hAnsi="Times New Roman"/>
        </w:rPr>
        <w:t>Following the expiry of the period regarding the applications within the scope of the Provisional Article 37 of the Regulation, the applications evaluated until that date shall be sent collectively to TEİAŞ for the creation of connection opinions, and the connection opinions regarding the said applications shall be formed by TEİAŞ in accordance with the order sent by the Authority,</w:t>
      </w:r>
    </w:p>
    <w:p w14:paraId="115580A7" w14:textId="77777777" w:rsidR="004C0A79" w:rsidRPr="00731F8E" w:rsidRDefault="004C0A79" w:rsidP="004C0A79">
      <w:pPr>
        <w:pStyle w:val="GvdeMetni"/>
        <w:spacing w:before="38"/>
        <w:rPr>
          <w:rFonts w:cs="Times New Roman"/>
          <w:i/>
          <w:szCs w:val="22"/>
        </w:rPr>
      </w:pPr>
    </w:p>
    <w:p w14:paraId="18354A7B"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after="0" w:line="259" w:lineRule="auto"/>
        <w:ind w:right="132"/>
        <w:contextualSpacing w:val="0"/>
        <w:rPr>
          <w:rFonts w:ascii="Times New Roman" w:hAnsi="Times New Roman"/>
        </w:rPr>
      </w:pPr>
      <w:r w:rsidRPr="00731F8E">
        <w:rPr>
          <w:rFonts w:ascii="Times New Roman" w:hAnsi="Times New Roman"/>
        </w:rPr>
        <w:t>Regarding the applications within the scope of the Provisional Article 37 of the Regulation, provided that there are "force majeure" situations approved by the Board and remain in the same connection area, it can be moved to a completely different site outside the approved power plant site,</w:t>
      </w:r>
    </w:p>
    <w:p w14:paraId="4F7712EB" w14:textId="77777777" w:rsidR="004C0A79" w:rsidRPr="00731F8E" w:rsidRDefault="004C0A79" w:rsidP="004C0A79">
      <w:pPr>
        <w:pStyle w:val="GvdeMetni"/>
        <w:spacing w:before="20"/>
        <w:rPr>
          <w:rFonts w:cs="Times New Roman"/>
          <w:i/>
          <w:szCs w:val="22"/>
        </w:rPr>
      </w:pPr>
    </w:p>
    <w:p w14:paraId="261DB117"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before="1" w:after="0" w:line="259" w:lineRule="auto"/>
        <w:ind w:right="134"/>
        <w:contextualSpacing w:val="0"/>
        <w:rPr>
          <w:rFonts w:ascii="Times New Roman" w:hAnsi="Times New Roman"/>
        </w:rPr>
      </w:pPr>
      <w:r w:rsidRPr="00731F8E">
        <w:rPr>
          <w:rFonts w:ascii="Times New Roman" w:hAnsi="Times New Roman"/>
        </w:rPr>
        <w:t>Regarding the applications within the scope of the Provisional Article 37 of the Regulation, in the event that the appropriate facility installed power is divided, in this context, in the event that a preliminary license application is made by the Board without changing the previously approved power plant site or by creating a new site to include this site; provided that the connection zone is not changed, the appropriate capacity is maintained, but if necessary, it is sent to TEİAŞ and/or the relevant electricity distribution company for re-evaluation of the connection view,</w:t>
      </w:r>
    </w:p>
    <w:p w14:paraId="5C1F9286" w14:textId="77777777" w:rsidR="004C0A79" w:rsidRPr="00731F8E" w:rsidRDefault="004C0A79" w:rsidP="004C0A79">
      <w:pPr>
        <w:pStyle w:val="GvdeMetni"/>
        <w:spacing w:before="18"/>
        <w:rPr>
          <w:rFonts w:cs="Times New Roman"/>
          <w:i/>
          <w:szCs w:val="22"/>
        </w:rPr>
      </w:pPr>
    </w:p>
    <w:p w14:paraId="42451059"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before="1" w:after="0" w:line="259" w:lineRule="auto"/>
        <w:ind w:right="134"/>
        <w:contextualSpacing w:val="0"/>
        <w:rPr>
          <w:rFonts w:ascii="Times New Roman" w:hAnsi="Times New Roman"/>
        </w:rPr>
      </w:pPr>
      <w:r w:rsidRPr="00731F8E">
        <w:rPr>
          <w:rFonts w:ascii="Times New Roman" w:hAnsi="Times New Roman"/>
        </w:rPr>
        <w:t>In case of intersection or overlap between the applications within the scope of Provisional Article 37 of the Regulation and the new applications to be made within the scope of Article 12 of the Regulation and the power plant sites, in the prioritization order to be made between the applications within this scope;</w:t>
      </w:r>
    </w:p>
    <w:p w14:paraId="6E90EEDC" w14:textId="77777777" w:rsidR="004C0A79" w:rsidRPr="00731F8E" w:rsidRDefault="004C0A79" w:rsidP="00A86526">
      <w:pPr>
        <w:pStyle w:val="ListeParagraf"/>
        <w:widowControl w:val="0"/>
        <w:numPr>
          <w:ilvl w:val="1"/>
          <w:numId w:val="53"/>
        </w:numPr>
        <w:tabs>
          <w:tab w:val="left" w:pos="1451"/>
        </w:tabs>
        <w:autoSpaceDE w:val="0"/>
        <w:autoSpaceDN w:val="0"/>
        <w:spacing w:after="0" w:line="259" w:lineRule="auto"/>
        <w:ind w:right="134" w:firstLine="0"/>
        <w:contextualSpacing w:val="0"/>
        <w:rPr>
          <w:rFonts w:ascii="Times New Roman" w:hAnsi="Times New Roman"/>
        </w:rPr>
      </w:pPr>
      <w:r w:rsidRPr="00731F8E">
        <w:rPr>
          <w:rFonts w:ascii="Times New Roman" w:hAnsi="Times New Roman"/>
        </w:rPr>
        <w:t>In the event that a preliminary license application is made for the said applications within the scope of the supply license without changing the appropriate power plant site or by creating a new site to include this site, the date on which the application for the detached storage facility is taken into consideration shall be taken as a basis,</w:t>
      </w:r>
    </w:p>
    <w:p w14:paraId="49286788" w14:textId="77777777" w:rsidR="004C0A79" w:rsidRPr="00731F8E" w:rsidRDefault="004C0A79" w:rsidP="00A86526">
      <w:pPr>
        <w:pStyle w:val="ListeParagraf"/>
        <w:widowControl w:val="0"/>
        <w:numPr>
          <w:ilvl w:val="1"/>
          <w:numId w:val="53"/>
        </w:numPr>
        <w:tabs>
          <w:tab w:val="left" w:pos="1474"/>
        </w:tabs>
        <w:autoSpaceDE w:val="0"/>
        <w:autoSpaceDN w:val="0"/>
        <w:spacing w:after="0" w:line="259" w:lineRule="auto"/>
        <w:ind w:right="133" w:firstLine="0"/>
        <w:contextualSpacing w:val="0"/>
        <w:rPr>
          <w:rFonts w:ascii="Times New Roman" w:hAnsi="Times New Roman"/>
        </w:rPr>
      </w:pPr>
      <w:r w:rsidRPr="00731F8E">
        <w:rPr>
          <w:rFonts w:ascii="Times New Roman" w:hAnsi="Times New Roman"/>
        </w:rPr>
        <w:t>In the event that the power plant site approved within the scope of Article 3 is changed and a preliminary license application is made, for the application made with the new site, the date on which the new application in question is taken into consideration shall be taken as a basis,</w:t>
      </w:r>
    </w:p>
    <w:p w14:paraId="2E189EC1" w14:textId="77777777" w:rsidR="004C0A79" w:rsidRPr="00731F8E" w:rsidRDefault="004C0A79" w:rsidP="004C0A79">
      <w:pPr>
        <w:pStyle w:val="GvdeMetni"/>
        <w:spacing w:before="17"/>
        <w:rPr>
          <w:rFonts w:cs="Times New Roman"/>
          <w:i/>
          <w:szCs w:val="22"/>
        </w:rPr>
      </w:pPr>
    </w:p>
    <w:p w14:paraId="018F1D7F" w14:textId="77777777" w:rsidR="004C0A79" w:rsidRPr="00731F8E" w:rsidRDefault="004C0A79" w:rsidP="00A86526">
      <w:pPr>
        <w:pStyle w:val="ListeParagraf"/>
        <w:widowControl w:val="0"/>
        <w:numPr>
          <w:ilvl w:val="0"/>
          <w:numId w:val="53"/>
        </w:numPr>
        <w:tabs>
          <w:tab w:val="left" w:pos="1193"/>
          <w:tab w:val="left" w:pos="1195"/>
        </w:tabs>
        <w:autoSpaceDE w:val="0"/>
        <w:autoSpaceDN w:val="0"/>
        <w:spacing w:before="19" w:after="0" w:line="259" w:lineRule="auto"/>
        <w:ind w:right="134"/>
        <w:contextualSpacing w:val="0"/>
        <w:rPr>
          <w:rFonts w:ascii="Times New Roman" w:hAnsi="Times New Roman"/>
        </w:rPr>
      </w:pPr>
      <w:r w:rsidRPr="00731F8E">
        <w:rPr>
          <w:rFonts w:ascii="Times New Roman" w:hAnsi="Times New Roman"/>
        </w:rPr>
        <w:t>The source selected for the generation facility within the scope of the preliminary license application shall not be changed later,</w:t>
      </w:r>
    </w:p>
    <w:p w14:paraId="6A6B3A45" w14:textId="77777777" w:rsidR="004C0A79" w:rsidRPr="00731F8E" w:rsidRDefault="004C0A79" w:rsidP="004C0A79">
      <w:pPr>
        <w:spacing w:before="1"/>
        <w:ind w:left="835"/>
        <w:rPr>
          <w:rFonts w:ascii="Times New Roman" w:hAnsi="Times New Roman"/>
        </w:rPr>
      </w:pPr>
    </w:p>
    <w:p w14:paraId="2EA75E8E" w14:textId="77777777" w:rsidR="004C0A79" w:rsidRPr="00731F8E" w:rsidRDefault="004C0A79" w:rsidP="004C0A79">
      <w:pPr>
        <w:pStyle w:val="GvdeMetni"/>
        <w:spacing w:before="43"/>
        <w:rPr>
          <w:rFonts w:cs="Times New Roman"/>
          <w:i/>
          <w:szCs w:val="22"/>
        </w:rPr>
      </w:pPr>
    </w:p>
    <w:p w14:paraId="65E34BB2" w14:textId="77777777" w:rsidR="004C0A79" w:rsidRPr="00731F8E" w:rsidRDefault="004C0A79" w:rsidP="00A86526">
      <w:pPr>
        <w:pStyle w:val="ListeParagraf"/>
        <w:widowControl w:val="0"/>
        <w:numPr>
          <w:ilvl w:val="0"/>
          <w:numId w:val="54"/>
        </w:numPr>
        <w:tabs>
          <w:tab w:val="left" w:pos="834"/>
          <w:tab w:val="left" w:pos="836"/>
        </w:tabs>
        <w:autoSpaceDE w:val="0"/>
        <w:autoSpaceDN w:val="0"/>
        <w:spacing w:before="1" w:after="0" w:line="259" w:lineRule="auto"/>
        <w:ind w:right="133"/>
        <w:contextualSpacing w:val="0"/>
        <w:rPr>
          <w:rFonts w:ascii="Times New Roman" w:hAnsi="Times New Roman"/>
        </w:rPr>
      </w:pPr>
      <w:r w:rsidRPr="00731F8E">
        <w:rPr>
          <w:rFonts w:ascii="Times New Roman" w:hAnsi="Times New Roman"/>
        </w:rPr>
        <w:t>With the Board Decision dated 17.11.2022 and numbered 11410 published in the Official Gazette dated 22.11.2022 and numbered 32021, it was decided to repeal the Board Decision dated 27/03/2014 and numbered 4935-19.</w:t>
      </w:r>
    </w:p>
    <w:p w14:paraId="5BDBCAE6" w14:textId="77777777" w:rsidR="004C0A79" w:rsidRPr="00731F8E" w:rsidRDefault="004C0A79" w:rsidP="004C0A79">
      <w:pPr>
        <w:spacing w:line="259" w:lineRule="auto"/>
        <w:rPr>
          <w:rFonts w:ascii="Times New Roman" w:hAnsi="Times New Roman"/>
        </w:rPr>
        <w:sectPr w:rsidR="004C0A79" w:rsidRPr="00731F8E">
          <w:pgSz w:w="11910" w:h="16840"/>
          <w:pgMar w:top="1360" w:right="1280" w:bottom="280" w:left="1300" w:header="720" w:footer="720" w:gutter="0"/>
          <w:cols w:space="720"/>
        </w:sectPr>
      </w:pPr>
    </w:p>
    <w:p w14:paraId="1A03AE3A" w14:textId="77777777" w:rsidR="004C0A79" w:rsidRPr="00731F8E" w:rsidRDefault="004C0A79" w:rsidP="00A86526">
      <w:pPr>
        <w:pStyle w:val="ListeParagraf"/>
        <w:widowControl w:val="0"/>
        <w:numPr>
          <w:ilvl w:val="0"/>
          <w:numId w:val="54"/>
        </w:numPr>
        <w:tabs>
          <w:tab w:val="left" w:pos="835"/>
        </w:tabs>
        <w:autoSpaceDE w:val="0"/>
        <w:autoSpaceDN w:val="0"/>
        <w:spacing w:before="77" w:after="0" w:line="259" w:lineRule="auto"/>
        <w:ind w:left="835" w:right="132" w:hanging="360"/>
        <w:contextualSpacing w:val="0"/>
        <w:rPr>
          <w:rFonts w:ascii="Times New Roman" w:hAnsi="Times New Roman"/>
        </w:rPr>
      </w:pPr>
      <w:r w:rsidRPr="00731F8E">
        <w:rPr>
          <w:rFonts w:ascii="Times New Roman" w:hAnsi="Times New Roman"/>
        </w:rPr>
        <w:lastRenderedPageBreak/>
        <w:t>In Article 12 titled "Preliminary License Fee" of the "List of Information and Documents to be Submitted in the Preliminary License Application (Annex-3)" attached to the Board Decision dated 24.11.2022 and numbered 11412-1 published in the Official Gazette dated 25.11.2022 and numbered 32024 and the Board Decision dated 27.10.2022 and numbered 11331-1, it has been decided;</w:t>
      </w:r>
    </w:p>
    <w:p w14:paraId="1A3FA44A" w14:textId="77777777" w:rsidR="004C0A79" w:rsidRPr="00731F8E" w:rsidRDefault="004C0A79" w:rsidP="004C0A79">
      <w:pPr>
        <w:pStyle w:val="GvdeMetni"/>
        <w:spacing w:before="167"/>
        <w:rPr>
          <w:rFonts w:cs="Times New Roman"/>
          <w:i/>
          <w:szCs w:val="22"/>
        </w:rPr>
      </w:pPr>
    </w:p>
    <w:p w14:paraId="168E6DB9" w14:textId="77777777" w:rsidR="004C0A79" w:rsidRPr="00731F8E" w:rsidRDefault="004C0A79" w:rsidP="00A86526">
      <w:pPr>
        <w:pStyle w:val="ListeParagraf"/>
        <w:widowControl w:val="0"/>
        <w:numPr>
          <w:ilvl w:val="1"/>
          <w:numId w:val="54"/>
        </w:numPr>
        <w:tabs>
          <w:tab w:val="left" w:pos="1534"/>
        </w:tabs>
        <w:autoSpaceDE w:val="0"/>
        <w:autoSpaceDN w:val="0"/>
        <w:spacing w:before="7" w:after="0" w:line="240" w:lineRule="auto"/>
        <w:ind w:left="836" w:right="133"/>
        <w:contextualSpacing w:val="0"/>
        <w:rPr>
          <w:rFonts w:ascii="Times New Roman" w:hAnsi="Times New Roman"/>
        </w:rPr>
      </w:pPr>
      <w:r w:rsidRPr="00731F8E">
        <w:rPr>
          <w:rFonts w:ascii="Times New Roman" w:hAnsi="Times New Roman"/>
        </w:rPr>
        <w:t>“…The phrase "In the applications related to the storage electricity generation facility, the total mechanical installed power of the generation facility and the installed power of the electricity storage unit are collected and evaluated together..." has been changed as "In applications related to the storage electricity generation facility, it is evaluated over the total mechanical installed power of the generation facility..."</w:t>
      </w:r>
    </w:p>
    <w:p w14:paraId="71140694" w14:textId="77777777" w:rsidR="004C0A79" w:rsidRPr="00731F8E" w:rsidRDefault="004C0A79" w:rsidP="004C0A79">
      <w:pPr>
        <w:pStyle w:val="GvdeMetni"/>
        <w:spacing w:before="82"/>
        <w:rPr>
          <w:rFonts w:cs="Times New Roman"/>
          <w:i/>
          <w:szCs w:val="22"/>
        </w:rPr>
      </w:pPr>
    </w:p>
    <w:p w14:paraId="284D5AB2" w14:textId="77777777" w:rsidR="004C0A79" w:rsidRPr="00731F8E" w:rsidRDefault="004C0A79" w:rsidP="00A86526">
      <w:pPr>
        <w:pStyle w:val="GvdeMetni"/>
        <w:numPr>
          <w:ilvl w:val="0"/>
          <w:numId w:val="69"/>
        </w:numPr>
        <w:autoSpaceDE w:val="0"/>
        <w:autoSpaceDN w:val="0"/>
        <w:spacing w:before="8"/>
        <w:rPr>
          <w:rFonts w:cs="Times New Roman"/>
          <w:i/>
          <w:szCs w:val="22"/>
        </w:rPr>
      </w:pPr>
      <w:r w:rsidRPr="00731F8E">
        <w:rPr>
          <w:rFonts w:cs="Times New Roman"/>
          <w:i/>
          <w:szCs w:val="22"/>
        </w:rPr>
        <w:t>In Article 7 titled "Preliminary License Fee" of the "List of Information and Documents to be Submitted in the Preliminary License Application (Annex-4)" attached to the Board Decision dated 24.11.2022 and numbered 11412-2 published in the Official Gazette dated 25.11.2022 and numbered 32024 and the Board Decision dated 27.10.2022 and numbered 11331-2, it has been decided;</w:t>
      </w:r>
    </w:p>
    <w:p w14:paraId="3A9D2D1D" w14:textId="77777777" w:rsidR="004C0A79" w:rsidRPr="00731F8E" w:rsidRDefault="004C0A79" w:rsidP="004C0A79">
      <w:pPr>
        <w:pStyle w:val="GvdeMetni"/>
        <w:spacing w:before="8"/>
        <w:ind w:left="720"/>
        <w:rPr>
          <w:rFonts w:cs="Times New Roman"/>
          <w:i/>
          <w:szCs w:val="22"/>
        </w:rPr>
      </w:pPr>
    </w:p>
    <w:p w14:paraId="3AD89231" w14:textId="77777777" w:rsidR="004C0A79" w:rsidRPr="00731F8E" w:rsidRDefault="004C0A79" w:rsidP="00A86526">
      <w:pPr>
        <w:pStyle w:val="GvdeMetni"/>
        <w:numPr>
          <w:ilvl w:val="0"/>
          <w:numId w:val="70"/>
        </w:numPr>
        <w:autoSpaceDE w:val="0"/>
        <w:autoSpaceDN w:val="0"/>
        <w:ind w:left="836"/>
        <w:jc w:val="left"/>
        <w:rPr>
          <w:rFonts w:cs="Times New Roman"/>
          <w:szCs w:val="22"/>
        </w:rPr>
      </w:pPr>
      <w:r w:rsidRPr="00731F8E">
        <w:rPr>
          <w:rFonts w:cs="Times New Roman"/>
          <w:szCs w:val="22"/>
        </w:rPr>
        <w:t>The phrase "In the applications related to the storage electricity generation facility, the total mechanical installed power of the generation facility and the installed power of the electricity storage unit are collected and evaluated together..." has been changed as "In applications related to the storage electricity generation facility, it is evaluated over the total mechanical installed power of the generation facility.”</w:t>
      </w:r>
    </w:p>
    <w:p w14:paraId="216D47C8" w14:textId="77777777" w:rsidR="004C0A79" w:rsidRPr="00731F8E" w:rsidRDefault="004C0A79" w:rsidP="004C0A79">
      <w:pPr>
        <w:pStyle w:val="GvdeMetni"/>
        <w:spacing w:before="79"/>
        <w:rPr>
          <w:rFonts w:cs="Times New Roman"/>
          <w:i/>
          <w:szCs w:val="22"/>
        </w:rPr>
      </w:pPr>
    </w:p>
    <w:p w14:paraId="78677F4C" w14:textId="77777777" w:rsidR="004C0A79" w:rsidRPr="00731F8E" w:rsidRDefault="004C0A79" w:rsidP="00A86526">
      <w:pPr>
        <w:pStyle w:val="ListeParagraf"/>
        <w:widowControl w:val="0"/>
        <w:numPr>
          <w:ilvl w:val="0"/>
          <w:numId w:val="54"/>
        </w:numPr>
        <w:tabs>
          <w:tab w:val="left" w:pos="834"/>
          <w:tab w:val="left" w:pos="836"/>
        </w:tabs>
        <w:autoSpaceDE w:val="0"/>
        <w:autoSpaceDN w:val="0"/>
        <w:spacing w:before="1" w:after="0"/>
        <w:ind w:right="131"/>
        <w:contextualSpacing w:val="0"/>
        <w:rPr>
          <w:rFonts w:ascii="Times New Roman" w:hAnsi="Times New Roman"/>
        </w:rPr>
      </w:pPr>
      <w:r w:rsidRPr="00731F8E">
        <w:rPr>
          <w:rFonts w:ascii="Times New Roman" w:hAnsi="Times New Roman"/>
        </w:rPr>
        <w:t>Within the scope of the eleventh paragraph of Article 132/D of the Electricity Market Balancing and Settlement Regulation (Regulation) with the Board Decision dated 29.12.2022 and numbered 11503 published in the Official Gazette dated 30.12.2022 and numbered 32059; it has been decided to establish a transaction within the framework of the eleventh paragraph of Article 132/D of the Regulation for the maximum amount of 50% (fifty percent) of the amounts included in the advance payment notifications of the assigned supply companies specified in the first paragraph of Article 132/D of the Regulation to be applied until 28/02/2023.</w:t>
      </w:r>
    </w:p>
    <w:p w14:paraId="358B76EE" w14:textId="77777777" w:rsidR="004C0A79" w:rsidRPr="00731F8E" w:rsidRDefault="004C0A79" w:rsidP="004C0A79">
      <w:pPr>
        <w:pStyle w:val="GvdeMetni"/>
        <w:spacing w:before="39"/>
        <w:rPr>
          <w:rFonts w:cs="Times New Roman"/>
          <w:i/>
          <w:szCs w:val="22"/>
        </w:rPr>
      </w:pPr>
    </w:p>
    <w:p w14:paraId="425E46BA" w14:textId="77777777" w:rsidR="004C0A79" w:rsidRPr="00731F8E" w:rsidRDefault="004C0A79" w:rsidP="004C0A79">
      <w:pPr>
        <w:pStyle w:val="GvdeMetni"/>
        <w:spacing w:before="40"/>
        <w:ind w:left="426"/>
        <w:rPr>
          <w:rFonts w:cs="Times New Roman"/>
          <w:b/>
          <w:i/>
          <w:szCs w:val="22"/>
        </w:rPr>
      </w:pPr>
      <w:r w:rsidRPr="00731F8E">
        <w:rPr>
          <w:rFonts w:cs="Times New Roman"/>
          <w:i/>
          <w:szCs w:val="22"/>
        </w:rPr>
        <w:t>•   With the Board Decision dated 29.06.2022 and numbered 11499 published in the Official Gazette dated 30.12.2022 and numbered 32059, the fifth paragraph of the Provisional Article 1 of the Procedures and Principles Concerning the Determination of Minimum and Maximum Price Limits in the Day Ahead Market and Balancing Power Market has been amended as follows.</w:t>
      </w:r>
    </w:p>
    <w:p w14:paraId="35CC253D" w14:textId="77777777" w:rsidR="004C0A79" w:rsidRPr="00731F8E" w:rsidRDefault="004C0A79" w:rsidP="004C0A79">
      <w:pPr>
        <w:tabs>
          <w:tab w:val="left" w:pos="1557"/>
        </w:tabs>
        <w:ind w:left="1197"/>
        <w:rPr>
          <w:rFonts w:ascii="Times New Roman" w:hAnsi="Times New Roman"/>
        </w:rPr>
      </w:pPr>
    </w:p>
    <w:p w14:paraId="73BD5C90" w14:textId="77777777" w:rsidR="004C0A79" w:rsidRPr="00731F8E" w:rsidRDefault="004C0A79" w:rsidP="004C0A79">
      <w:pPr>
        <w:pStyle w:val="GvdeMetni"/>
        <w:spacing w:before="41"/>
        <w:rPr>
          <w:rFonts w:cs="Times New Roman"/>
          <w:i/>
          <w:szCs w:val="22"/>
        </w:rPr>
      </w:pPr>
    </w:p>
    <w:p w14:paraId="4295047C" w14:textId="77777777" w:rsidR="004C0A79" w:rsidRPr="00731F8E" w:rsidRDefault="004C0A79" w:rsidP="004C0A79">
      <w:pPr>
        <w:pStyle w:val="GvdeMetni"/>
        <w:spacing w:line="259" w:lineRule="auto"/>
        <w:ind w:left="1557" w:right="131"/>
        <w:rPr>
          <w:rFonts w:cs="Times New Roman"/>
          <w:szCs w:val="22"/>
        </w:rPr>
      </w:pPr>
      <w:r w:rsidRPr="00731F8E">
        <w:rPr>
          <w:rFonts w:cs="Times New Roman"/>
          <w:szCs w:val="22"/>
        </w:rPr>
        <w:t>"(5) From the date of entry into force of this paragraph until a new decision is taken by the Board; In the relevant markets, the minimum price limits are applied as 0 TL/MWh and the maximum price limits are applied as 4200 TL/MWh. During this application, the provisions of the second paragraph of Article 4 of these Procedures and Principles shall not apply."</w:t>
      </w:r>
    </w:p>
    <w:p w14:paraId="69D9F2C5" w14:textId="77777777" w:rsidR="004C0A79" w:rsidRPr="00731F8E" w:rsidRDefault="004C0A79" w:rsidP="004C0A79">
      <w:pPr>
        <w:spacing w:line="259" w:lineRule="auto"/>
        <w:rPr>
          <w:rFonts w:ascii="Times New Roman" w:hAnsi="Times New Roman"/>
        </w:rPr>
        <w:sectPr w:rsidR="004C0A79" w:rsidRPr="00731F8E">
          <w:pgSz w:w="11910" w:h="16840"/>
          <w:pgMar w:top="1320" w:right="1280" w:bottom="280" w:left="1300" w:header="720" w:footer="720" w:gutter="0"/>
          <w:cols w:space="720"/>
        </w:sectPr>
      </w:pPr>
    </w:p>
    <w:p w14:paraId="694354B8" w14:textId="77777777" w:rsidR="004C0A79" w:rsidRPr="00731F8E" w:rsidRDefault="004C0A79" w:rsidP="00A86526">
      <w:pPr>
        <w:pStyle w:val="ListeParagraf"/>
        <w:widowControl w:val="0"/>
        <w:numPr>
          <w:ilvl w:val="0"/>
          <w:numId w:val="54"/>
        </w:numPr>
        <w:tabs>
          <w:tab w:val="left" w:pos="834"/>
          <w:tab w:val="left" w:pos="836"/>
        </w:tabs>
        <w:autoSpaceDE w:val="0"/>
        <w:autoSpaceDN w:val="0"/>
        <w:spacing w:before="77" w:after="0"/>
        <w:ind w:right="131"/>
        <w:contextualSpacing w:val="0"/>
        <w:rPr>
          <w:rFonts w:ascii="Times New Roman" w:hAnsi="Times New Roman"/>
        </w:rPr>
      </w:pPr>
      <w:r w:rsidRPr="00731F8E">
        <w:rPr>
          <w:rFonts w:ascii="Times New Roman" w:hAnsi="Times New Roman"/>
        </w:rPr>
        <w:lastRenderedPageBreak/>
        <w:t xml:space="preserve">With the Board Decision dated 29.12.2022 and numbered 11498 published in the Official Gazette dated 30.12.2022 and numbered 32059; within the framework of Article 8 of the </w:t>
      </w:r>
      <w:r w:rsidRPr="00731F8E">
        <w:rPr>
          <w:rFonts w:ascii="Times New Roman" w:hAnsi="Times New Roman"/>
          <w:b/>
        </w:rPr>
        <w:t xml:space="preserve">"Procedures and Principles Regarding the Determination and Implementation of the Support Fee on the Basis of Resource" </w:t>
      </w:r>
      <w:r w:rsidRPr="00731F8E">
        <w:rPr>
          <w:rFonts w:ascii="Times New Roman" w:hAnsi="Times New Roman"/>
        </w:rPr>
        <w:t>(Procedures and Principles); it has been decided that market participants will submit 50% (fifty percent) of the guarantee amounts they are obliged to submit to the Market Operator by 31/03/2022 by calculating within the framework of the second paragraph of Article 8 of the Procedures and Principles regarding the support fee debt amounts expected to be reflected in their invoices for invoice periods whose invoice due date has not passed.</w:t>
      </w:r>
    </w:p>
    <w:p w14:paraId="5715F8EC" w14:textId="77777777" w:rsidR="004C0A79" w:rsidRPr="00731F8E" w:rsidRDefault="004C0A79" w:rsidP="004C0A79">
      <w:pPr>
        <w:pStyle w:val="GvdeMetni"/>
        <w:spacing w:before="40"/>
        <w:rPr>
          <w:rFonts w:cs="Times New Roman"/>
          <w:i/>
          <w:szCs w:val="22"/>
        </w:rPr>
      </w:pPr>
    </w:p>
    <w:p w14:paraId="00FB6D06" w14:textId="77777777" w:rsidR="004C0A79" w:rsidRPr="00731F8E" w:rsidRDefault="004C0A79" w:rsidP="00A86526">
      <w:pPr>
        <w:pStyle w:val="ListeParagraf"/>
        <w:widowControl w:val="0"/>
        <w:numPr>
          <w:ilvl w:val="0"/>
          <w:numId w:val="54"/>
        </w:numPr>
        <w:tabs>
          <w:tab w:val="left" w:pos="835"/>
          <w:tab w:val="left" w:pos="837"/>
        </w:tabs>
        <w:autoSpaceDE w:val="0"/>
        <w:autoSpaceDN w:val="0"/>
        <w:spacing w:after="0"/>
        <w:ind w:left="837" w:right="132"/>
        <w:contextualSpacing w:val="0"/>
        <w:rPr>
          <w:rFonts w:ascii="Times New Roman" w:hAnsi="Times New Roman"/>
        </w:rPr>
      </w:pPr>
      <w:r w:rsidRPr="00731F8E">
        <w:rPr>
          <w:rFonts w:ascii="Times New Roman" w:hAnsi="Times New Roman"/>
        </w:rPr>
        <w:t>With the Board Decision dated 29.12.2022 and numbered 11497 published in the Official Gazette dated 30.12.2022 and numbered 32059, it was decided that the rate of annual electricity generation that a license holder legal entity within the scope of the second paragraph of the Provisional Article 7 of the Electricity Market Law No. 6446 can sell in the market within one calendar year will be applied as 50% for 2023.</w:t>
      </w:r>
    </w:p>
    <w:p w14:paraId="48923940" w14:textId="77777777" w:rsidR="004C0A79" w:rsidRPr="00731F8E" w:rsidRDefault="004C0A79" w:rsidP="004C0A79">
      <w:pPr>
        <w:pStyle w:val="GvdeMetni"/>
        <w:spacing w:before="40"/>
        <w:rPr>
          <w:rFonts w:cs="Times New Roman"/>
          <w:i/>
          <w:szCs w:val="22"/>
        </w:rPr>
      </w:pPr>
    </w:p>
    <w:p w14:paraId="2CAB1D53" w14:textId="77777777" w:rsidR="004C0A79" w:rsidRPr="00731F8E" w:rsidRDefault="004C0A79" w:rsidP="00A86526">
      <w:pPr>
        <w:pStyle w:val="ListeParagraf"/>
        <w:widowControl w:val="0"/>
        <w:numPr>
          <w:ilvl w:val="0"/>
          <w:numId w:val="54"/>
        </w:numPr>
        <w:tabs>
          <w:tab w:val="left" w:pos="835"/>
          <w:tab w:val="left" w:pos="837"/>
        </w:tabs>
        <w:autoSpaceDE w:val="0"/>
        <w:autoSpaceDN w:val="0"/>
        <w:spacing w:after="0"/>
        <w:ind w:left="837" w:right="129"/>
        <w:contextualSpacing w:val="0"/>
        <w:rPr>
          <w:rFonts w:ascii="Times New Roman" w:hAnsi="Times New Roman"/>
        </w:rPr>
      </w:pPr>
      <w:r w:rsidRPr="00731F8E">
        <w:rPr>
          <w:rFonts w:ascii="Times New Roman" w:hAnsi="Times New Roman"/>
        </w:rPr>
        <w:t>With the Board Decision dated 29.12.2022 and numbered 11496 published in the Official Gazette dated 30.12.2022 and numbered 32059; In accordance with the provisions of clause (b) of the sixth paragraph of Article 5 of the Law No. 4628 on the Organization and Duties of the Energy Market Regulatory Authority and Article 41 of the Electricity Market Consumer Services Regulation, the following Decision has been taken regarding the free consumer limit.</w:t>
      </w:r>
    </w:p>
    <w:p w14:paraId="3B90CCA0" w14:textId="77777777" w:rsidR="004C0A79" w:rsidRPr="00731F8E" w:rsidRDefault="004C0A79" w:rsidP="004C0A79">
      <w:pPr>
        <w:pStyle w:val="GvdeMetni"/>
        <w:spacing w:before="39"/>
        <w:rPr>
          <w:rFonts w:cs="Times New Roman"/>
          <w:i/>
          <w:szCs w:val="22"/>
        </w:rPr>
      </w:pPr>
    </w:p>
    <w:p w14:paraId="3D06D6F0" w14:textId="77777777" w:rsidR="004C0A79" w:rsidRPr="00731F8E" w:rsidRDefault="004C0A79" w:rsidP="004C0A79">
      <w:pPr>
        <w:pStyle w:val="GvdeMetni"/>
        <w:tabs>
          <w:tab w:val="left" w:pos="1557"/>
        </w:tabs>
        <w:ind w:left="1197"/>
        <w:rPr>
          <w:rFonts w:cs="Times New Roman"/>
          <w:szCs w:val="22"/>
        </w:rPr>
      </w:pPr>
      <w:r w:rsidRPr="00731F8E">
        <w:rPr>
          <w:rFonts w:cs="Times New Roman"/>
          <w:i/>
          <w:szCs w:val="22"/>
        </w:rPr>
        <w:t>-</w:t>
      </w:r>
      <w:r w:rsidRPr="00731F8E">
        <w:rPr>
          <w:rFonts w:cs="Times New Roman"/>
          <w:i/>
          <w:szCs w:val="22"/>
        </w:rPr>
        <w:tab/>
      </w:r>
      <w:r w:rsidRPr="00731F8E">
        <w:rPr>
          <w:rFonts w:cs="Times New Roman"/>
          <w:b/>
          <w:i/>
          <w:szCs w:val="22"/>
        </w:rPr>
        <w:t xml:space="preserve">Article 1- </w:t>
      </w:r>
      <w:r w:rsidRPr="00731F8E">
        <w:rPr>
          <w:rFonts w:cs="Times New Roman"/>
          <w:szCs w:val="22"/>
        </w:rPr>
        <w:t>The eligible consumer limit for 2023 is applied as 1000 kWh.</w:t>
      </w:r>
    </w:p>
    <w:p w14:paraId="4A709399" w14:textId="77777777" w:rsidR="004C0A79" w:rsidRPr="00731F8E" w:rsidRDefault="004C0A79" w:rsidP="004C0A79">
      <w:pPr>
        <w:pStyle w:val="Balk1"/>
        <w:tabs>
          <w:tab w:val="left" w:pos="473"/>
        </w:tabs>
        <w:spacing w:before="241"/>
        <w:ind w:left="117"/>
        <w:rPr>
          <w:rFonts w:ascii="Times New Roman" w:hAnsi="Times New Roman" w:cs="Times New Roman"/>
          <w:szCs w:val="22"/>
        </w:rPr>
      </w:pPr>
      <w:bookmarkStart w:id="37" w:name="1.2._Şarj_Hizmeti_Piyasası_Mevzuatı"/>
      <w:bookmarkEnd w:id="37"/>
      <w:r>
        <w:rPr>
          <w:rFonts w:ascii="Times New Roman" w:hAnsi="Times New Roman" w:cs="Times New Roman"/>
          <w:szCs w:val="22"/>
        </w:rPr>
        <w:t xml:space="preserve">2.2. </w:t>
      </w:r>
      <w:r w:rsidRPr="00731F8E">
        <w:rPr>
          <w:rFonts w:ascii="Times New Roman" w:hAnsi="Times New Roman" w:cs="Times New Roman"/>
          <w:szCs w:val="22"/>
        </w:rPr>
        <w:t>Charging Service Market Legislation</w:t>
      </w:r>
    </w:p>
    <w:p w14:paraId="5BDB2953" w14:textId="77777777" w:rsidR="004C0A79" w:rsidRPr="00731F8E" w:rsidRDefault="004C0A79" w:rsidP="004C0A79">
      <w:pPr>
        <w:pStyle w:val="GvdeMetni"/>
        <w:spacing w:before="12"/>
        <w:rPr>
          <w:rFonts w:cs="Times New Roman"/>
          <w:b/>
          <w:i/>
          <w:szCs w:val="22"/>
        </w:rPr>
      </w:pPr>
    </w:p>
    <w:p w14:paraId="01CD3FB4" w14:textId="77777777" w:rsidR="004C0A79" w:rsidRPr="00731F8E" w:rsidRDefault="004C0A79" w:rsidP="004C0A79">
      <w:pPr>
        <w:pStyle w:val="P68B1DB1-ListParagraph6"/>
        <w:tabs>
          <w:tab w:val="left" w:pos="836"/>
        </w:tabs>
        <w:ind w:left="116" w:firstLine="0"/>
        <w:rPr>
          <w:rFonts w:ascii="Times New Roman" w:hAnsi="Times New Roman" w:cs="Times New Roman"/>
          <w:szCs w:val="22"/>
        </w:rPr>
      </w:pPr>
      <w:bookmarkStart w:id="38" w:name="1.2.1._Kanun"/>
      <w:bookmarkEnd w:id="38"/>
      <w:r>
        <w:rPr>
          <w:rFonts w:ascii="Times New Roman" w:hAnsi="Times New Roman" w:cs="Times New Roman"/>
          <w:szCs w:val="22"/>
        </w:rPr>
        <w:t xml:space="preserve">2.2.1 </w:t>
      </w:r>
      <w:r w:rsidRPr="00731F8E">
        <w:rPr>
          <w:rFonts w:ascii="Times New Roman" w:hAnsi="Times New Roman" w:cs="Times New Roman"/>
          <w:szCs w:val="22"/>
        </w:rPr>
        <w:t>Law</w:t>
      </w:r>
    </w:p>
    <w:p w14:paraId="3A119B1B" w14:textId="77777777" w:rsidR="004C0A79" w:rsidRPr="00731F8E" w:rsidRDefault="004C0A79" w:rsidP="004C0A79">
      <w:pPr>
        <w:pStyle w:val="GvdeMetni"/>
        <w:spacing w:before="12"/>
        <w:rPr>
          <w:rFonts w:cs="Times New Roman"/>
          <w:b/>
          <w:i/>
          <w:szCs w:val="22"/>
        </w:rPr>
      </w:pPr>
    </w:p>
    <w:p w14:paraId="507835EC" w14:textId="77777777" w:rsidR="004C0A79" w:rsidRPr="00731F8E" w:rsidRDefault="004C0A79" w:rsidP="004C0A79">
      <w:pPr>
        <w:ind w:left="476"/>
        <w:rPr>
          <w:rFonts w:ascii="Times New Roman" w:hAnsi="Times New Roman"/>
        </w:rPr>
      </w:pPr>
      <w:r w:rsidRPr="00731F8E">
        <w:rPr>
          <w:rFonts w:ascii="Times New Roman" w:hAnsi="Times New Roman"/>
        </w:rPr>
        <w:t xml:space="preserve">In 2022, the following Law studies were carried out in the Charging Service Market; </w:t>
      </w:r>
    </w:p>
    <w:p w14:paraId="2EB98AC8" w14:textId="77777777" w:rsidR="004C0A79" w:rsidRPr="00731F8E" w:rsidRDefault="004C0A79" w:rsidP="004C0A79">
      <w:pPr>
        <w:pStyle w:val="GvdeMetni"/>
        <w:spacing w:before="80"/>
        <w:rPr>
          <w:rFonts w:cs="Times New Roman"/>
          <w:i/>
          <w:szCs w:val="22"/>
        </w:rPr>
      </w:pPr>
    </w:p>
    <w:p w14:paraId="1F0DF1A6" w14:textId="77777777" w:rsidR="004C0A79" w:rsidRPr="00731F8E" w:rsidRDefault="004C0A79" w:rsidP="004C0A79">
      <w:pPr>
        <w:spacing w:before="19"/>
        <w:ind w:left="426"/>
        <w:rPr>
          <w:rFonts w:ascii="Times New Roman" w:hAnsi="Times New Roman"/>
        </w:rPr>
      </w:pPr>
      <w:r w:rsidRPr="00731F8E">
        <w:rPr>
          <w:rFonts w:ascii="Times New Roman" w:hAnsi="Times New Roman"/>
        </w:rPr>
        <w:t>•     Before the phrase “all charging stations” in the clause (ddd) of the first paragraph of Article 3 of the Law on the Amendment of the Electricity Market Law No. 7429 and Certain Laws and the Decree Law No. 375 and the Electricity Market Law No. 6446 published in the Official Gazette dated 28.12.2022 and numbered 32057, the phrase “open to the public” has been added.</w:t>
      </w:r>
    </w:p>
    <w:p w14:paraId="74FC42B8" w14:textId="77777777" w:rsidR="004C0A79" w:rsidRPr="00731F8E" w:rsidRDefault="004C0A79" w:rsidP="004C0A79">
      <w:pPr>
        <w:spacing w:before="19"/>
        <w:ind w:left="426"/>
        <w:rPr>
          <w:rFonts w:ascii="Times New Roman" w:hAnsi="Times New Roman"/>
        </w:rPr>
      </w:pPr>
    </w:p>
    <w:p w14:paraId="0C988FBF" w14:textId="77777777" w:rsidR="004C0A79" w:rsidRPr="00731F8E" w:rsidRDefault="004C0A79" w:rsidP="004C0A79">
      <w:pPr>
        <w:spacing w:before="19"/>
        <w:ind w:left="426"/>
        <w:rPr>
          <w:rFonts w:ascii="Times New Roman" w:hAnsi="Times New Roman"/>
        </w:rPr>
      </w:pPr>
    </w:p>
    <w:p w14:paraId="53CF5273" w14:textId="77777777" w:rsidR="004C0A79" w:rsidRPr="00731F8E" w:rsidRDefault="004C0A79" w:rsidP="004C0A79">
      <w:pPr>
        <w:pStyle w:val="Balk1"/>
        <w:tabs>
          <w:tab w:val="left" w:pos="836"/>
        </w:tabs>
        <w:spacing w:before="221"/>
        <w:ind w:left="116"/>
        <w:rPr>
          <w:rFonts w:ascii="Times New Roman" w:hAnsi="Times New Roman" w:cs="Times New Roman"/>
          <w:szCs w:val="22"/>
        </w:rPr>
      </w:pPr>
      <w:bookmarkStart w:id="39" w:name="1.2.2._Yönetmelikler"/>
      <w:bookmarkEnd w:id="39"/>
      <w:r>
        <w:rPr>
          <w:rFonts w:ascii="Times New Roman" w:hAnsi="Times New Roman" w:cs="Times New Roman"/>
          <w:szCs w:val="22"/>
        </w:rPr>
        <w:t xml:space="preserve">2.2.2. </w:t>
      </w:r>
      <w:r w:rsidRPr="00731F8E">
        <w:rPr>
          <w:rFonts w:ascii="Times New Roman" w:hAnsi="Times New Roman" w:cs="Times New Roman"/>
          <w:szCs w:val="22"/>
        </w:rPr>
        <w:t>Regulations</w:t>
      </w:r>
    </w:p>
    <w:p w14:paraId="539AEB3B" w14:textId="77777777" w:rsidR="004C0A79" w:rsidRPr="00731F8E" w:rsidRDefault="004C0A79" w:rsidP="004C0A79">
      <w:pPr>
        <w:pStyle w:val="GvdeMetni"/>
        <w:spacing w:before="15"/>
        <w:rPr>
          <w:rFonts w:cs="Times New Roman"/>
          <w:b/>
          <w:i/>
          <w:szCs w:val="22"/>
        </w:rPr>
      </w:pPr>
    </w:p>
    <w:p w14:paraId="793F0E06" w14:textId="77777777" w:rsidR="004C0A79" w:rsidRPr="00731F8E" w:rsidRDefault="004C0A79" w:rsidP="004C0A79">
      <w:pPr>
        <w:ind w:left="824"/>
        <w:rPr>
          <w:rFonts w:ascii="Times New Roman" w:hAnsi="Times New Roman"/>
        </w:rPr>
      </w:pPr>
      <w:r w:rsidRPr="00731F8E">
        <w:rPr>
          <w:rFonts w:ascii="Times New Roman" w:hAnsi="Times New Roman"/>
        </w:rPr>
        <w:t>In 2022, the following Regulation studies were carried out in the Charging Service Market:</w:t>
      </w:r>
    </w:p>
    <w:p w14:paraId="0309E2FC" w14:textId="77777777" w:rsidR="004C0A79" w:rsidRPr="00731F8E" w:rsidRDefault="004C0A79" w:rsidP="004C0A79">
      <w:pPr>
        <w:pStyle w:val="GvdeMetni"/>
        <w:spacing w:before="80"/>
        <w:rPr>
          <w:rFonts w:cs="Times New Roman"/>
          <w:i/>
          <w:szCs w:val="22"/>
        </w:rPr>
      </w:pPr>
    </w:p>
    <w:p w14:paraId="2D55991E" w14:textId="77777777" w:rsidR="004C0A79" w:rsidRPr="00731F8E" w:rsidRDefault="004C0A79" w:rsidP="00A86526">
      <w:pPr>
        <w:pStyle w:val="GvdeMetni"/>
        <w:numPr>
          <w:ilvl w:val="0"/>
          <w:numId w:val="71"/>
        </w:numPr>
        <w:autoSpaceDE w:val="0"/>
        <w:autoSpaceDN w:val="0"/>
        <w:spacing w:before="39"/>
        <w:ind w:left="709"/>
        <w:rPr>
          <w:rFonts w:cs="Times New Roman"/>
          <w:i/>
          <w:szCs w:val="22"/>
        </w:rPr>
      </w:pPr>
      <w:r w:rsidRPr="00731F8E">
        <w:rPr>
          <w:rFonts w:cs="Times New Roman"/>
          <w:i/>
          <w:szCs w:val="22"/>
        </w:rPr>
        <w:t>In the Official Gazette dated 02.04.2022 and numbered 31797, the Charging Service Regulation has been published, the purpose of which is to determine the procedures and principles regarding the installation of the charging unit and stations where electric energy is supplied to electric vehicles, the operation of the charging network and the charging stations connected to the charging network, and the provision of charging service.</w:t>
      </w:r>
    </w:p>
    <w:p w14:paraId="47DFD6E3" w14:textId="77777777" w:rsidR="004C0A79" w:rsidRPr="00731F8E" w:rsidRDefault="004C0A79" w:rsidP="004C0A79">
      <w:pPr>
        <w:pStyle w:val="GvdeMetni"/>
        <w:spacing w:before="39"/>
        <w:ind w:left="709"/>
        <w:rPr>
          <w:rFonts w:cs="Times New Roman"/>
          <w:i/>
          <w:szCs w:val="22"/>
        </w:rPr>
      </w:pPr>
    </w:p>
    <w:p w14:paraId="71439BC7" w14:textId="77777777" w:rsidR="004C0A79" w:rsidRPr="00731F8E" w:rsidRDefault="004C0A79" w:rsidP="004C0A79">
      <w:pPr>
        <w:pStyle w:val="GvdeMetni"/>
        <w:spacing w:before="39"/>
        <w:ind w:left="851"/>
        <w:rPr>
          <w:rFonts w:cs="Times New Roman"/>
          <w:i/>
          <w:szCs w:val="22"/>
        </w:rPr>
      </w:pPr>
    </w:p>
    <w:p w14:paraId="49BC0EEA" w14:textId="77777777" w:rsidR="004C0A79" w:rsidRPr="00731F8E" w:rsidRDefault="004C0A79" w:rsidP="004C0A79">
      <w:pPr>
        <w:ind w:left="837"/>
        <w:rPr>
          <w:rFonts w:ascii="Times New Roman" w:hAnsi="Times New Roman"/>
        </w:rPr>
      </w:pPr>
      <w:r w:rsidRPr="00731F8E">
        <w:rPr>
          <w:rFonts w:ascii="Times New Roman" w:hAnsi="Times New Roman"/>
        </w:rPr>
        <w:t>With the said Regulation the following regulations have been made and taken into effect;</w:t>
      </w:r>
    </w:p>
    <w:p w14:paraId="4E94F6F5" w14:textId="77777777" w:rsidR="004C0A79" w:rsidRPr="00731F8E" w:rsidRDefault="004C0A79" w:rsidP="004C0A79">
      <w:pPr>
        <w:rPr>
          <w:rFonts w:ascii="Times New Roman" w:hAnsi="Times New Roman"/>
        </w:rPr>
        <w:sectPr w:rsidR="004C0A79" w:rsidRPr="00731F8E">
          <w:pgSz w:w="11910" w:h="16840"/>
          <w:pgMar w:top="1320" w:right="1280" w:bottom="280" w:left="1300" w:header="720" w:footer="720" w:gutter="0"/>
          <w:cols w:space="720"/>
        </w:sectPr>
      </w:pPr>
    </w:p>
    <w:p w14:paraId="43D2E793" w14:textId="77777777" w:rsidR="004C0A79" w:rsidRPr="00731F8E" w:rsidRDefault="004C0A79" w:rsidP="00A86526">
      <w:pPr>
        <w:pStyle w:val="ListeParagraf"/>
        <w:widowControl w:val="0"/>
        <w:numPr>
          <w:ilvl w:val="4"/>
          <w:numId w:val="52"/>
        </w:numPr>
        <w:tabs>
          <w:tab w:val="left" w:pos="1555"/>
        </w:tabs>
        <w:autoSpaceDE w:val="0"/>
        <w:autoSpaceDN w:val="0"/>
        <w:spacing w:before="77" w:after="0" w:line="259" w:lineRule="auto"/>
        <w:ind w:left="1555" w:right="134"/>
        <w:contextualSpacing w:val="0"/>
        <w:rPr>
          <w:rFonts w:ascii="Times New Roman" w:hAnsi="Times New Roman"/>
        </w:rPr>
      </w:pPr>
      <w:r w:rsidRPr="00731F8E">
        <w:rPr>
          <w:rFonts w:ascii="Times New Roman" w:hAnsi="Times New Roman"/>
        </w:rPr>
        <w:lastRenderedPageBreak/>
        <w:t>Conditions for obtaining a license from the Authority in order for the charging service to be carried out commercially by the charging network operator, amendment of the license in case of changes in the license and termination of the license automatically or by Board Decision,</w:t>
      </w:r>
    </w:p>
    <w:p w14:paraId="0D0AD2B0" w14:textId="77777777" w:rsidR="004C0A79" w:rsidRPr="00731F8E" w:rsidRDefault="004C0A79" w:rsidP="004C0A79">
      <w:pPr>
        <w:pStyle w:val="GvdeMetni"/>
        <w:spacing w:before="20"/>
        <w:rPr>
          <w:rFonts w:cs="Times New Roman"/>
          <w:i/>
          <w:szCs w:val="22"/>
        </w:rPr>
      </w:pPr>
    </w:p>
    <w:p w14:paraId="73416D12" w14:textId="77777777" w:rsidR="004C0A79" w:rsidRPr="00731F8E" w:rsidRDefault="004C0A79" w:rsidP="00A86526">
      <w:pPr>
        <w:pStyle w:val="ListeParagraf"/>
        <w:widowControl w:val="0"/>
        <w:numPr>
          <w:ilvl w:val="4"/>
          <w:numId w:val="52"/>
        </w:numPr>
        <w:tabs>
          <w:tab w:val="left" w:pos="1555"/>
        </w:tabs>
        <w:autoSpaceDE w:val="0"/>
        <w:autoSpaceDN w:val="0"/>
        <w:spacing w:after="0" w:line="267" w:lineRule="exact"/>
        <w:ind w:left="1555" w:right="134"/>
        <w:contextualSpacing w:val="0"/>
        <w:rPr>
          <w:rFonts w:ascii="Times New Roman" w:hAnsi="Times New Roman"/>
        </w:rPr>
      </w:pPr>
      <w:r w:rsidRPr="00731F8E">
        <w:rPr>
          <w:rFonts w:ascii="Times New Roman" w:hAnsi="Times New Roman"/>
        </w:rPr>
        <w:t>- License holders are obliged to create a charging network consisting of at least 50 units within a six-month period, at least 5% of these units must be of DC 50 kW and above power unit type, and also, due to the need for fast charging stations, highways and highways under the responsibility of the General Directorate of Highways at least 50% of the charging units installed on state roads must be of DC 50 kW and above power unit type,</w:t>
      </w:r>
    </w:p>
    <w:p w14:paraId="30024227" w14:textId="77777777" w:rsidR="004C0A79" w:rsidRPr="00731F8E" w:rsidRDefault="004C0A79" w:rsidP="004C0A79">
      <w:pPr>
        <w:pStyle w:val="GvdeMetni"/>
        <w:spacing w:before="63"/>
        <w:rPr>
          <w:rFonts w:cs="Times New Roman"/>
          <w:i/>
          <w:szCs w:val="22"/>
        </w:rPr>
      </w:pPr>
    </w:p>
    <w:p w14:paraId="61B09A52"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3"/>
        <w:contextualSpacing w:val="0"/>
        <w:rPr>
          <w:rFonts w:ascii="Times New Roman" w:hAnsi="Times New Roman"/>
        </w:rPr>
      </w:pPr>
      <w:r w:rsidRPr="00731F8E">
        <w:rPr>
          <w:rFonts w:ascii="Times New Roman" w:hAnsi="Times New Roman"/>
        </w:rPr>
        <w:t>The charging service can be carried out by the charging network operator itself throughout the country or by private charging stations that carry out public and commercial activities that are certified,</w:t>
      </w:r>
    </w:p>
    <w:p w14:paraId="4F1D38EB" w14:textId="77777777" w:rsidR="004C0A79" w:rsidRPr="00731F8E" w:rsidRDefault="004C0A79" w:rsidP="004C0A79">
      <w:pPr>
        <w:pStyle w:val="GvdeMetni"/>
        <w:spacing w:before="20"/>
        <w:rPr>
          <w:rFonts w:cs="Times New Roman"/>
          <w:i/>
          <w:szCs w:val="22"/>
        </w:rPr>
      </w:pPr>
    </w:p>
    <w:p w14:paraId="2F1D7640"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4"/>
        <w:contextualSpacing w:val="0"/>
        <w:rPr>
          <w:rFonts w:ascii="Times New Roman" w:hAnsi="Times New Roman"/>
        </w:rPr>
      </w:pPr>
      <w:r w:rsidRPr="00731F8E">
        <w:rPr>
          <w:rFonts w:ascii="Times New Roman" w:hAnsi="Times New Roman"/>
        </w:rPr>
        <w:t>Preparation of a Free Access Platform where the technical characteristics, location information and prices of all charging network operators and stations can be monitored by the Authority by the users and the Authority, thus monitoring the basic issues that will be important for the functioning of the market such as instant monitoring of prices, transparency and competition conditions for the Authority and electric vehicle users,</w:t>
      </w:r>
    </w:p>
    <w:p w14:paraId="184E37CA" w14:textId="77777777" w:rsidR="004C0A79" w:rsidRPr="00731F8E" w:rsidRDefault="004C0A79" w:rsidP="004C0A79">
      <w:pPr>
        <w:pStyle w:val="GvdeMetni"/>
        <w:spacing w:before="40"/>
        <w:rPr>
          <w:rFonts w:cs="Times New Roman"/>
          <w:i/>
          <w:szCs w:val="22"/>
        </w:rPr>
      </w:pPr>
    </w:p>
    <w:p w14:paraId="0BBEFF40"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3"/>
        <w:contextualSpacing w:val="0"/>
        <w:rPr>
          <w:rFonts w:ascii="Times New Roman" w:hAnsi="Times New Roman"/>
        </w:rPr>
      </w:pPr>
      <w:r w:rsidRPr="00731F8E">
        <w:rPr>
          <w:rFonts w:ascii="Times New Roman" w:hAnsi="Times New Roman"/>
        </w:rPr>
        <w:t>In order to ensure the easy traceability and comparability of the electrical energy provided in return for the charging service for both electric vehicle users and the relevant network operator and the Authority, the method of indicating the unit energy (kWh) is preferred, the electrical energy based on the charging service price will be determined depending on the energy acquisition cost, which ensures that it is more transparent and easier to compare for electric vehicle users, and the price can be freely determined without adding an additional price other than investment and operating expenses and reasonable profit,</w:t>
      </w:r>
    </w:p>
    <w:p w14:paraId="3952FCF0" w14:textId="77777777" w:rsidR="004C0A79" w:rsidRPr="00731F8E" w:rsidRDefault="004C0A79" w:rsidP="004C0A79">
      <w:pPr>
        <w:pStyle w:val="GvdeMetni"/>
        <w:spacing w:before="38"/>
        <w:rPr>
          <w:rFonts w:cs="Times New Roman"/>
          <w:i/>
          <w:szCs w:val="22"/>
        </w:rPr>
      </w:pPr>
    </w:p>
    <w:p w14:paraId="3FBE4FFD"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4"/>
        <w:contextualSpacing w:val="0"/>
        <w:rPr>
          <w:rFonts w:ascii="Times New Roman" w:hAnsi="Times New Roman"/>
        </w:rPr>
      </w:pPr>
      <w:r w:rsidRPr="00731F8E">
        <w:rPr>
          <w:rFonts w:ascii="Times New Roman" w:hAnsi="Times New Roman"/>
        </w:rPr>
        <w:t>Service standards with features such as the fact that the charging service is commercial, continuous service is provided except for reasons not caused by itself and force majeure, and it is offered to equal electric vehicle users without discrimination,</w:t>
      </w:r>
    </w:p>
    <w:p w14:paraId="030F7DB9" w14:textId="77777777" w:rsidR="004C0A79" w:rsidRPr="00731F8E" w:rsidRDefault="004C0A79" w:rsidP="004C0A79">
      <w:pPr>
        <w:pStyle w:val="GvdeMetni"/>
        <w:spacing w:before="40"/>
        <w:rPr>
          <w:rFonts w:cs="Times New Roman"/>
          <w:i/>
          <w:szCs w:val="22"/>
        </w:rPr>
      </w:pPr>
    </w:p>
    <w:p w14:paraId="0456C966" w14:textId="77777777" w:rsidR="004C0A79" w:rsidRPr="00731F8E" w:rsidRDefault="004C0A79" w:rsidP="00A86526">
      <w:pPr>
        <w:pStyle w:val="ListeParagraf"/>
        <w:widowControl w:val="0"/>
        <w:numPr>
          <w:ilvl w:val="4"/>
          <w:numId w:val="52"/>
        </w:numPr>
        <w:tabs>
          <w:tab w:val="left" w:pos="1555"/>
        </w:tabs>
        <w:autoSpaceDE w:val="0"/>
        <w:autoSpaceDN w:val="0"/>
        <w:spacing w:before="117" w:after="0" w:line="259" w:lineRule="auto"/>
        <w:ind w:left="1560" w:right="132"/>
        <w:contextualSpacing w:val="0"/>
        <w:rPr>
          <w:rFonts w:ascii="Times New Roman" w:hAnsi="Times New Roman"/>
        </w:rPr>
      </w:pPr>
      <w:r w:rsidRPr="00731F8E">
        <w:rPr>
          <w:rFonts w:ascii="Times New Roman" w:hAnsi="Times New Roman"/>
        </w:rPr>
        <w:t>The charging service price will be monitored by the Authority, the obligation to submit all kinds of data, information, price elements required for this monitoring to the Authority, the determination of the conditions for intervention by the Authority in the charging service price, the possibility for the charging stations to produce and store the electricity to be used by them, and the communication systems to be established between the transmission or distribution system network operator and the charging network operator and electric vehicles to work properly</w:t>
      </w:r>
    </w:p>
    <w:p w14:paraId="10790176" w14:textId="77777777" w:rsidR="004C0A79" w:rsidRPr="00731F8E" w:rsidRDefault="004C0A79" w:rsidP="00A86526">
      <w:pPr>
        <w:pStyle w:val="ListeParagraf"/>
        <w:widowControl w:val="0"/>
        <w:numPr>
          <w:ilvl w:val="3"/>
          <w:numId w:val="52"/>
        </w:numPr>
        <w:tabs>
          <w:tab w:val="left" w:pos="835"/>
        </w:tabs>
        <w:autoSpaceDE w:val="0"/>
        <w:autoSpaceDN w:val="0"/>
        <w:spacing w:before="255" w:after="0" w:line="259" w:lineRule="auto"/>
        <w:ind w:left="835" w:right="135" w:hanging="360"/>
        <w:contextualSpacing w:val="0"/>
        <w:jc w:val="left"/>
        <w:rPr>
          <w:rFonts w:ascii="Times New Roman" w:hAnsi="Times New Roman"/>
        </w:rPr>
      </w:pPr>
      <w:r w:rsidRPr="00731F8E">
        <w:rPr>
          <w:rFonts w:ascii="Times New Roman" w:hAnsi="Times New Roman"/>
        </w:rPr>
        <w:t xml:space="preserve">The following provisional article has been added to the </w:t>
      </w:r>
      <w:r w:rsidRPr="00731F8E">
        <w:rPr>
          <w:rFonts w:ascii="Times New Roman" w:hAnsi="Times New Roman"/>
          <w:b/>
        </w:rPr>
        <w:t xml:space="preserve">Charging Service </w:t>
      </w:r>
      <w:r w:rsidRPr="00731F8E">
        <w:rPr>
          <w:rFonts w:ascii="Times New Roman" w:hAnsi="Times New Roman"/>
        </w:rPr>
        <w:t>Regulation with the Regulation published in the Official Gazette dated 06.09.2022 and numbered 31945.</w:t>
      </w:r>
    </w:p>
    <w:p w14:paraId="0D39C734" w14:textId="77777777" w:rsidR="004C0A79" w:rsidRPr="00731F8E" w:rsidRDefault="004C0A79" w:rsidP="004C0A79">
      <w:pPr>
        <w:pStyle w:val="GvdeMetni"/>
        <w:spacing w:before="159"/>
        <w:rPr>
          <w:rFonts w:cs="Times New Roman"/>
          <w:i/>
          <w:szCs w:val="22"/>
        </w:rPr>
      </w:pPr>
    </w:p>
    <w:p w14:paraId="7C9BDB15" w14:textId="77777777" w:rsidR="004C0A79" w:rsidRPr="00731F8E" w:rsidRDefault="004C0A79" w:rsidP="004C0A79">
      <w:pPr>
        <w:pStyle w:val="GvdeMetni"/>
        <w:ind w:left="1533"/>
        <w:rPr>
          <w:rFonts w:cs="Times New Roman"/>
          <w:szCs w:val="22"/>
        </w:rPr>
      </w:pPr>
      <w:r w:rsidRPr="00731F8E">
        <w:rPr>
          <w:rFonts w:cs="Times New Roman"/>
          <w:szCs w:val="22"/>
        </w:rPr>
        <w:t>"Business and working license</w:t>
      </w:r>
    </w:p>
    <w:p w14:paraId="0230BE3D" w14:textId="77777777" w:rsidR="004C0A79" w:rsidRPr="00731F8E" w:rsidRDefault="004C0A79" w:rsidP="004C0A79">
      <w:pPr>
        <w:pStyle w:val="GvdeMetni"/>
        <w:spacing w:before="41" w:line="276" w:lineRule="auto"/>
        <w:ind w:left="1533" w:right="135"/>
        <w:rPr>
          <w:rFonts w:cs="Times New Roman"/>
          <w:szCs w:val="22"/>
        </w:rPr>
      </w:pPr>
      <w:r w:rsidRPr="00731F8E">
        <w:rPr>
          <w:rFonts w:cs="Times New Roman"/>
          <w:szCs w:val="22"/>
        </w:rPr>
        <w:t>PROVISIONAL ARTICLE 2- (1) Pursuant to Article 17, it is obligatory for the charging network operator to submit the workplace opening and working license required for the process of adding a charging station to the charging network to the Authority until 31/7/2023."</w:t>
      </w:r>
    </w:p>
    <w:p w14:paraId="22FEE0EF" w14:textId="77777777" w:rsidR="004C0A79" w:rsidRPr="00731F8E" w:rsidRDefault="004C0A79" w:rsidP="00A86526">
      <w:pPr>
        <w:pStyle w:val="ListeParagraf"/>
        <w:widowControl w:val="0"/>
        <w:numPr>
          <w:ilvl w:val="3"/>
          <w:numId w:val="52"/>
        </w:numPr>
        <w:tabs>
          <w:tab w:val="left" w:pos="834"/>
          <w:tab w:val="left" w:pos="836"/>
        </w:tabs>
        <w:autoSpaceDE w:val="0"/>
        <w:autoSpaceDN w:val="0"/>
        <w:spacing w:before="77" w:after="0"/>
        <w:ind w:left="836" w:right="132"/>
        <w:contextualSpacing w:val="0"/>
        <w:rPr>
          <w:rFonts w:ascii="Times New Roman" w:hAnsi="Times New Roman"/>
        </w:rPr>
      </w:pPr>
      <w:r w:rsidRPr="00731F8E">
        <w:rPr>
          <w:rFonts w:ascii="Times New Roman" w:hAnsi="Times New Roman"/>
        </w:rPr>
        <w:t xml:space="preserve">With the Regulation published in the Official Gazette dated 31.12.2022 and numbered 32060 (5th Repeat), the following temporary article has been added to the Charging Service Regulation. </w:t>
      </w:r>
    </w:p>
    <w:p w14:paraId="27080233" w14:textId="77777777" w:rsidR="004C0A79" w:rsidRPr="00731F8E" w:rsidRDefault="004C0A79" w:rsidP="004C0A79">
      <w:pPr>
        <w:pStyle w:val="GvdeMetni"/>
        <w:spacing w:before="40"/>
        <w:rPr>
          <w:rFonts w:cs="Times New Roman"/>
          <w:i/>
          <w:szCs w:val="22"/>
        </w:rPr>
      </w:pPr>
    </w:p>
    <w:p w14:paraId="7949330B" w14:textId="77777777" w:rsidR="004C0A79" w:rsidRPr="00731F8E" w:rsidRDefault="004C0A79" w:rsidP="004C0A79">
      <w:pPr>
        <w:pStyle w:val="GvdeMetni"/>
        <w:ind w:left="1606"/>
        <w:rPr>
          <w:rFonts w:cs="Times New Roman"/>
          <w:szCs w:val="22"/>
        </w:rPr>
      </w:pPr>
      <w:r w:rsidRPr="00731F8E">
        <w:rPr>
          <w:rFonts w:cs="Times New Roman"/>
          <w:szCs w:val="22"/>
        </w:rPr>
        <w:t>“Creation of the charging network</w:t>
      </w:r>
    </w:p>
    <w:p w14:paraId="08382902" w14:textId="77777777" w:rsidR="004C0A79" w:rsidRPr="00731F8E" w:rsidRDefault="004C0A79" w:rsidP="004C0A79">
      <w:pPr>
        <w:pStyle w:val="GvdeMetni"/>
        <w:spacing w:before="41" w:line="276" w:lineRule="auto"/>
        <w:ind w:left="1556" w:right="130"/>
        <w:rPr>
          <w:rFonts w:cs="Times New Roman"/>
          <w:szCs w:val="22"/>
        </w:rPr>
      </w:pPr>
      <w:r w:rsidRPr="00731F8E">
        <w:rPr>
          <w:rFonts w:cs="Times New Roman"/>
          <w:szCs w:val="22"/>
        </w:rPr>
        <w:t xml:space="preserve">PROVISIONAL ARTICLE 3- (1) As of the date of entry into force of this article, legal entities holding existing </w:t>
      </w:r>
      <w:r w:rsidRPr="00731F8E">
        <w:rPr>
          <w:rFonts w:cs="Times New Roman"/>
          <w:szCs w:val="22"/>
        </w:rPr>
        <w:lastRenderedPageBreak/>
        <w:t>charging network operator licenses shall be given until 30/6/2023 to establish the charging network within the scope of the second paragraph of Article 15."</w:t>
      </w:r>
    </w:p>
    <w:p w14:paraId="6D89D684" w14:textId="77777777" w:rsidR="004C0A79" w:rsidRPr="00731F8E" w:rsidRDefault="004C0A79" w:rsidP="004C0A79">
      <w:pPr>
        <w:pStyle w:val="Balk1"/>
        <w:tabs>
          <w:tab w:val="left" w:pos="836"/>
        </w:tabs>
        <w:spacing w:before="199"/>
        <w:ind w:left="116"/>
        <w:rPr>
          <w:rFonts w:ascii="Times New Roman" w:hAnsi="Times New Roman" w:cs="Times New Roman"/>
          <w:szCs w:val="22"/>
        </w:rPr>
      </w:pPr>
      <w:bookmarkStart w:id="40" w:name="1.2.3._Kurul_Kararları"/>
      <w:bookmarkEnd w:id="40"/>
      <w:r>
        <w:rPr>
          <w:rFonts w:ascii="Times New Roman" w:hAnsi="Times New Roman" w:cs="Times New Roman"/>
          <w:szCs w:val="22"/>
        </w:rPr>
        <w:t xml:space="preserve">2.2.3. </w:t>
      </w:r>
      <w:r w:rsidRPr="00731F8E">
        <w:rPr>
          <w:rFonts w:ascii="Times New Roman" w:hAnsi="Times New Roman" w:cs="Times New Roman"/>
          <w:szCs w:val="22"/>
        </w:rPr>
        <w:t>Board Decisions</w:t>
      </w:r>
    </w:p>
    <w:p w14:paraId="5BF766E9" w14:textId="77777777" w:rsidR="004C0A79" w:rsidRPr="00731F8E" w:rsidRDefault="004C0A79" w:rsidP="004C0A79">
      <w:pPr>
        <w:pStyle w:val="GvdeMetni"/>
        <w:spacing w:before="12"/>
        <w:rPr>
          <w:rFonts w:cs="Times New Roman"/>
          <w:b/>
          <w:i/>
          <w:szCs w:val="22"/>
        </w:rPr>
      </w:pPr>
    </w:p>
    <w:p w14:paraId="3D33D448" w14:textId="77777777" w:rsidR="004C0A79" w:rsidRPr="00731F8E" w:rsidRDefault="004C0A79" w:rsidP="004C0A79">
      <w:pPr>
        <w:ind w:left="476"/>
        <w:rPr>
          <w:rFonts w:ascii="Times New Roman" w:hAnsi="Times New Roman"/>
        </w:rPr>
      </w:pPr>
      <w:r w:rsidRPr="00731F8E">
        <w:rPr>
          <w:rFonts w:ascii="Times New Roman" w:hAnsi="Times New Roman"/>
        </w:rPr>
        <w:t>In 2022, the following Board Decisions were issued as a regulatory action in the charging service market:</w:t>
      </w:r>
    </w:p>
    <w:p w14:paraId="0863AD9E" w14:textId="77777777" w:rsidR="004C0A79" w:rsidRPr="00731F8E" w:rsidRDefault="004C0A79" w:rsidP="004C0A79">
      <w:pPr>
        <w:pStyle w:val="GvdeMetni"/>
        <w:spacing w:before="40"/>
        <w:rPr>
          <w:rFonts w:cs="Times New Roman"/>
          <w:i/>
          <w:szCs w:val="22"/>
        </w:rPr>
      </w:pPr>
    </w:p>
    <w:p w14:paraId="7308499B" w14:textId="77777777" w:rsidR="004C0A79" w:rsidRPr="00731F8E" w:rsidRDefault="004C0A79" w:rsidP="00A86526">
      <w:pPr>
        <w:pStyle w:val="ListeParagraf"/>
        <w:widowControl w:val="0"/>
        <w:numPr>
          <w:ilvl w:val="3"/>
          <w:numId w:val="52"/>
        </w:numPr>
        <w:tabs>
          <w:tab w:val="left" w:pos="835"/>
          <w:tab w:val="left" w:pos="837"/>
        </w:tabs>
        <w:autoSpaceDE w:val="0"/>
        <w:autoSpaceDN w:val="0"/>
        <w:spacing w:before="1" w:after="0" w:line="256" w:lineRule="auto"/>
        <w:ind w:right="133"/>
        <w:contextualSpacing w:val="0"/>
        <w:rPr>
          <w:rFonts w:ascii="Times New Roman" w:hAnsi="Times New Roman"/>
        </w:rPr>
      </w:pPr>
      <w:r w:rsidRPr="00731F8E">
        <w:rPr>
          <w:rFonts w:ascii="Times New Roman" w:hAnsi="Times New Roman"/>
        </w:rPr>
        <w:t>With the Board Decision dated 31.03.2022 and numbered 10895 published in the Official Gazette dated 02.04.2022 and numbered 31797, the license acquisition, license amendment and license copy issuance fees to be applied in 2022 regarding the charging network operator license are determined as follows:</w:t>
      </w:r>
    </w:p>
    <w:p w14:paraId="1FFCBCE4" w14:textId="77777777" w:rsidR="004C0A79" w:rsidRPr="00731F8E" w:rsidRDefault="004C0A79" w:rsidP="004C0A79">
      <w:pPr>
        <w:pStyle w:val="GvdeMetni"/>
        <w:spacing w:before="212"/>
        <w:rPr>
          <w:rFonts w:cs="Times New Roman"/>
          <w:i/>
          <w:szCs w:val="22"/>
        </w:rPr>
      </w:pPr>
    </w:p>
    <w:tbl>
      <w:tblPr>
        <w:tblStyle w:val="TableNormal"/>
        <w:tblW w:w="0" w:type="auto"/>
        <w:tblInd w:w="1703" w:type="dxa"/>
        <w:tblBorders>
          <w:top w:val="single" w:sz="12" w:space="0" w:color="EAE6D6"/>
          <w:left w:val="single" w:sz="12" w:space="0" w:color="EAE6D6"/>
          <w:bottom w:val="single" w:sz="12" w:space="0" w:color="EAE6D6"/>
          <w:right w:val="single" w:sz="12" w:space="0" w:color="EAE6D6"/>
          <w:insideH w:val="single" w:sz="12" w:space="0" w:color="EAE6D6"/>
          <w:insideV w:val="single" w:sz="12" w:space="0" w:color="EAE6D6"/>
        </w:tblBorders>
        <w:tblLayout w:type="fixed"/>
        <w:tblLook w:val="01E0" w:firstRow="1" w:lastRow="1" w:firstColumn="1" w:lastColumn="1" w:noHBand="0" w:noVBand="0"/>
      </w:tblPr>
      <w:tblGrid>
        <w:gridCol w:w="4231"/>
        <w:gridCol w:w="1697"/>
      </w:tblGrid>
      <w:tr w:rsidR="004C0A79" w:rsidRPr="00731F8E" w14:paraId="75455A0F" w14:textId="77777777" w:rsidTr="004C0A79">
        <w:trPr>
          <w:trHeight w:val="310"/>
        </w:trPr>
        <w:tc>
          <w:tcPr>
            <w:tcW w:w="4231" w:type="dxa"/>
            <w:shd w:val="clear" w:color="auto" w:fill="F4F2E9"/>
          </w:tcPr>
          <w:p w14:paraId="3DE73ACA" w14:textId="77777777" w:rsidR="004C0A79" w:rsidRPr="00731F8E" w:rsidRDefault="004C0A79" w:rsidP="004C0A79">
            <w:pPr>
              <w:pStyle w:val="P68B1DB1-TableParagraph7"/>
              <w:spacing w:before="28"/>
              <w:ind w:left="34"/>
              <w:rPr>
                <w:rFonts w:ascii="Times New Roman" w:hAnsi="Times New Roman" w:cs="Times New Roman"/>
                <w:szCs w:val="22"/>
              </w:rPr>
            </w:pPr>
            <w:r w:rsidRPr="00731F8E">
              <w:rPr>
                <w:rFonts w:ascii="Times New Roman" w:hAnsi="Times New Roman" w:cs="Times New Roman"/>
                <w:szCs w:val="22"/>
              </w:rPr>
              <w:t>Fee Type</w:t>
            </w:r>
          </w:p>
        </w:tc>
        <w:tc>
          <w:tcPr>
            <w:tcW w:w="1697" w:type="dxa"/>
            <w:shd w:val="clear" w:color="auto" w:fill="F4F2E9"/>
          </w:tcPr>
          <w:p w14:paraId="6AC7278E" w14:textId="77777777" w:rsidR="004C0A79" w:rsidRPr="00731F8E" w:rsidRDefault="004C0A79" w:rsidP="004C0A79">
            <w:pPr>
              <w:pStyle w:val="P68B1DB1-TableParagraph8"/>
              <w:spacing w:before="28"/>
              <w:ind w:left="33" w:right="1"/>
              <w:rPr>
                <w:rFonts w:ascii="Times New Roman" w:hAnsi="Times New Roman" w:cs="Times New Roman"/>
                <w:szCs w:val="22"/>
              </w:rPr>
            </w:pPr>
            <w:r w:rsidRPr="00731F8E">
              <w:rPr>
                <w:rFonts w:ascii="Times New Roman" w:hAnsi="Times New Roman" w:cs="Times New Roman"/>
                <w:szCs w:val="22"/>
              </w:rPr>
              <w:t>Price (TL)</w:t>
            </w:r>
          </w:p>
        </w:tc>
      </w:tr>
      <w:tr w:rsidR="004C0A79" w:rsidRPr="00731F8E" w14:paraId="249E3066" w14:textId="77777777" w:rsidTr="004C0A79">
        <w:trPr>
          <w:trHeight w:val="313"/>
        </w:trPr>
        <w:tc>
          <w:tcPr>
            <w:tcW w:w="4231" w:type="dxa"/>
            <w:shd w:val="clear" w:color="auto" w:fill="F4F2E9"/>
          </w:tcPr>
          <w:p w14:paraId="009CEBD0" w14:textId="77777777" w:rsidR="004C0A79" w:rsidRPr="00731F8E" w:rsidRDefault="004C0A79" w:rsidP="004C0A79">
            <w:pPr>
              <w:pStyle w:val="P68B1DB1-TableParagraph8"/>
              <w:spacing w:before="28"/>
              <w:ind w:left="34" w:right="3"/>
              <w:rPr>
                <w:rFonts w:ascii="Times New Roman" w:hAnsi="Times New Roman" w:cs="Times New Roman"/>
                <w:szCs w:val="22"/>
              </w:rPr>
            </w:pPr>
            <w:r w:rsidRPr="00731F8E">
              <w:rPr>
                <w:rFonts w:ascii="Times New Roman" w:hAnsi="Times New Roman" w:cs="Times New Roman"/>
                <w:szCs w:val="22"/>
              </w:rPr>
              <w:t>License fee</w:t>
            </w:r>
          </w:p>
        </w:tc>
        <w:tc>
          <w:tcPr>
            <w:tcW w:w="1697" w:type="dxa"/>
            <w:shd w:val="clear" w:color="auto" w:fill="F4F2E9"/>
          </w:tcPr>
          <w:p w14:paraId="1F0F2F81" w14:textId="77777777" w:rsidR="004C0A79" w:rsidRPr="00731F8E" w:rsidRDefault="004C0A79" w:rsidP="004C0A79">
            <w:pPr>
              <w:pStyle w:val="P68B1DB1-TableParagraph8"/>
              <w:spacing w:before="28"/>
              <w:ind w:left="33" w:right="3"/>
              <w:rPr>
                <w:rFonts w:ascii="Times New Roman" w:hAnsi="Times New Roman" w:cs="Times New Roman"/>
                <w:szCs w:val="22"/>
              </w:rPr>
            </w:pPr>
            <w:r w:rsidRPr="00731F8E">
              <w:rPr>
                <w:rFonts w:ascii="Times New Roman" w:hAnsi="Times New Roman" w:cs="Times New Roman"/>
                <w:szCs w:val="22"/>
              </w:rPr>
              <w:t>300.000</w:t>
            </w:r>
          </w:p>
        </w:tc>
      </w:tr>
      <w:tr w:rsidR="004C0A79" w:rsidRPr="00731F8E" w14:paraId="6D514374" w14:textId="77777777" w:rsidTr="004C0A79">
        <w:trPr>
          <w:trHeight w:val="313"/>
        </w:trPr>
        <w:tc>
          <w:tcPr>
            <w:tcW w:w="4231" w:type="dxa"/>
            <w:shd w:val="clear" w:color="auto" w:fill="F4F2E9"/>
          </w:tcPr>
          <w:p w14:paraId="63B37170" w14:textId="77777777" w:rsidR="004C0A79" w:rsidRPr="00731F8E" w:rsidRDefault="004C0A79" w:rsidP="004C0A79">
            <w:pPr>
              <w:pStyle w:val="P68B1DB1-TableParagraph8"/>
              <w:spacing w:before="28"/>
              <w:ind w:left="34" w:right="5"/>
              <w:rPr>
                <w:rFonts w:ascii="Times New Roman" w:hAnsi="Times New Roman" w:cs="Times New Roman"/>
                <w:szCs w:val="22"/>
              </w:rPr>
            </w:pPr>
            <w:r w:rsidRPr="00731F8E">
              <w:rPr>
                <w:rFonts w:ascii="Times New Roman" w:hAnsi="Times New Roman" w:cs="Times New Roman"/>
                <w:szCs w:val="22"/>
              </w:rPr>
              <w:t>License amendment fee</w:t>
            </w:r>
          </w:p>
        </w:tc>
        <w:tc>
          <w:tcPr>
            <w:tcW w:w="1697" w:type="dxa"/>
            <w:shd w:val="clear" w:color="auto" w:fill="F4F2E9"/>
          </w:tcPr>
          <w:p w14:paraId="7613B69B" w14:textId="77777777" w:rsidR="004C0A79" w:rsidRPr="00731F8E" w:rsidRDefault="004C0A79" w:rsidP="004C0A79">
            <w:pPr>
              <w:pStyle w:val="P68B1DB1-TableParagraph8"/>
              <w:spacing w:before="28"/>
              <w:ind w:left="33"/>
              <w:rPr>
                <w:rFonts w:ascii="Times New Roman" w:hAnsi="Times New Roman" w:cs="Times New Roman"/>
                <w:szCs w:val="22"/>
              </w:rPr>
            </w:pPr>
            <w:r w:rsidRPr="00731F8E">
              <w:rPr>
                <w:rFonts w:ascii="Times New Roman" w:hAnsi="Times New Roman" w:cs="Times New Roman"/>
                <w:szCs w:val="22"/>
              </w:rPr>
              <w:t>14.000</w:t>
            </w:r>
          </w:p>
        </w:tc>
      </w:tr>
      <w:tr w:rsidR="004C0A79" w:rsidRPr="00731F8E" w14:paraId="5BAEF8D5" w14:textId="77777777" w:rsidTr="004C0A79">
        <w:trPr>
          <w:trHeight w:val="315"/>
        </w:trPr>
        <w:tc>
          <w:tcPr>
            <w:tcW w:w="4231" w:type="dxa"/>
            <w:shd w:val="clear" w:color="auto" w:fill="F4F2E9"/>
          </w:tcPr>
          <w:p w14:paraId="6195AFC0" w14:textId="77777777" w:rsidR="004C0A79" w:rsidRPr="00731F8E" w:rsidRDefault="004C0A79" w:rsidP="004C0A79">
            <w:pPr>
              <w:pStyle w:val="P68B1DB1-TableParagraph7"/>
              <w:spacing w:before="28"/>
              <w:ind w:left="34" w:right="5"/>
              <w:rPr>
                <w:rFonts w:ascii="Times New Roman" w:hAnsi="Times New Roman" w:cs="Times New Roman"/>
                <w:szCs w:val="22"/>
              </w:rPr>
            </w:pPr>
            <w:r w:rsidRPr="00731F8E">
              <w:rPr>
                <w:rFonts w:ascii="Times New Roman" w:hAnsi="Times New Roman" w:cs="Times New Roman"/>
                <w:szCs w:val="22"/>
              </w:rPr>
              <w:t>License copy issuance fee</w:t>
            </w:r>
          </w:p>
        </w:tc>
        <w:tc>
          <w:tcPr>
            <w:tcW w:w="1697" w:type="dxa"/>
            <w:shd w:val="clear" w:color="auto" w:fill="F4F2E9"/>
          </w:tcPr>
          <w:p w14:paraId="46844745" w14:textId="77777777" w:rsidR="004C0A79" w:rsidRPr="00731F8E" w:rsidRDefault="004C0A79" w:rsidP="004C0A79">
            <w:pPr>
              <w:pStyle w:val="P68B1DB1-TableParagraph8"/>
              <w:spacing w:before="28"/>
              <w:ind w:left="33" w:right="2"/>
              <w:rPr>
                <w:rFonts w:ascii="Times New Roman" w:hAnsi="Times New Roman" w:cs="Times New Roman"/>
                <w:szCs w:val="22"/>
              </w:rPr>
            </w:pPr>
            <w:r w:rsidRPr="00731F8E">
              <w:rPr>
                <w:rFonts w:ascii="Times New Roman" w:hAnsi="Times New Roman" w:cs="Times New Roman"/>
                <w:szCs w:val="22"/>
              </w:rPr>
              <w:t>3.000</w:t>
            </w:r>
          </w:p>
        </w:tc>
      </w:tr>
    </w:tbl>
    <w:p w14:paraId="628CEA41" w14:textId="77777777" w:rsidR="004C0A79" w:rsidRPr="00731F8E" w:rsidRDefault="004C0A79" w:rsidP="004C0A79">
      <w:pPr>
        <w:pStyle w:val="GvdeMetni"/>
        <w:rPr>
          <w:rFonts w:cs="Times New Roman"/>
          <w:i/>
          <w:szCs w:val="22"/>
        </w:rPr>
      </w:pPr>
    </w:p>
    <w:p w14:paraId="5303A883" w14:textId="77777777" w:rsidR="004C0A79" w:rsidRPr="00731F8E" w:rsidRDefault="004C0A79" w:rsidP="004C0A79">
      <w:pPr>
        <w:pStyle w:val="GvdeMetni"/>
        <w:spacing w:before="57"/>
        <w:rPr>
          <w:rFonts w:cs="Times New Roman"/>
          <w:i/>
          <w:szCs w:val="22"/>
        </w:rPr>
      </w:pPr>
    </w:p>
    <w:p w14:paraId="4E648ED1" w14:textId="77777777" w:rsidR="004C0A79" w:rsidRPr="00731F8E" w:rsidRDefault="004C0A79" w:rsidP="00A86526">
      <w:pPr>
        <w:pStyle w:val="ListeParagraf"/>
        <w:widowControl w:val="0"/>
        <w:numPr>
          <w:ilvl w:val="3"/>
          <w:numId w:val="52"/>
        </w:numPr>
        <w:tabs>
          <w:tab w:val="left" w:pos="835"/>
          <w:tab w:val="left" w:pos="837"/>
        </w:tabs>
        <w:autoSpaceDE w:val="0"/>
        <w:autoSpaceDN w:val="0"/>
        <w:spacing w:after="0" w:line="259" w:lineRule="auto"/>
        <w:ind w:right="132"/>
        <w:contextualSpacing w:val="0"/>
        <w:rPr>
          <w:rFonts w:ascii="Times New Roman" w:hAnsi="Times New Roman"/>
        </w:rPr>
      </w:pPr>
      <w:r w:rsidRPr="00731F8E">
        <w:rPr>
          <w:rFonts w:ascii="Times New Roman" w:hAnsi="Times New Roman"/>
        </w:rPr>
        <w:t xml:space="preserve">With the Board Decision dated 17.03.2022 and numbered 10852 published in the Official Gazette dated 02.04.2022 and numbered 31797, the "Procedures and </w:t>
      </w:r>
      <w:r w:rsidRPr="00731F8E">
        <w:rPr>
          <w:rFonts w:ascii="Times New Roman" w:hAnsi="Times New Roman"/>
          <w:b/>
        </w:rPr>
        <w:t xml:space="preserve">Principles Regarding the Applications for Charging Network Operator License Procedures", which regulates the procedures and principles for the application, termination, amendment and change of the charging network, regulated in the Charging </w:t>
      </w:r>
      <w:r w:rsidRPr="00731F8E">
        <w:rPr>
          <w:rFonts w:ascii="Times New Roman" w:hAnsi="Times New Roman"/>
        </w:rPr>
        <w:t>Service Regulation regarding the charging network operator license.</w:t>
      </w:r>
    </w:p>
    <w:p w14:paraId="02C7D0FB" w14:textId="77777777" w:rsidR="004C0A79" w:rsidRPr="00731F8E" w:rsidRDefault="004C0A79" w:rsidP="004C0A79">
      <w:pPr>
        <w:pStyle w:val="GvdeMetni"/>
        <w:spacing w:before="38"/>
        <w:rPr>
          <w:rFonts w:cs="Times New Roman"/>
          <w:i/>
          <w:szCs w:val="22"/>
        </w:rPr>
      </w:pPr>
    </w:p>
    <w:p w14:paraId="46A8D39F" w14:textId="77777777" w:rsidR="004C0A79" w:rsidRPr="00731F8E" w:rsidRDefault="004C0A79" w:rsidP="00A86526">
      <w:pPr>
        <w:pStyle w:val="ListeParagraf"/>
        <w:widowControl w:val="0"/>
        <w:numPr>
          <w:ilvl w:val="3"/>
          <w:numId w:val="52"/>
        </w:numPr>
        <w:tabs>
          <w:tab w:val="left" w:pos="835"/>
          <w:tab w:val="left" w:pos="837"/>
        </w:tabs>
        <w:autoSpaceDE w:val="0"/>
        <w:autoSpaceDN w:val="0"/>
        <w:spacing w:after="0" w:line="259" w:lineRule="auto"/>
        <w:ind w:right="132"/>
        <w:contextualSpacing w:val="0"/>
        <w:rPr>
          <w:rFonts w:ascii="Times New Roman" w:hAnsi="Times New Roman"/>
        </w:rPr>
      </w:pPr>
      <w:r w:rsidRPr="00731F8E">
        <w:rPr>
          <w:rFonts w:ascii="Times New Roman" w:hAnsi="Times New Roman"/>
        </w:rPr>
        <w:t xml:space="preserve">With the Board Decision dated 17.03.2022 and numbered 10853 published in the Official Gazette dated 02.04.2022 and numbered 31797, it was decided to determine the minimum capital amount as </w:t>
      </w:r>
      <w:r w:rsidRPr="00731F8E">
        <w:rPr>
          <w:rFonts w:ascii="Times New Roman" w:hAnsi="Times New Roman"/>
          <w:i/>
        </w:rPr>
        <w:t xml:space="preserve">"four million five hundred thousand TL" </w:t>
      </w:r>
      <w:r w:rsidRPr="00731F8E">
        <w:rPr>
          <w:rFonts w:ascii="Times New Roman" w:hAnsi="Times New Roman"/>
        </w:rPr>
        <w:t>for legal entities who will apply for a charging network operator license within the framework of the third paragraph of Article 6 of the Charging Service Regulation.</w:t>
      </w:r>
    </w:p>
    <w:p w14:paraId="55CB5B92" w14:textId="77777777" w:rsidR="004C0A79" w:rsidRPr="00731F8E" w:rsidRDefault="004C0A79" w:rsidP="004C0A79">
      <w:pPr>
        <w:pStyle w:val="GvdeMetni"/>
        <w:spacing w:before="21"/>
        <w:rPr>
          <w:rFonts w:cs="Times New Roman"/>
          <w:i/>
          <w:szCs w:val="22"/>
        </w:rPr>
      </w:pPr>
    </w:p>
    <w:p w14:paraId="7584D497" w14:textId="77777777" w:rsidR="004C0A79" w:rsidRPr="00731F8E" w:rsidRDefault="004C0A79" w:rsidP="00A86526">
      <w:pPr>
        <w:pStyle w:val="ListeParagraf"/>
        <w:widowControl w:val="0"/>
        <w:numPr>
          <w:ilvl w:val="3"/>
          <w:numId w:val="52"/>
        </w:numPr>
        <w:tabs>
          <w:tab w:val="left" w:pos="835"/>
          <w:tab w:val="left" w:pos="837"/>
        </w:tabs>
        <w:autoSpaceDE w:val="0"/>
        <w:autoSpaceDN w:val="0"/>
        <w:spacing w:after="0" w:line="259" w:lineRule="auto"/>
        <w:ind w:right="130"/>
        <w:contextualSpacing w:val="0"/>
        <w:rPr>
          <w:rFonts w:ascii="Times New Roman" w:hAnsi="Times New Roman"/>
        </w:rPr>
      </w:pPr>
      <w:r w:rsidRPr="00731F8E">
        <w:rPr>
          <w:rFonts w:ascii="Times New Roman" w:hAnsi="Times New Roman"/>
        </w:rPr>
        <w:t>In accordance with the Board Decision dated 15.12.2022 and numbered 11459 published in the Official Gazette dated 17.12.2022 and numbered 32046, clause (i) of the seventh paragraph of Article 5 of the Law No. 4628 on the Organization and Duties of the Energy Market Regulatory Authority and clause (a) of the fourth paragraph of Article 5 of the Additional Article 5 of the Electricity Market Law No. 6446 and Article 11 of the Charging Service Regulation, the license acquisition, license amendment and license copy issuance fees related to the "Charging Network Operator License" to be applied in 2023 have been determined.</w:t>
      </w:r>
    </w:p>
    <w:p w14:paraId="03DC9BEC" w14:textId="77777777" w:rsidR="004C0A79" w:rsidRPr="00731F8E" w:rsidRDefault="004C0A79" w:rsidP="004C0A79">
      <w:pPr>
        <w:pStyle w:val="Balk1"/>
        <w:tabs>
          <w:tab w:val="left" w:pos="473"/>
        </w:tabs>
        <w:spacing w:before="196"/>
        <w:ind w:left="117"/>
        <w:rPr>
          <w:rFonts w:ascii="Times New Roman" w:hAnsi="Times New Roman" w:cs="Times New Roman"/>
          <w:szCs w:val="22"/>
        </w:rPr>
      </w:pPr>
      <w:bookmarkStart w:id="41" w:name="1.3._Doğal_Gaz_Piyasası_Mevzuatı"/>
      <w:bookmarkEnd w:id="41"/>
      <w:r>
        <w:rPr>
          <w:rFonts w:ascii="Times New Roman" w:hAnsi="Times New Roman" w:cs="Times New Roman"/>
          <w:szCs w:val="22"/>
        </w:rPr>
        <w:t xml:space="preserve">2.3. </w:t>
      </w:r>
      <w:r w:rsidRPr="00731F8E">
        <w:rPr>
          <w:rFonts w:ascii="Times New Roman" w:hAnsi="Times New Roman" w:cs="Times New Roman"/>
          <w:szCs w:val="22"/>
        </w:rPr>
        <w:t>Natural Gas Market Legislation</w:t>
      </w:r>
    </w:p>
    <w:p w14:paraId="415651F9" w14:textId="77777777" w:rsidR="004C0A79" w:rsidRPr="00731F8E" w:rsidRDefault="004C0A79" w:rsidP="004C0A79">
      <w:pPr>
        <w:pStyle w:val="P68B1DB1-ListParagraph6"/>
        <w:tabs>
          <w:tab w:val="left" w:pos="837"/>
        </w:tabs>
        <w:spacing w:before="243"/>
        <w:ind w:left="116" w:firstLine="0"/>
        <w:rPr>
          <w:rFonts w:ascii="Times New Roman" w:hAnsi="Times New Roman" w:cs="Times New Roman"/>
          <w:szCs w:val="22"/>
        </w:rPr>
      </w:pPr>
      <w:bookmarkStart w:id="42" w:name="1.3.1._Kanun"/>
      <w:bookmarkEnd w:id="42"/>
      <w:r>
        <w:rPr>
          <w:rFonts w:ascii="Times New Roman" w:hAnsi="Times New Roman" w:cs="Times New Roman"/>
          <w:szCs w:val="22"/>
        </w:rPr>
        <w:t xml:space="preserve">2.3.1. </w:t>
      </w:r>
      <w:r w:rsidRPr="00731F8E">
        <w:rPr>
          <w:rFonts w:ascii="Times New Roman" w:hAnsi="Times New Roman" w:cs="Times New Roman"/>
          <w:szCs w:val="22"/>
        </w:rPr>
        <w:t>Law</w:t>
      </w:r>
    </w:p>
    <w:p w14:paraId="2793A1DD" w14:textId="77777777" w:rsidR="004C0A79" w:rsidRPr="00731F8E" w:rsidRDefault="004C0A79" w:rsidP="004C0A79">
      <w:pPr>
        <w:pStyle w:val="GvdeMetni"/>
        <w:spacing w:before="12"/>
        <w:rPr>
          <w:rFonts w:cs="Times New Roman"/>
          <w:b/>
          <w:i/>
          <w:szCs w:val="22"/>
        </w:rPr>
      </w:pPr>
    </w:p>
    <w:p w14:paraId="65B55E0B" w14:textId="77777777" w:rsidR="004C0A79" w:rsidRPr="00731F8E" w:rsidRDefault="004C0A79" w:rsidP="004C0A79">
      <w:pPr>
        <w:ind w:left="117"/>
        <w:rPr>
          <w:rFonts w:ascii="Times New Roman" w:hAnsi="Times New Roman"/>
        </w:rPr>
      </w:pPr>
      <w:r w:rsidRPr="00731F8E">
        <w:rPr>
          <w:rFonts w:ascii="Times New Roman" w:hAnsi="Times New Roman"/>
        </w:rPr>
        <w:t xml:space="preserve">In 2022, the following Law studies were carried out in the LPG market; </w:t>
      </w:r>
    </w:p>
    <w:p w14:paraId="79E5C620" w14:textId="77777777" w:rsidR="004C0A79" w:rsidRPr="00731F8E" w:rsidRDefault="004C0A79" w:rsidP="00A86526">
      <w:pPr>
        <w:pStyle w:val="ListeParagraf"/>
        <w:widowControl w:val="0"/>
        <w:numPr>
          <w:ilvl w:val="3"/>
          <w:numId w:val="52"/>
        </w:numPr>
        <w:tabs>
          <w:tab w:val="left" w:pos="834"/>
          <w:tab w:val="left" w:pos="836"/>
        </w:tabs>
        <w:autoSpaceDE w:val="0"/>
        <w:autoSpaceDN w:val="0"/>
        <w:spacing w:before="77" w:after="0"/>
        <w:ind w:left="836" w:right="132"/>
        <w:contextualSpacing w:val="0"/>
        <w:rPr>
          <w:rFonts w:ascii="Times New Roman" w:hAnsi="Times New Roman"/>
        </w:rPr>
      </w:pPr>
      <w:r w:rsidRPr="00731F8E">
        <w:rPr>
          <w:rFonts w:ascii="Times New Roman" w:hAnsi="Times New Roman"/>
        </w:rPr>
        <w:t>The following provisional article has been added to the Law on the Amendment of the Electricity Market Law No. 7350 and Certain Laws and the Decree Law No. 375 published in the Official Gazette dated 28.12.2022 and numbered 32057.</w:t>
      </w:r>
    </w:p>
    <w:p w14:paraId="7EEEBCAC" w14:textId="77777777" w:rsidR="004C0A79" w:rsidRPr="00731F8E" w:rsidRDefault="004C0A79" w:rsidP="004C0A79">
      <w:pPr>
        <w:pStyle w:val="GvdeMetni"/>
        <w:spacing w:before="120" w:line="276" w:lineRule="auto"/>
        <w:ind w:left="1556" w:right="131" w:firstLine="50"/>
        <w:rPr>
          <w:rFonts w:cs="Times New Roman"/>
          <w:szCs w:val="22"/>
        </w:rPr>
      </w:pPr>
      <w:r w:rsidRPr="00731F8E">
        <w:rPr>
          <w:rFonts w:cs="Times New Roman"/>
          <w:szCs w:val="22"/>
        </w:rPr>
        <w:t xml:space="preserve">"PROVISIONAL ARTICLE 7- All kinds of taxes, funds and shares, administrative fines and related late fee and late interest debts that have not been paid to the collection offices of BOTAŞ affiliated to the Ministry of Commerce as of the effective date of this article shall be cancelled by the Ministry of Commerce by deducting the central government budget from the Treasury until 31/12/2022 without being associated with income and </w:t>
      </w:r>
      <w:r w:rsidRPr="00731F8E">
        <w:rPr>
          <w:rFonts w:cs="Times New Roman"/>
          <w:szCs w:val="22"/>
        </w:rPr>
        <w:lastRenderedPageBreak/>
        <w:t xml:space="preserve">expense accounts. In this context, ancillary receivables shall not be calculated for the debts to be offset after the date of publication of this article. </w:t>
      </w:r>
    </w:p>
    <w:p w14:paraId="27C906DA"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 xml:space="preserve">Within the scope of this article, the Minister of Treasury and Finance is authorized to determine the amount of BOTAŞ's assignment fee receivable from the Treasury and to determine the cancellation transactions to be made by offsetting. </w:t>
      </w:r>
    </w:p>
    <w:p w14:paraId="6618901E" w14:textId="77777777" w:rsidR="004C0A79" w:rsidRPr="00731F8E" w:rsidRDefault="004C0A79" w:rsidP="004C0A79">
      <w:pPr>
        <w:pStyle w:val="GvdeMetni"/>
        <w:rPr>
          <w:rFonts w:cs="Times New Roman"/>
          <w:szCs w:val="22"/>
        </w:rPr>
      </w:pPr>
    </w:p>
    <w:p w14:paraId="575DAE35" w14:textId="77777777" w:rsidR="004C0A79" w:rsidRPr="00731F8E" w:rsidRDefault="004C0A79" w:rsidP="004C0A79">
      <w:pPr>
        <w:pStyle w:val="GvdeMetni"/>
        <w:spacing w:before="211"/>
        <w:rPr>
          <w:rFonts w:cs="Times New Roman"/>
          <w:szCs w:val="22"/>
        </w:rPr>
      </w:pPr>
    </w:p>
    <w:p w14:paraId="3FF102E4" w14:textId="77777777" w:rsidR="004C0A79" w:rsidRPr="00731F8E" w:rsidRDefault="004C0A79" w:rsidP="004C0A79">
      <w:pPr>
        <w:pStyle w:val="Balk1"/>
        <w:tabs>
          <w:tab w:val="left" w:pos="836"/>
        </w:tabs>
        <w:spacing w:before="0"/>
        <w:ind w:left="116"/>
        <w:rPr>
          <w:rFonts w:ascii="Times New Roman" w:hAnsi="Times New Roman" w:cs="Times New Roman"/>
          <w:szCs w:val="22"/>
        </w:rPr>
      </w:pPr>
      <w:bookmarkStart w:id="43" w:name="1.3.2._Yönetmelikler"/>
      <w:bookmarkEnd w:id="43"/>
      <w:r>
        <w:rPr>
          <w:rFonts w:ascii="Times New Roman" w:hAnsi="Times New Roman" w:cs="Times New Roman"/>
          <w:szCs w:val="22"/>
        </w:rPr>
        <w:t xml:space="preserve">2.3.2. </w:t>
      </w:r>
      <w:r w:rsidRPr="00731F8E">
        <w:rPr>
          <w:rFonts w:ascii="Times New Roman" w:hAnsi="Times New Roman" w:cs="Times New Roman"/>
          <w:szCs w:val="22"/>
        </w:rPr>
        <w:t>Regulations</w:t>
      </w:r>
    </w:p>
    <w:p w14:paraId="1C08C44A" w14:textId="77777777" w:rsidR="004C0A79" w:rsidRPr="00731F8E" w:rsidRDefault="004C0A79" w:rsidP="004C0A79">
      <w:pPr>
        <w:pStyle w:val="GvdeMetni"/>
        <w:spacing w:before="13"/>
        <w:rPr>
          <w:rFonts w:cs="Times New Roman"/>
          <w:b/>
          <w:i/>
          <w:szCs w:val="22"/>
        </w:rPr>
      </w:pPr>
    </w:p>
    <w:p w14:paraId="175F0E19" w14:textId="77777777" w:rsidR="004C0A79" w:rsidRPr="00731F8E" w:rsidRDefault="004C0A79" w:rsidP="004C0A79">
      <w:pPr>
        <w:ind w:left="116"/>
        <w:rPr>
          <w:rFonts w:ascii="Times New Roman" w:hAnsi="Times New Roman"/>
        </w:rPr>
      </w:pPr>
      <w:r w:rsidRPr="00731F8E">
        <w:rPr>
          <w:rFonts w:ascii="Times New Roman" w:hAnsi="Times New Roman"/>
        </w:rPr>
        <w:t>In 2022, the following Regulation studies were carried out in the natural gas market:</w:t>
      </w:r>
    </w:p>
    <w:p w14:paraId="34AC85F0" w14:textId="77777777" w:rsidR="004C0A79" w:rsidRPr="00731F8E" w:rsidRDefault="004C0A79" w:rsidP="004C0A79">
      <w:pPr>
        <w:pStyle w:val="GvdeMetni"/>
        <w:spacing w:before="80"/>
        <w:rPr>
          <w:rFonts w:cs="Times New Roman"/>
          <w:i/>
          <w:szCs w:val="22"/>
        </w:rPr>
      </w:pPr>
    </w:p>
    <w:p w14:paraId="599B0C25" w14:textId="77777777" w:rsidR="004C0A79" w:rsidRPr="00731F8E" w:rsidRDefault="004C0A79" w:rsidP="004C0A79">
      <w:pPr>
        <w:tabs>
          <w:tab w:val="left" w:pos="1555"/>
        </w:tabs>
        <w:spacing w:line="259" w:lineRule="auto"/>
        <w:ind w:left="426" w:right="134"/>
        <w:rPr>
          <w:rFonts w:ascii="Times New Roman" w:hAnsi="Times New Roman"/>
        </w:rPr>
      </w:pPr>
      <w:r w:rsidRPr="00731F8E">
        <w:rPr>
          <w:rFonts w:ascii="Times New Roman" w:hAnsi="Times New Roman"/>
        </w:rPr>
        <w:t>•     With the Amendment Regulation published in the Official Gazette dated 29.04.2022 and numbered 31824, clause (18) of the first paragraph of Article 4 of the Natural Gas Market Certificate Regulation has been amended as follows and the following clauses have been added to the same paragraph.</w:t>
      </w:r>
    </w:p>
    <w:p w14:paraId="2C2DDDFB" w14:textId="77777777" w:rsidR="004C0A79" w:rsidRPr="00731F8E" w:rsidRDefault="004C0A79" w:rsidP="004C0A79">
      <w:pPr>
        <w:pStyle w:val="GvdeMetni"/>
        <w:spacing w:before="39"/>
        <w:rPr>
          <w:rFonts w:cs="Times New Roman"/>
          <w:i/>
          <w:szCs w:val="22"/>
        </w:rPr>
      </w:pPr>
    </w:p>
    <w:p w14:paraId="76A9A74B"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 xml:space="preserve">License: The permit granted by the Board to legal entities to engage in each market activity as per this Law, </w:t>
      </w:r>
    </w:p>
    <w:p w14:paraId="6583E287" w14:textId="77777777" w:rsidR="004C0A79" w:rsidRPr="00731F8E" w:rsidRDefault="004C0A79" w:rsidP="004C0A79">
      <w:pPr>
        <w:pStyle w:val="GvdeMetni"/>
        <w:spacing w:before="40"/>
        <w:rPr>
          <w:rFonts w:cs="Times New Roman"/>
          <w:szCs w:val="22"/>
        </w:rPr>
      </w:pPr>
    </w:p>
    <w:p w14:paraId="0F963FAB"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“32) Workplace: The place where the name and logo of the distribution company and the certificate number obtained from the distribution company are available, together with the trade name of the certificate holder, based on the sample design designed by the authorized distribution company in the current region, on the outer surface of the building, within the boundaries of the license region of the distribution license holding company, in order to carry out the activities within the scope of the certificate of the certificate holder,</w:t>
      </w:r>
    </w:p>
    <w:p w14:paraId="121548CF" w14:textId="77777777" w:rsidR="004C0A79" w:rsidRPr="00731F8E" w:rsidRDefault="004C0A79" w:rsidP="004C0A79">
      <w:pPr>
        <w:pStyle w:val="GvdeMetni"/>
        <w:spacing w:before="40"/>
        <w:rPr>
          <w:rFonts w:cs="Times New Roman"/>
          <w:szCs w:val="22"/>
        </w:rPr>
      </w:pPr>
    </w:p>
    <w:p w14:paraId="5596DDD4"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33) Service: Installation, maintenance and repair services provided by real and legal entities holding construction and service certificates for the products in the facilities as manufacturers or as authorized services of another manufacturer or importer company,</w:t>
      </w:r>
    </w:p>
    <w:p w14:paraId="17C8E370" w14:textId="77777777" w:rsidR="004C0A79" w:rsidRPr="00731F8E" w:rsidRDefault="004C0A79" w:rsidP="004C0A79">
      <w:pPr>
        <w:pStyle w:val="GvdeMetni"/>
        <w:spacing w:before="41"/>
        <w:rPr>
          <w:rFonts w:cs="Times New Roman"/>
          <w:szCs w:val="22"/>
        </w:rPr>
      </w:pPr>
    </w:p>
    <w:p w14:paraId="10C9F5DD"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first paragraph of Article 6 has been amended as follows.</w:t>
      </w:r>
    </w:p>
    <w:p w14:paraId="2EE9DF46" w14:textId="77777777" w:rsidR="004C0A79" w:rsidRPr="00731F8E" w:rsidRDefault="004C0A79" w:rsidP="004C0A79">
      <w:pPr>
        <w:pStyle w:val="GvdeMetni"/>
        <w:spacing w:before="60"/>
        <w:rPr>
          <w:rFonts w:cs="Times New Roman"/>
          <w:i/>
          <w:szCs w:val="22"/>
        </w:rPr>
      </w:pPr>
    </w:p>
    <w:p w14:paraId="5D275EEA"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"Authorization certificate is the document issued by the Authority on behalf of the Authority for the purpose of authorizing public or private companies to issue internal installation and service lines certificates. Official or private companies wishing to obtain a certificate of authorization shall apply to the Agency together with all information and documents specified in the "Application Petition" and the relevant petition in Annex-13.</w:t>
      </w:r>
    </w:p>
    <w:p w14:paraId="4A7112B8"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t>Authorization certificate is given to the companies whose applications are approved by the Authority. Distribution license holder companies are not obliged to obtain a certificate of authorization. However, companies holding distribution licenses are subject to the provisions of this Regulation and the relevant communiqué regarding companies holding authorization certificates. "</w:t>
      </w:r>
    </w:p>
    <w:p w14:paraId="6EE80345" w14:textId="77777777" w:rsidR="004C0A79" w:rsidRPr="00731F8E" w:rsidRDefault="004C0A79" w:rsidP="004C0A79">
      <w:pPr>
        <w:pStyle w:val="GvdeMetni"/>
        <w:spacing w:before="41"/>
        <w:rPr>
          <w:rFonts w:cs="Times New Roman"/>
          <w:szCs w:val="22"/>
        </w:rPr>
      </w:pPr>
    </w:p>
    <w:p w14:paraId="55D25385"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third paragraph of Article 9 has been amended as follows.</w:t>
      </w:r>
    </w:p>
    <w:p w14:paraId="00DAED10" w14:textId="77777777" w:rsidR="004C0A79" w:rsidRPr="00731F8E" w:rsidRDefault="004C0A79" w:rsidP="004C0A79">
      <w:pPr>
        <w:pStyle w:val="GvdeMetni"/>
        <w:spacing w:before="60"/>
        <w:rPr>
          <w:rFonts w:cs="Times New Roman"/>
          <w:i/>
          <w:szCs w:val="22"/>
        </w:rPr>
      </w:pPr>
    </w:p>
    <w:p w14:paraId="69C526D2"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"Applications for certificates to the institution shall be answered within sixty days. In terms of each of the notifications that can be made on more than one different subject regarding the deficiencies or inaccuracies in the certificate applications that are found not to be made in accordance with the relevant legislation, within thirty days from the date of notification, if the reported deficiencies and inaccuracies are not eliminated, the application is deemed not to have been made and the application document is returned. "</w:t>
      </w:r>
    </w:p>
    <w:p w14:paraId="4B6F4658" w14:textId="77777777" w:rsidR="004C0A79" w:rsidRPr="00731F8E" w:rsidRDefault="004C0A79" w:rsidP="004C0A79">
      <w:pPr>
        <w:pStyle w:val="GvdeMetni"/>
        <w:spacing w:before="40"/>
        <w:rPr>
          <w:rFonts w:cs="Times New Roman"/>
          <w:szCs w:val="22"/>
        </w:rPr>
      </w:pPr>
    </w:p>
    <w:p w14:paraId="06EA6D2C" w14:textId="77777777" w:rsidR="004C0A79" w:rsidRPr="00731F8E" w:rsidRDefault="004C0A79" w:rsidP="00A86526">
      <w:pPr>
        <w:pStyle w:val="ListeParagraf"/>
        <w:widowControl w:val="0"/>
        <w:numPr>
          <w:ilvl w:val="4"/>
          <w:numId w:val="52"/>
        </w:numPr>
        <w:tabs>
          <w:tab w:val="left" w:pos="1556"/>
        </w:tabs>
        <w:autoSpaceDE w:val="0"/>
        <w:autoSpaceDN w:val="0"/>
        <w:spacing w:after="0" w:line="259" w:lineRule="auto"/>
        <w:ind w:right="139"/>
        <w:contextualSpacing w:val="0"/>
        <w:jc w:val="left"/>
        <w:rPr>
          <w:rFonts w:ascii="Times New Roman" w:hAnsi="Times New Roman"/>
        </w:rPr>
      </w:pPr>
      <w:r w:rsidRPr="00731F8E">
        <w:rPr>
          <w:rFonts w:ascii="Times New Roman" w:hAnsi="Times New Roman"/>
        </w:rPr>
        <w:t>The following clause has been added to the first paragraph of Article 11, the clause (h) of the second paragraph has been amended as follows and the following clauses have been added to the same paragraph.</w:t>
      </w:r>
    </w:p>
    <w:p w14:paraId="6A6AE43C" w14:textId="77777777" w:rsidR="004C0A79" w:rsidRPr="00731F8E" w:rsidRDefault="004C0A79" w:rsidP="004C0A79">
      <w:pPr>
        <w:pStyle w:val="GvdeMetni"/>
        <w:spacing w:before="42"/>
        <w:rPr>
          <w:rFonts w:cs="Times New Roman"/>
          <w:i/>
          <w:szCs w:val="22"/>
        </w:rPr>
      </w:pPr>
    </w:p>
    <w:p w14:paraId="21C2B4EE"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 xml:space="preserve">"h) The certificate holder is obliged to employ personnel whose qualifications are specified in other legislation, </w:t>
      </w:r>
      <w:r w:rsidRPr="00731F8E">
        <w:rPr>
          <w:rFonts w:cs="Times New Roman"/>
          <w:szCs w:val="22"/>
        </w:rPr>
        <w:lastRenderedPageBreak/>
        <w:t>including but not limited to the personnel whose qualifications are specified in clause (ğ) of the second paragraph of this article, during the works and transactions carried out within the scope of the certificate. Licensee companies receiving services from the certificate holder are not responsible for the follow-up of the personnel whose qualifications are specified in other legislation, but may require companies holding construction and service certificates to employ the necessary personnel according to the nature of the work to be done.”</w:t>
      </w:r>
    </w:p>
    <w:p w14:paraId="45A3CDDA" w14:textId="77777777" w:rsidR="004C0A79" w:rsidRPr="00731F8E" w:rsidRDefault="004C0A79" w:rsidP="004C0A79">
      <w:pPr>
        <w:pStyle w:val="GvdeMetni"/>
        <w:spacing w:before="38"/>
        <w:rPr>
          <w:rFonts w:cs="Times New Roman"/>
          <w:szCs w:val="22"/>
        </w:rPr>
      </w:pPr>
    </w:p>
    <w:p w14:paraId="381CF14C"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“h) The certificate holder cannot continue to operate until he/she employs new personnel in place of the reserved mechanical engineer as well as the holder of the professional qualification certificate, welder or installer. When new personnel is employed, they shall apply to the distribution company with the application petition containing the request for permission to continue their activities and the copies of the documents approved by the distribution company belonging to the newly employed personnel and the information and documents specified in Article 8 of Annex-9. The application shall be finalized within five days at the latest. "</w:t>
      </w:r>
    </w:p>
    <w:p w14:paraId="4961C6ED" w14:textId="77777777" w:rsidR="004C0A79" w:rsidRPr="00731F8E" w:rsidRDefault="004C0A79" w:rsidP="004C0A79">
      <w:pPr>
        <w:pStyle w:val="GvdeMetni"/>
        <w:spacing w:before="38"/>
        <w:rPr>
          <w:rFonts w:cs="Times New Roman"/>
          <w:szCs w:val="22"/>
        </w:rPr>
      </w:pPr>
    </w:p>
    <w:p w14:paraId="47195587"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"n) The notification address to be notified to the relevant distribution companies by the certificate holders must be the same address as the workplace address.</w:t>
      </w:r>
    </w:p>
    <w:p w14:paraId="31F2F74F" w14:textId="77777777" w:rsidR="004C0A79" w:rsidRPr="00731F8E" w:rsidRDefault="004C0A79" w:rsidP="004C0A79">
      <w:pPr>
        <w:pStyle w:val="GvdeMetni"/>
        <w:spacing w:before="43"/>
        <w:rPr>
          <w:rFonts w:cs="Times New Roman"/>
          <w:szCs w:val="22"/>
        </w:rPr>
      </w:pPr>
    </w:p>
    <w:p w14:paraId="51064E51" w14:textId="77777777" w:rsidR="004C0A79" w:rsidRPr="00731F8E" w:rsidRDefault="004C0A79" w:rsidP="00A86526">
      <w:pPr>
        <w:pStyle w:val="P68B1DB1-ListParagraph2"/>
        <w:numPr>
          <w:ilvl w:val="0"/>
          <w:numId w:val="51"/>
        </w:numPr>
        <w:tabs>
          <w:tab w:val="left" w:pos="1821"/>
        </w:tabs>
        <w:spacing w:before="37" w:line="276" w:lineRule="auto"/>
        <w:ind w:right="134" w:firstLine="0"/>
        <w:rPr>
          <w:rFonts w:ascii="Times New Roman" w:hAnsi="Times New Roman" w:cs="Times New Roman"/>
          <w:szCs w:val="22"/>
        </w:rPr>
      </w:pPr>
      <w:r w:rsidRPr="00731F8E">
        <w:rPr>
          <w:rFonts w:ascii="Times New Roman" w:hAnsi="Times New Roman" w:cs="Times New Roman"/>
          <w:szCs w:val="22"/>
        </w:rPr>
        <w:t>Natural or legal entities holding an internal installation and service lines certificate are obliged to employ at least one mechanical engineer working on a full-time basis in order to carry out their activities. In cases where a single mechanical engineer is present in the certified company, regardless of whether the existing mechanical engineer is the company owner, company partner or employee, the engineer may not work for this purpose even if he/she also has the documents specified in clause (ğ) of this paragraph. In the event that more than one engineer is present, engineers may only operate in an area of their choice (engineering or line of business with the documents specified in clause (ğ) of this paragraph). The certificate holder must employ other personnel specified in this Regulation on a full-time basis, except for the mechanical engineer.</w:t>
      </w:r>
    </w:p>
    <w:p w14:paraId="79F7513D" w14:textId="77777777" w:rsidR="004C0A79" w:rsidRPr="00731F8E" w:rsidRDefault="004C0A79" w:rsidP="004C0A79">
      <w:pPr>
        <w:pStyle w:val="GvdeMetni"/>
        <w:spacing w:before="39"/>
        <w:rPr>
          <w:rFonts w:cs="Times New Roman"/>
          <w:szCs w:val="22"/>
        </w:rPr>
      </w:pPr>
    </w:p>
    <w:p w14:paraId="1FF48CDE"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ö) Natural or legal entities who have an internal installation and service lines certificate are obliged to submit the monthly insurance status of the personnel who are obliged to work within the scope of the principles of this Regulation for the works and transactions they carry out within the scope of their current fields of activity to the relevant distribution company with the appropriate communication channels in the periods determined by the distribution company and to comply with the plans of the distribution companies regarding the number of base projects to be determined in this way.</w:t>
      </w:r>
    </w:p>
    <w:p w14:paraId="03CCF64C" w14:textId="77777777" w:rsidR="004C0A79" w:rsidRPr="00731F8E" w:rsidRDefault="004C0A79" w:rsidP="004C0A79">
      <w:pPr>
        <w:pStyle w:val="GvdeMetni"/>
        <w:spacing w:before="41"/>
        <w:rPr>
          <w:rFonts w:cs="Times New Roman"/>
          <w:szCs w:val="22"/>
        </w:rPr>
      </w:pPr>
    </w:p>
    <w:p w14:paraId="69116652" w14:textId="77777777" w:rsidR="004C0A79" w:rsidRPr="00731F8E" w:rsidRDefault="004C0A79" w:rsidP="00A86526">
      <w:pPr>
        <w:pStyle w:val="P68B1DB1-ListParagraph2"/>
        <w:numPr>
          <w:ilvl w:val="0"/>
          <w:numId w:val="51"/>
        </w:numPr>
        <w:tabs>
          <w:tab w:val="left" w:pos="1772"/>
        </w:tabs>
        <w:spacing w:line="276" w:lineRule="auto"/>
        <w:ind w:left="1555" w:right="133" w:firstLine="0"/>
        <w:rPr>
          <w:rFonts w:ascii="Times New Roman" w:hAnsi="Times New Roman" w:cs="Times New Roman"/>
          <w:szCs w:val="22"/>
        </w:rPr>
      </w:pPr>
      <w:r w:rsidRPr="00731F8E">
        <w:rPr>
          <w:rFonts w:ascii="Times New Roman" w:hAnsi="Times New Roman" w:cs="Times New Roman"/>
          <w:szCs w:val="22"/>
        </w:rPr>
        <w:t>The distribution company may request that all or some of the employees whose qualifications are specified in clause (ğ) of this paragraph have a Professional Competence Certificate, provided that they apply equally to all certified companies in the distribution region.</w:t>
      </w:r>
    </w:p>
    <w:p w14:paraId="5B8F5824" w14:textId="77777777" w:rsidR="004C0A79" w:rsidRPr="00731F8E" w:rsidRDefault="004C0A79" w:rsidP="004C0A79">
      <w:pPr>
        <w:pStyle w:val="GvdeMetni"/>
        <w:spacing w:before="40"/>
        <w:rPr>
          <w:rFonts w:cs="Times New Roman"/>
          <w:szCs w:val="22"/>
        </w:rPr>
      </w:pPr>
    </w:p>
    <w:p w14:paraId="25353CB0" w14:textId="77777777" w:rsidR="004C0A79" w:rsidRPr="00731F8E" w:rsidRDefault="004C0A79" w:rsidP="004C0A79">
      <w:pPr>
        <w:pStyle w:val="GvdeMetni"/>
        <w:spacing w:line="276" w:lineRule="auto"/>
        <w:ind w:left="1556" w:right="130"/>
        <w:rPr>
          <w:rFonts w:cs="Times New Roman"/>
          <w:szCs w:val="22"/>
        </w:rPr>
      </w:pPr>
      <w:r w:rsidRPr="00731F8E">
        <w:rPr>
          <w:rFonts w:cs="Times New Roman"/>
          <w:szCs w:val="22"/>
        </w:rPr>
        <w:t>r) In order to carry out the activities within the scope of the certificate in the workplace of the certificate holder, it is obligatory to allow physical face-to-face interviews with consumers and distribution company officials and to exchange information with other technological communication tools, to employ at least one person other than the personnel working as a full-time engineer for the provision of physical communication and to have a fixed phone line, to have the name and logo of the distribution company and the certificate number received from the distribution company together with the trade name and logo of the certificate holder based on the sample design designed by the authorized distribution company in the region where the workplace is located on the outer surface of the building. "</w:t>
      </w:r>
    </w:p>
    <w:p w14:paraId="0665FD17" w14:textId="77777777" w:rsidR="004C0A79" w:rsidRPr="00731F8E" w:rsidRDefault="004C0A79" w:rsidP="004C0A79">
      <w:pPr>
        <w:pStyle w:val="GvdeMetni"/>
        <w:spacing w:before="37"/>
        <w:rPr>
          <w:rFonts w:cs="Times New Roman"/>
          <w:szCs w:val="22"/>
        </w:rPr>
      </w:pPr>
    </w:p>
    <w:p w14:paraId="11AB03F8" w14:textId="77777777" w:rsidR="004C0A79" w:rsidRPr="00731F8E" w:rsidRDefault="004C0A79" w:rsidP="00A86526">
      <w:pPr>
        <w:pStyle w:val="ListeParagraf"/>
        <w:widowControl w:val="0"/>
        <w:numPr>
          <w:ilvl w:val="4"/>
          <w:numId w:val="52"/>
        </w:numPr>
        <w:tabs>
          <w:tab w:val="left" w:pos="1556"/>
        </w:tabs>
        <w:autoSpaceDE w:val="0"/>
        <w:autoSpaceDN w:val="0"/>
        <w:spacing w:after="0" w:line="259" w:lineRule="auto"/>
        <w:ind w:right="133"/>
        <w:contextualSpacing w:val="0"/>
        <w:rPr>
          <w:rFonts w:ascii="Times New Roman" w:hAnsi="Times New Roman"/>
        </w:rPr>
      </w:pPr>
      <w:r w:rsidRPr="00731F8E">
        <w:rPr>
          <w:rFonts w:ascii="Times New Roman" w:hAnsi="Times New Roman"/>
        </w:rPr>
        <w:t xml:space="preserve">The title of Article 12 has been changed to </w:t>
      </w:r>
      <w:r w:rsidRPr="00731F8E">
        <w:rPr>
          <w:rFonts w:ascii="Times New Roman" w:hAnsi="Times New Roman"/>
          <w:i/>
        </w:rPr>
        <w:t>"Rights and obligations of distribution companies and companies holding authorization certificates"</w:t>
      </w:r>
      <w:r w:rsidRPr="00731F8E">
        <w:rPr>
          <w:rFonts w:ascii="Times New Roman" w:hAnsi="Times New Roman"/>
        </w:rPr>
        <w:t>, the following clause has been added to the first paragraph of the same article, the following sentence has been added to the second paragraph and the following paragraph has been added to the same article.</w:t>
      </w:r>
    </w:p>
    <w:p w14:paraId="68C405CD" w14:textId="77777777" w:rsidR="004C0A79" w:rsidRPr="00731F8E" w:rsidRDefault="004C0A79" w:rsidP="004C0A79">
      <w:pPr>
        <w:pStyle w:val="GvdeMetni"/>
        <w:spacing w:before="40"/>
        <w:rPr>
          <w:rFonts w:cs="Times New Roman"/>
          <w:i/>
          <w:szCs w:val="22"/>
        </w:rPr>
      </w:pPr>
    </w:p>
    <w:p w14:paraId="431F78F7"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 It is applied by the holder of the authorization certificate in the form of issuing the internal installation and service lines certificate as a single activity subject without separating the Project and Construction, Maintenance and Repair activities. After the date of entry into force of this clause, internal installation and service lines certificate shall not be issued individually for the project activity. However, the certificate holder may also operate in the preparation of a preliminary project that must be submitted to the relevant distribution company for approval if necessary, only in buildings with a construction license to be built by designing a natural gas fuel system without internal installation. It is not obliged to complete the construction works of the projects that have been prepared in this way and whose approval process has been completed. During the construction of the installations of these projects, the same certificate holder or other certificate holders can carry out the project and construction activities. "</w:t>
      </w:r>
    </w:p>
    <w:p w14:paraId="2970805C" w14:textId="77777777" w:rsidR="004C0A79" w:rsidRPr="00731F8E" w:rsidRDefault="004C0A79" w:rsidP="004C0A79">
      <w:pPr>
        <w:pStyle w:val="GvdeMetni"/>
        <w:spacing w:before="39"/>
        <w:rPr>
          <w:rFonts w:cs="Times New Roman"/>
          <w:szCs w:val="22"/>
        </w:rPr>
      </w:pPr>
    </w:p>
    <w:p w14:paraId="5BF92116" w14:textId="77777777" w:rsidR="004C0A79" w:rsidRPr="00731F8E" w:rsidRDefault="004C0A79" w:rsidP="004C0A79">
      <w:pPr>
        <w:pStyle w:val="GvdeMetni"/>
        <w:spacing w:line="276" w:lineRule="auto"/>
        <w:ind w:left="1555" w:right="135"/>
        <w:rPr>
          <w:rFonts w:cs="Times New Roman"/>
          <w:szCs w:val="22"/>
        </w:rPr>
      </w:pPr>
      <w:r w:rsidRPr="00731F8E">
        <w:rPr>
          <w:rFonts w:cs="Times New Roman"/>
          <w:szCs w:val="22"/>
        </w:rPr>
        <w:t>"The distribution license holder is obliged to employ the personnel whose qualifications are specified in other legislation during the works and transactions carried out within the scope of the license."</w:t>
      </w:r>
    </w:p>
    <w:p w14:paraId="7F7736C2" w14:textId="77777777" w:rsidR="004C0A79" w:rsidRPr="00731F8E" w:rsidRDefault="004C0A79" w:rsidP="004C0A79">
      <w:pPr>
        <w:pStyle w:val="GvdeMetni"/>
        <w:spacing w:before="37" w:line="276" w:lineRule="auto"/>
        <w:ind w:left="1555" w:right="132"/>
        <w:rPr>
          <w:rFonts w:cs="Times New Roman"/>
          <w:szCs w:val="22"/>
        </w:rPr>
      </w:pPr>
      <w:r w:rsidRPr="00731F8E">
        <w:rPr>
          <w:rFonts w:cs="Times New Roman"/>
          <w:szCs w:val="22"/>
        </w:rPr>
        <w:t>"The distribution company shall make plans for the works subject to the internal installation and service lines certificate based on the minimum number of employees to be employed within a certified company as specified in Annex-9 and the number of insured working days of the relevant employees; for the maximum number of projects to be accepted by the certified companies authorized by the company in the period not exceeding the next 90 (ninety) days, together with the factors such as the nature of the work, whether it is the first construction or renovation project, the proximity of the places where the installation work will be carried out on the same day and/or the following days, and the features exclusive to the region within the scope of the license where the distribution activity is carried out, and the opinions of the relevant third parties. In the planning, the principle of not discriminating between equal parties and taking objective criteria as a basis is observed and the planning criteria are published on the website of the relevant distribution company. When necessary, the Board may request the distribution company to change the planning or make general arrangements in this regard. Taking into account the number of base projects calculated as stated above, based on the number of employees currently employed within the certified company and whose documents have been submitted to the distribution company and the number of insured working days of the relevant employees, the distribution company determines the maximum number of projects it will accept in the next period in relation to the certified companies. "</w:t>
      </w:r>
    </w:p>
    <w:p w14:paraId="1B7CB4A7" w14:textId="77777777" w:rsidR="004C0A79" w:rsidRPr="00731F8E" w:rsidRDefault="004C0A79" w:rsidP="004C0A79">
      <w:pPr>
        <w:pStyle w:val="GvdeMetni"/>
        <w:spacing w:before="41"/>
        <w:rPr>
          <w:rFonts w:cs="Times New Roman"/>
          <w:szCs w:val="22"/>
        </w:rPr>
      </w:pPr>
    </w:p>
    <w:p w14:paraId="1A2B2E08" w14:textId="77777777" w:rsidR="004C0A79" w:rsidRPr="00731F8E" w:rsidRDefault="004C0A79" w:rsidP="00A86526">
      <w:pPr>
        <w:pStyle w:val="ListeParagraf"/>
        <w:widowControl w:val="0"/>
        <w:numPr>
          <w:ilvl w:val="4"/>
          <w:numId w:val="52"/>
        </w:numPr>
        <w:tabs>
          <w:tab w:val="left" w:pos="1555"/>
        </w:tabs>
        <w:autoSpaceDE w:val="0"/>
        <w:autoSpaceDN w:val="0"/>
        <w:spacing w:after="0" w:line="256" w:lineRule="auto"/>
        <w:ind w:left="1555" w:right="134"/>
        <w:contextualSpacing w:val="0"/>
        <w:rPr>
          <w:rFonts w:ascii="Times New Roman" w:hAnsi="Times New Roman"/>
        </w:rPr>
      </w:pPr>
      <w:r w:rsidRPr="00731F8E">
        <w:rPr>
          <w:rFonts w:ascii="Times New Roman" w:hAnsi="Times New Roman"/>
        </w:rPr>
        <w:t>The following sentence has been added to the second paragraph of Article 15 and the fourth paragraph has been amended as follows.</w:t>
      </w:r>
    </w:p>
    <w:p w14:paraId="0591A7B3" w14:textId="77777777" w:rsidR="004C0A79" w:rsidRPr="00731F8E" w:rsidRDefault="004C0A79" w:rsidP="004C0A79">
      <w:pPr>
        <w:pStyle w:val="GvdeMetni"/>
        <w:spacing w:before="44"/>
        <w:rPr>
          <w:rFonts w:cs="Times New Roman"/>
          <w:i/>
          <w:szCs w:val="22"/>
        </w:rPr>
      </w:pPr>
    </w:p>
    <w:p w14:paraId="3FDB39BF" w14:textId="77777777" w:rsidR="004C0A79" w:rsidRPr="00731F8E" w:rsidRDefault="004C0A79" w:rsidP="004C0A79">
      <w:pPr>
        <w:pStyle w:val="GvdeMetni"/>
        <w:ind w:left="1555"/>
        <w:rPr>
          <w:rFonts w:cs="Times New Roman"/>
          <w:szCs w:val="22"/>
        </w:rPr>
      </w:pPr>
      <w:r w:rsidRPr="00731F8E">
        <w:rPr>
          <w:rFonts w:cs="Times New Roman"/>
          <w:szCs w:val="22"/>
        </w:rPr>
        <w:t>"Certificate amendment applications shall be evaluated within sixty days at the latest."</w:t>
      </w:r>
    </w:p>
    <w:p w14:paraId="5843254F" w14:textId="77777777" w:rsidR="004C0A79" w:rsidRPr="00731F8E" w:rsidRDefault="004C0A79" w:rsidP="004C0A79">
      <w:pPr>
        <w:pStyle w:val="GvdeMetni"/>
        <w:spacing w:before="80"/>
        <w:rPr>
          <w:rFonts w:cs="Times New Roman"/>
          <w:szCs w:val="22"/>
        </w:rPr>
      </w:pPr>
    </w:p>
    <w:p w14:paraId="22FB2822"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"In terms of each of the notifications that can be made on more than one different subject regarding the deficiencies or inaccuracies in the certificate amendment applications that are found not to be made in accordance with the relevant legislation, within thirty days from the date of notification to the applicant, if the reported deficiencies and inaccuracies are not eliminated, the amendment application shall be deemed not to have been made and the application document and the certificate amendment fee shall be refunded."</w:t>
      </w:r>
    </w:p>
    <w:p w14:paraId="183F716D"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56" w:lineRule="auto"/>
        <w:ind w:left="1555" w:right="137"/>
        <w:contextualSpacing w:val="0"/>
        <w:rPr>
          <w:rFonts w:ascii="Times New Roman" w:hAnsi="Times New Roman"/>
        </w:rPr>
      </w:pPr>
      <w:r w:rsidRPr="00731F8E">
        <w:rPr>
          <w:rFonts w:ascii="Times New Roman" w:hAnsi="Times New Roman"/>
        </w:rPr>
        <w:t>The following sentences have been added to the first paragraph of Article 15/A and the fourth paragraph has been amended as follows.</w:t>
      </w:r>
    </w:p>
    <w:p w14:paraId="54EF2A9A" w14:textId="77777777" w:rsidR="004C0A79" w:rsidRPr="00731F8E" w:rsidRDefault="004C0A79" w:rsidP="004C0A79">
      <w:pPr>
        <w:pStyle w:val="GvdeMetni"/>
        <w:spacing w:before="45"/>
        <w:rPr>
          <w:rFonts w:cs="Times New Roman"/>
          <w:i/>
          <w:szCs w:val="22"/>
        </w:rPr>
      </w:pPr>
    </w:p>
    <w:p w14:paraId="76424523"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“At the earliest sixty days before the visa expiry date, an application may be made to the Authority for construction and service certificates and to the relevant distribution company/authorized company for internal installation and service lines certificates. Visa applications made before this period are not taken into consideration and if they are deposited with the application file, the visa fee is returned and the certificate holder is informed that the application should be made within the period. "</w:t>
      </w:r>
    </w:p>
    <w:p w14:paraId="67633ED5" w14:textId="77777777" w:rsidR="004C0A79" w:rsidRPr="00731F8E" w:rsidRDefault="004C0A79" w:rsidP="004C0A79">
      <w:pPr>
        <w:pStyle w:val="GvdeMetni"/>
        <w:spacing w:before="39"/>
        <w:rPr>
          <w:rFonts w:cs="Times New Roman"/>
          <w:szCs w:val="22"/>
        </w:rPr>
      </w:pPr>
    </w:p>
    <w:p w14:paraId="656E599A"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In terms of each of the notifications that can be made on more than one different subject regarding the deficiencies or inaccuracies in the certificate applications that are found not to be made in accordance with the relevant legislation, within thirty days from the date of notification, if the reported deficiencies and inaccuracies are not eliminated, the application is deemed not to have been made and the application document is returned. "</w:t>
      </w:r>
    </w:p>
    <w:p w14:paraId="55705C2F" w14:textId="77777777" w:rsidR="004C0A79" w:rsidRPr="00731F8E" w:rsidRDefault="004C0A79" w:rsidP="004C0A79">
      <w:pPr>
        <w:pStyle w:val="GvdeMetni"/>
        <w:spacing w:before="40"/>
        <w:rPr>
          <w:rFonts w:cs="Times New Roman"/>
          <w:szCs w:val="22"/>
        </w:rPr>
      </w:pPr>
    </w:p>
    <w:p w14:paraId="528D5ED9"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fourth paragraph of Article 16 has been amended as follows.</w:t>
      </w:r>
    </w:p>
    <w:p w14:paraId="147C9AA1"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lastRenderedPageBreak/>
        <w:t>"In terms of each of the notifications that can be made on more than one different issue regarding the deficiencies or inaccuracies detected in relation to the renewal application, within thirty days from the date of notification, if the reported deficiencies and inaccuracies are not eliminated, the renewal application shall be deemed not to have been made and the renewal fee shall be refunded with the application document."</w:t>
      </w:r>
    </w:p>
    <w:p w14:paraId="0B44C644" w14:textId="77777777" w:rsidR="004C0A79" w:rsidRPr="00731F8E" w:rsidRDefault="004C0A79" w:rsidP="004C0A79">
      <w:pPr>
        <w:pStyle w:val="GvdeMetni"/>
        <w:spacing w:before="42"/>
        <w:rPr>
          <w:rFonts w:cs="Times New Roman"/>
          <w:szCs w:val="22"/>
        </w:rPr>
      </w:pPr>
    </w:p>
    <w:p w14:paraId="6876E5E2"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first paragraph of Article 17 has been amended as follows.</w:t>
      </w:r>
    </w:p>
    <w:p w14:paraId="345DFE5F" w14:textId="77777777" w:rsidR="004C0A79" w:rsidRPr="00731F8E" w:rsidRDefault="004C0A79" w:rsidP="004C0A79">
      <w:pPr>
        <w:pStyle w:val="GvdeMetni"/>
        <w:spacing w:before="60"/>
        <w:rPr>
          <w:rFonts w:cs="Times New Roman"/>
          <w:i/>
          <w:szCs w:val="22"/>
        </w:rPr>
      </w:pPr>
    </w:p>
    <w:p w14:paraId="14F4523D"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"Certificates automatically expire at the end of their term or if the bankruptcy decision about the certificate holder is finalized or its commercial activity is terminated. The death of the real entity holding the certificate is considered as the termination of his commercial activity. In the event that the certificate holder wishes to withdraw from the certificate, the approval of the expiry of the certificate shall be given by the President or the distribution company issuing the certificate or the company holding the authorization certificate, as the case may be. It is determined with the document issued by the Tax Office to which the certified real entity is affiliated that he/she does not operate; in the event that the certified legal entity is authenticated with the documents issued by the Tax Office and the Trade Registry Directorate to which he/she is affiliated that he/she does not operate, it is determined with the approval of the President for the construction and service certificate according to his/her interest that the certificate has expired as of the date of termination of commercial activity or the date of finalization of the bankruptcy decision, and with the approval of the distribution company or the company holding the certificate for the internal installation and service lines certificate. "</w:t>
      </w:r>
    </w:p>
    <w:p w14:paraId="7C03ABD3" w14:textId="77777777" w:rsidR="004C0A79" w:rsidRPr="00731F8E" w:rsidRDefault="004C0A79" w:rsidP="004C0A79">
      <w:pPr>
        <w:pStyle w:val="GvdeMetni"/>
        <w:spacing w:before="41"/>
        <w:rPr>
          <w:rFonts w:cs="Times New Roman"/>
          <w:szCs w:val="22"/>
        </w:rPr>
      </w:pPr>
    </w:p>
    <w:p w14:paraId="33E3AA4D" w14:textId="77777777" w:rsidR="004C0A79" w:rsidRPr="00731F8E" w:rsidRDefault="004C0A79" w:rsidP="00A86526">
      <w:pPr>
        <w:pStyle w:val="ListeParagraf"/>
        <w:widowControl w:val="0"/>
        <w:numPr>
          <w:ilvl w:val="4"/>
          <w:numId w:val="52"/>
        </w:numPr>
        <w:tabs>
          <w:tab w:val="left" w:pos="1555"/>
        </w:tabs>
        <w:autoSpaceDE w:val="0"/>
        <w:autoSpaceDN w:val="0"/>
        <w:spacing w:after="0" w:line="256" w:lineRule="auto"/>
        <w:ind w:left="1555" w:right="135"/>
        <w:contextualSpacing w:val="0"/>
        <w:jc w:val="left"/>
        <w:rPr>
          <w:rFonts w:ascii="Times New Roman" w:hAnsi="Times New Roman"/>
        </w:rPr>
      </w:pPr>
      <w:r w:rsidRPr="00731F8E">
        <w:rPr>
          <w:rFonts w:ascii="Times New Roman" w:hAnsi="Times New Roman"/>
        </w:rPr>
        <w:t>The following sentence has been added to the fifth paragraph of Article 18 and the following paragraph has been added to the same article.</w:t>
      </w:r>
    </w:p>
    <w:p w14:paraId="40090E22" w14:textId="77777777" w:rsidR="004C0A79" w:rsidRPr="00731F8E" w:rsidRDefault="004C0A79" w:rsidP="004C0A79">
      <w:pPr>
        <w:pStyle w:val="GvdeMetni"/>
        <w:spacing w:before="44"/>
        <w:rPr>
          <w:rFonts w:cs="Times New Roman"/>
          <w:i/>
          <w:szCs w:val="22"/>
        </w:rPr>
      </w:pPr>
    </w:p>
    <w:p w14:paraId="3670171A"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"However, as a result of the investigation carried out for the acts covered by the second paragraph of this article, the Board may decide not to issue a new certificate for one year to the employee who is actually responsible or to the persons to whom this employee is also the owner/partner, even if it does not take a decision for the cancellation of the certificate, and that the said persons cannot work in another certified company for one year."</w:t>
      </w:r>
    </w:p>
    <w:p w14:paraId="053317BE" w14:textId="77777777" w:rsidR="004C0A79" w:rsidRPr="00731F8E" w:rsidRDefault="004C0A79" w:rsidP="004C0A79">
      <w:pPr>
        <w:pStyle w:val="GvdeMetni"/>
        <w:spacing w:before="40"/>
        <w:rPr>
          <w:rFonts w:cs="Times New Roman"/>
          <w:szCs w:val="22"/>
        </w:rPr>
      </w:pPr>
    </w:p>
    <w:p w14:paraId="14227897"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"In the event that the person whose internal installation and service lines certificate is cancelled within the scope of the second paragraph of this article has other certificates issued by the relevant distribution company/companies to operate in different distribution region/regions in a way that does not violate the provisions of this Regulation, he/she can operate within the scope of the existing certificate/ certificates until the end of the certificate period and his/her existing certificate/certificates can be renewed, but no new certificate can be issued for one year regardless of which distribution region he/she wants to operate in. In this case, the provisions of the fifth and sixth paragraphs of this article shall apply. Employees and/or company owners/partners who are responsible for the act subject to certificate cancellation and whose documents are submitted within the scope of this Regulation cannot be employed to operate within the scope of other certificates of the same company. "</w:t>
      </w:r>
    </w:p>
    <w:p w14:paraId="097904E9" w14:textId="77777777" w:rsidR="004C0A79" w:rsidRPr="00731F8E" w:rsidRDefault="004C0A79" w:rsidP="004C0A79">
      <w:pPr>
        <w:pStyle w:val="GvdeMetni"/>
        <w:spacing w:before="39"/>
        <w:rPr>
          <w:rFonts w:cs="Times New Roman"/>
          <w:szCs w:val="22"/>
        </w:rPr>
      </w:pPr>
    </w:p>
    <w:p w14:paraId="02BE2023"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4"/>
        <w:contextualSpacing w:val="0"/>
        <w:jc w:val="left"/>
        <w:rPr>
          <w:rFonts w:ascii="Times New Roman" w:hAnsi="Times New Roman"/>
        </w:rPr>
      </w:pPr>
      <w:r w:rsidRPr="00731F8E">
        <w:rPr>
          <w:rFonts w:ascii="Times New Roman" w:hAnsi="Times New Roman"/>
        </w:rPr>
        <w:t xml:space="preserve">The phrase </w:t>
      </w:r>
      <w:r w:rsidRPr="00731F8E">
        <w:rPr>
          <w:rFonts w:ascii="Times New Roman" w:hAnsi="Times New Roman"/>
          <w:i/>
        </w:rPr>
        <w:t xml:space="preserve">"three" </w:t>
      </w:r>
      <w:r w:rsidRPr="00731F8E">
        <w:rPr>
          <w:rFonts w:ascii="Times New Roman" w:hAnsi="Times New Roman"/>
        </w:rPr>
        <w:t xml:space="preserve">in clause (l) of the first paragraph of Article 19 has been changed to </w:t>
      </w:r>
      <w:r w:rsidRPr="00731F8E">
        <w:rPr>
          <w:rFonts w:ascii="Times New Roman" w:hAnsi="Times New Roman"/>
          <w:i/>
        </w:rPr>
        <w:t>"two"</w:t>
      </w:r>
      <w:r w:rsidRPr="00731F8E">
        <w:rPr>
          <w:rFonts w:ascii="Times New Roman" w:hAnsi="Times New Roman"/>
        </w:rPr>
        <w:t>.</w:t>
      </w:r>
    </w:p>
    <w:p w14:paraId="52E388C0" w14:textId="77777777" w:rsidR="004C0A79" w:rsidRPr="00731F8E" w:rsidRDefault="004C0A79" w:rsidP="00A86526">
      <w:pPr>
        <w:pStyle w:val="ListeParagraf"/>
        <w:widowControl w:val="0"/>
        <w:numPr>
          <w:ilvl w:val="4"/>
          <w:numId w:val="52"/>
        </w:numPr>
        <w:tabs>
          <w:tab w:val="left" w:pos="1555"/>
        </w:tabs>
        <w:autoSpaceDE w:val="0"/>
        <w:autoSpaceDN w:val="0"/>
        <w:spacing w:before="66" w:after="0" w:line="259" w:lineRule="auto"/>
        <w:ind w:left="1555" w:right="131"/>
        <w:contextualSpacing w:val="0"/>
        <w:jc w:val="left"/>
        <w:rPr>
          <w:rFonts w:ascii="Times New Roman" w:hAnsi="Times New Roman"/>
        </w:rPr>
      </w:pPr>
      <w:r w:rsidRPr="00731F8E">
        <w:rPr>
          <w:rFonts w:ascii="Times New Roman" w:hAnsi="Times New Roman"/>
        </w:rPr>
        <w:t xml:space="preserve">The title of the second section of the second part has been changed to </w:t>
      </w:r>
      <w:r w:rsidRPr="00731F8E">
        <w:rPr>
          <w:rFonts w:ascii="Times New Roman" w:hAnsi="Times New Roman"/>
          <w:i/>
        </w:rPr>
        <w:t>"Confidentiality, Audit and Complaints, Sanctions, Non-Transfer and Notifications, Suspension of Authority, Force Majeure"</w:t>
      </w:r>
      <w:r w:rsidRPr="00731F8E">
        <w:rPr>
          <w:rFonts w:ascii="Times New Roman" w:hAnsi="Times New Roman"/>
        </w:rPr>
        <w:t>.</w:t>
      </w:r>
    </w:p>
    <w:p w14:paraId="7E0203C4" w14:textId="77777777" w:rsidR="004C0A79" w:rsidRPr="00731F8E" w:rsidRDefault="004C0A79" w:rsidP="004C0A79">
      <w:pPr>
        <w:pStyle w:val="GvdeMetni"/>
        <w:spacing w:before="39"/>
        <w:rPr>
          <w:rFonts w:cs="Times New Roman"/>
          <w:i/>
          <w:szCs w:val="22"/>
        </w:rPr>
      </w:pPr>
    </w:p>
    <w:p w14:paraId="2E577B21" w14:textId="77777777" w:rsidR="004C0A79" w:rsidRPr="00731F8E" w:rsidRDefault="004C0A79" w:rsidP="00A86526">
      <w:pPr>
        <w:pStyle w:val="ListeParagraf"/>
        <w:widowControl w:val="0"/>
        <w:numPr>
          <w:ilvl w:val="4"/>
          <w:numId w:val="52"/>
        </w:numPr>
        <w:tabs>
          <w:tab w:val="left" w:pos="444"/>
        </w:tabs>
        <w:autoSpaceDE w:val="0"/>
        <w:autoSpaceDN w:val="0"/>
        <w:spacing w:after="0" w:line="240" w:lineRule="auto"/>
        <w:ind w:left="444"/>
        <w:contextualSpacing w:val="0"/>
        <w:jc w:val="center"/>
        <w:rPr>
          <w:rFonts w:ascii="Times New Roman" w:hAnsi="Times New Roman"/>
        </w:rPr>
      </w:pPr>
      <w:r w:rsidRPr="00731F8E">
        <w:rPr>
          <w:rFonts w:ascii="Times New Roman" w:hAnsi="Times New Roman"/>
        </w:rPr>
        <w:t>The following articles have been added after Article 24.</w:t>
      </w:r>
    </w:p>
    <w:p w14:paraId="6D1B5D74" w14:textId="77777777" w:rsidR="004C0A79" w:rsidRPr="00731F8E" w:rsidRDefault="004C0A79" w:rsidP="004C0A79">
      <w:pPr>
        <w:pStyle w:val="GvdeMetni"/>
        <w:spacing w:before="63"/>
        <w:rPr>
          <w:rFonts w:cs="Times New Roman"/>
          <w:i/>
          <w:szCs w:val="22"/>
        </w:rPr>
      </w:pPr>
    </w:p>
    <w:p w14:paraId="4DDD1B62" w14:textId="77777777" w:rsidR="004C0A79" w:rsidRPr="00731F8E" w:rsidRDefault="004C0A79" w:rsidP="004C0A79">
      <w:pPr>
        <w:pStyle w:val="GvdeMetni"/>
        <w:ind w:left="1555"/>
        <w:rPr>
          <w:rFonts w:cs="Times New Roman"/>
          <w:szCs w:val="22"/>
        </w:rPr>
      </w:pPr>
      <w:r w:rsidRPr="00731F8E">
        <w:rPr>
          <w:rFonts w:cs="Times New Roman"/>
          <w:szCs w:val="22"/>
        </w:rPr>
        <w:t>“Halting authorization</w:t>
      </w:r>
    </w:p>
    <w:p w14:paraId="36705C56" w14:textId="77777777" w:rsidR="004C0A79" w:rsidRPr="00731F8E" w:rsidRDefault="004C0A79" w:rsidP="004C0A79">
      <w:pPr>
        <w:pStyle w:val="GvdeMetni"/>
        <w:spacing w:before="80"/>
        <w:rPr>
          <w:rFonts w:cs="Times New Roman"/>
          <w:szCs w:val="22"/>
        </w:rPr>
      </w:pPr>
    </w:p>
    <w:p w14:paraId="0F933200" w14:textId="77777777" w:rsidR="004C0A79" w:rsidRPr="00731F8E" w:rsidRDefault="004C0A79" w:rsidP="004C0A79">
      <w:pPr>
        <w:pStyle w:val="GvdeMetni"/>
        <w:spacing w:line="276" w:lineRule="auto"/>
        <w:ind w:left="1555" w:right="136"/>
        <w:rPr>
          <w:rFonts w:cs="Times New Roman"/>
          <w:szCs w:val="22"/>
        </w:rPr>
      </w:pPr>
      <w:r w:rsidRPr="00731F8E">
        <w:rPr>
          <w:rFonts w:cs="Times New Roman"/>
          <w:szCs w:val="22"/>
        </w:rPr>
        <w:t>Article 24/A- Within the scope of the activities carried out within the scope of the internal installation and service lines certificate,</w:t>
      </w:r>
    </w:p>
    <w:p w14:paraId="1CF1ECEA" w14:textId="77777777" w:rsidR="004C0A79" w:rsidRPr="00731F8E" w:rsidRDefault="004C0A79" w:rsidP="004C0A79">
      <w:pPr>
        <w:pStyle w:val="GvdeMetni"/>
        <w:spacing w:before="40"/>
        <w:rPr>
          <w:rFonts w:cs="Times New Roman"/>
          <w:szCs w:val="22"/>
        </w:rPr>
      </w:pPr>
    </w:p>
    <w:p w14:paraId="081A885B" w14:textId="77777777" w:rsidR="004C0A79" w:rsidRPr="00731F8E" w:rsidRDefault="004C0A79" w:rsidP="00A86526">
      <w:pPr>
        <w:pStyle w:val="P68B1DB1-ListParagraph2"/>
        <w:numPr>
          <w:ilvl w:val="5"/>
          <w:numId w:val="52"/>
        </w:numPr>
        <w:tabs>
          <w:tab w:val="left" w:pos="1853"/>
        </w:tabs>
        <w:spacing w:line="276" w:lineRule="auto"/>
        <w:ind w:right="133" w:firstLine="0"/>
        <w:rPr>
          <w:rFonts w:ascii="Times New Roman" w:hAnsi="Times New Roman" w:cs="Times New Roman"/>
          <w:szCs w:val="22"/>
        </w:rPr>
      </w:pPr>
      <w:r w:rsidRPr="00731F8E">
        <w:rPr>
          <w:rFonts w:ascii="Times New Roman" w:hAnsi="Times New Roman" w:cs="Times New Roman"/>
          <w:szCs w:val="22"/>
        </w:rPr>
        <w:t>Failure to notify the written notification made by the distribution company to the certified company due to reasons such as inability to be present at the address or change of address,</w:t>
      </w:r>
    </w:p>
    <w:p w14:paraId="7CEDB923" w14:textId="77777777" w:rsidR="004C0A79" w:rsidRPr="00731F8E" w:rsidRDefault="004C0A79" w:rsidP="004C0A79">
      <w:pPr>
        <w:pStyle w:val="GvdeMetni"/>
        <w:spacing w:before="40"/>
        <w:rPr>
          <w:rFonts w:cs="Times New Roman"/>
          <w:szCs w:val="22"/>
        </w:rPr>
      </w:pPr>
    </w:p>
    <w:p w14:paraId="46E468C1" w14:textId="77777777" w:rsidR="004C0A79" w:rsidRPr="00731F8E" w:rsidRDefault="004C0A79" w:rsidP="00A86526">
      <w:pPr>
        <w:pStyle w:val="P68B1DB1-ListParagraph2"/>
        <w:numPr>
          <w:ilvl w:val="5"/>
          <w:numId w:val="52"/>
        </w:numPr>
        <w:tabs>
          <w:tab w:val="left" w:pos="1839"/>
        </w:tabs>
        <w:spacing w:line="276" w:lineRule="auto"/>
        <w:ind w:right="134" w:firstLine="0"/>
        <w:rPr>
          <w:rFonts w:ascii="Times New Roman" w:hAnsi="Times New Roman" w:cs="Times New Roman"/>
          <w:szCs w:val="22"/>
        </w:rPr>
      </w:pPr>
      <w:r w:rsidRPr="00731F8E">
        <w:rPr>
          <w:rFonts w:ascii="Times New Roman" w:hAnsi="Times New Roman" w:cs="Times New Roman"/>
          <w:szCs w:val="22"/>
        </w:rPr>
        <w:t>The fact that the workplace is closed during more than one check/visit to the said workplace by the distribution company,</w:t>
      </w:r>
    </w:p>
    <w:p w14:paraId="43938376" w14:textId="77777777" w:rsidR="004C0A79" w:rsidRPr="00731F8E" w:rsidRDefault="004C0A79" w:rsidP="004C0A79">
      <w:pPr>
        <w:pStyle w:val="GvdeMetni"/>
        <w:spacing w:before="40"/>
        <w:rPr>
          <w:rFonts w:cs="Times New Roman"/>
          <w:szCs w:val="22"/>
        </w:rPr>
      </w:pPr>
    </w:p>
    <w:p w14:paraId="0D272D6C" w14:textId="77777777" w:rsidR="004C0A79" w:rsidRPr="00731F8E" w:rsidRDefault="004C0A79" w:rsidP="00A86526">
      <w:pPr>
        <w:pStyle w:val="P68B1DB1-ListParagraph2"/>
        <w:numPr>
          <w:ilvl w:val="5"/>
          <w:numId w:val="52"/>
        </w:numPr>
        <w:tabs>
          <w:tab w:val="left" w:pos="1830"/>
        </w:tabs>
        <w:spacing w:line="276" w:lineRule="auto"/>
        <w:ind w:right="134" w:firstLine="0"/>
        <w:rPr>
          <w:rFonts w:ascii="Times New Roman" w:hAnsi="Times New Roman" w:cs="Times New Roman"/>
          <w:szCs w:val="22"/>
        </w:rPr>
      </w:pPr>
      <w:r w:rsidRPr="00731F8E">
        <w:rPr>
          <w:rFonts w:ascii="Times New Roman" w:hAnsi="Times New Roman" w:cs="Times New Roman"/>
          <w:szCs w:val="22"/>
        </w:rPr>
        <w:t>Determining that the company holding the internal installation and service lines certificate operates without a visa,</w:t>
      </w:r>
    </w:p>
    <w:p w14:paraId="33063CC3" w14:textId="77777777" w:rsidR="004C0A79" w:rsidRPr="00731F8E" w:rsidRDefault="004C0A79" w:rsidP="004C0A79">
      <w:pPr>
        <w:pStyle w:val="GvdeMetni"/>
        <w:spacing w:before="40"/>
        <w:rPr>
          <w:rFonts w:cs="Times New Roman"/>
          <w:szCs w:val="22"/>
        </w:rPr>
      </w:pPr>
    </w:p>
    <w:p w14:paraId="1155C4FB"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ç) Failure of the certified company to submit the monthly insurance breakdown of the personnel who have to work on a full-time basis within the scope of the principles of this Regulation to the relevant distribution company within the periods determined by the distribution company,</w:t>
      </w:r>
    </w:p>
    <w:p w14:paraId="2272973E" w14:textId="77777777" w:rsidR="004C0A79" w:rsidRPr="00731F8E" w:rsidRDefault="004C0A79" w:rsidP="004C0A79">
      <w:pPr>
        <w:pStyle w:val="GvdeMetni"/>
        <w:spacing w:before="40"/>
        <w:rPr>
          <w:rFonts w:cs="Times New Roman"/>
          <w:szCs w:val="22"/>
        </w:rPr>
      </w:pPr>
    </w:p>
    <w:p w14:paraId="2120F8FF" w14:textId="77777777" w:rsidR="004C0A79" w:rsidRPr="00731F8E" w:rsidRDefault="004C0A79" w:rsidP="00A86526">
      <w:pPr>
        <w:pStyle w:val="P68B1DB1-ListParagraph2"/>
        <w:numPr>
          <w:ilvl w:val="5"/>
          <w:numId w:val="52"/>
        </w:numPr>
        <w:tabs>
          <w:tab w:val="left" w:pos="1851"/>
        </w:tabs>
        <w:spacing w:before="1" w:line="276" w:lineRule="auto"/>
        <w:ind w:right="136" w:firstLine="0"/>
        <w:rPr>
          <w:rFonts w:ascii="Times New Roman" w:hAnsi="Times New Roman" w:cs="Times New Roman"/>
          <w:szCs w:val="22"/>
        </w:rPr>
      </w:pPr>
      <w:r w:rsidRPr="00731F8E">
        <w:rPr>
          <w:rFonts w:ascii="Times New Roman" w:hAnsi="Times New Roman" w:cs="Times New Roman"/>
          <w:szCs w:val="22"/>
        </w:rPr>
        <w:t>Failure to submit the information and documents requested by the distribution company within fifteen (15) days,</w:t>
      </w:r>
    </w:p>
    <w:p w14:paraId="08FD0F74" w14:textId="77777777" w:rsidR="004C0A79" w:rsidRPr="00731F8E" w:rsidRDefault="004C0A79" w:rsidP="004C0A79">
      <w:pPr>
        <w:pStyle w:val="GvdeMetni"/>
        <w:spacing w:before="39"/>
        <w:rPr>
          <w:rFonts w:cs="Times New Roman"/>
          <w:szCs w:val="22"/>
        </w:rPr>
      </w:pPr>
    </w:p>
    <w:p w14:paraId="6F468D2F" w14:textId="77777777" w:rsidR="004C0A79" w:rsidRPr="00731F8E" w:rsidRDefault="004C0A79" w:rsidP="00A86526">
      <w:pPr>
        <w:pStyle w:val="P68B1DB1-ListParagraph2"/>
        <w:numPr>
          <w:ilvl w:val="5"/>
          <w:numId w:val="52"/>
        </w:numPr>
        <w:tabs>
          <w:tab w:val="left" w:pos="1777"/>
        </w:tabs>
        <w:spacing w:before="1"/>
        <w:ind w:left="1777" w:hanging="222"/>
        <w:rPr>
          <w:rFonts w:ascii="Times New Roman" w:hAnsi="Times New Roman" w:cs="Times New Roman"/>
          <w:szCs w:val="22"/>
        </w:rPr>
      </w:pPr>
      <w:r w:rsidRPr="00731F8E">
        <w:rPr>
          <w:rFonts w:ascii="Times New Roman" w:hAnsi="Times New Roman" w:cs="Times New Roman"/>
          <w:szCs w:val="22"/>
        </w:rPr>
        <w:t>If the certified company does not meet the requirements in clause (r) of Article 11,</w:t>
      </w:r>
    </w:p>
    <w:p w14:paraId="00A33F30" w14:textId="77777777" w:rsidR="004C0A79" w:rsidRPr="00731F8E" w:rsidRDefault="004C0A79" w:rsidP="004C0A79">
      <w:pPr>
        <w:pStyle w:val="GvdeMetni"/>
        <w:spacing w:before="79"/>
        <w:rPr>
          <w:rFonts w:cs="Times New Roman"/>
          <w:szCs w:val="22"/>
        </w:rPr>
      </w:pPr>
    </w:p>
    <w:p w14:paraId="11BBB256"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such cases, the distribution company does not accept the new application files of the certified company until the information and documents for the elimination of the violation of the relevant legislation are submitted to it and the necessary procedures are established, if any, by providing the necessary information/documents and/or recording their determinations. In the above-mentioned cases, a statement containing the date and time that the authorization of the certificate holder, whose authorization has been stopped by not accepting the new application file, has been stopped to the relevant section of the distribution company's website. The distribution company shall make a reasoned notification to the certificate holder whose authorization has been stopped or opened in writing, as well as by text message (SMS) or e-mail, and shall submit the information and documents related to this notification to the Authority upon request. In the notification to be made, the dates on which the authorization is stopped or opened are clearly stated.</w:t>
      </w:r>
    </w:p>
    <w:p w14:paraId="68B552ED" w14:textId="77777777" w:rsidR="004C0A79" w:rsidRPr="00731F8E" w:rsidRDefault="004C0A79" w:rsidP="004C0A79">
      <w:pPr>
        <w:pStyle w:val="GvdeMetni"/>
        <w:spacing w:before="42"/>
        <w:rPr>
          <w:rFonts w:cs="Times New Roman"/>
          <w:szCs w:val="22"/>
        </w:rPr>
      </w:pPr>
    </w:p>
    <w:p w14:paraId="0F3B3098"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the event that one of the above-mentioned acts is carried out more than three times in a calendar year by the same certificate holder and/or it is determined that the distribution company has carried out visa-free activities twice during the certificate period, the distribution company shall notify the Authority to examine the issue within the scope of the violation of the relevant legislation together with the relevant information and documents.</w:t>
      </w:r>
    </w:p>
    <w:p w14:paraId="6CC3F4F5" w14:textId="77777777" w:rsidR="004C0A79" w:rsidRPr="00731F8E" w:rsidRDefault="004C0A79" w:rsidP="004C0A79">
      <w:pPr>
        <w:pStyle w:val="GvdeMetni"/>
        <w:spacing w:before="37" w:line="276" w:lineRule="auto"/>
        <w:ind w:left="1556" w:right="131"/>
        <w:rPr>
          <w:rFonts w:cs="Times New Roman"/>
          <w:szCs w:val="22"/>
        </w:rPr>
      </w:pPr>
      <w:r w:rsidRPr="00731F8E">
        <w:rPr>
          <w:rFonts w:cs="Times New Roman"/>
          <w:szCs w:val="22"/>
        </w:rPr>
        <w:t>The certificate holder, who is prevented from submitting a new application file, continues the unfinished production and gas opening works of the projects previously approved by the distribution company under the supervision of the relevant distribution company.</w:t>
      </w:r>
    </w:p>
    <w:p w14:paraId="34994E9F" w14:textId="77777777" w:rsidR="004C0A79" w:rsidRPr="00731F8E" w:rsidRDefault="004C0A79" w:rsidP="004C0A79">
      <w:pPr>
        <w:pStyle w:val="GvdeMetni"/>
        <w:spacing w:before="40"/>
        <w:rPr>
          <w:rFonts w:cs="Times New Roman"/>
          <w:szCs w:val="22"/>
        </w:rPr>
      </w:pPr>
    </w:p>
    <w:p w14:paraId="7869E7B9"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If it is determined that the personnel whose certificate is submitted in the certificate/amendment/visa application has been submitted to the relevant distribution company within the scope of the certificate held to operate in the region subject to another distribution license, no activity can be carried out in any way before one of the certificates expires or it is determined that another personnel is employed in order to operate within the scope of the other certificate. The provisions of the first and second paragraphs of this article shall be applied by the relevant distribution companies.</w:t>
      </w:r>
    </w:p>
    <w:p w14:paraId="11EBACBB" w14:textId="77777777" w:rsidR="004C0A79" w:rsidRPr="00731F8E" w:rsidRDefault="004C0A79" w:rsidP="004C0A79">
      <w:pPr>
        <w:pStyle w:val="GvdeMetni"/>
        <w:spacing w:before="41"/>
        <w:rPr>
          <w:rFonts w:cs="Times New Roman"/>
          <w:szCs w:val="22"/>
        </w:rPr>
      </w:pPr>
    </w:p>
    <w:p w14:paraId="194E339D" w14:textId="77777777" w:rsidR="004C0A79" w:rsidRPr="00731F8E" w:rsidRDefault="004C0A79" w:rsidP="004C0A79">
      <w:pPr>
        <w:pStyle w:val="GvdeMetni"/>
        <w:spacing w:line="276" w:lineRule="auto"/>
        <w:ind w:left="1556" w:right="131"/>
        <w:rPr>
          <w:rFonts w:cs="Times New Roman"/>
          <w:szCs w:val="22"/>
        </w:rPr>
      </w:pPr>
      <w:r w:rsidRPr="00731F8E">
        <w:rPr>
          <w:rFonts w:cs="Times New Roman"/>
          <w:szCs w:val="22"/>
        </w:rPr>
        <w:t>If the distribution company considers that the works and transactions carried out by certified companies, which are not specified in this article, constitute urgency enough to cause the suspension of the authorities of the certified company until the violation of the relevant legislation is eliminated due to the fact that they prevent system security and consumer satisfaction, an application is made to the Authority together with the reasons. If approved by the Agency, the provisions of the first and second paragraphs of this article shall apply to the relevant certified company. The Board may make additional regulations on issues that will cause the holders of certificates to cease to be authorized.</w:t>
      </w:r>
    </w:p>
    <w:p w14:paraId="681ED1EB" w14:textId="77777777" w:rsidR="004C0A79" w:rsidRPr="00731F8E" w:rsidRDefault="004C0A79" w:rsidP="004C0A79">
      <w:pPr>
        <w:pStyle w:val="GvdeMetni"/>
        <w:spacing w:before="37"/>
        <w:rPr>
          <w:rFonts w:cs="Times New Roman"/>
          <w:szCs w:val="22"/>
        </w:rPr>
      </w:pPr>
    </w:p>
    <w:p w14:paraId="016813F2" w14:textId="77777777" w:rsidR="004C0A79" w:rsidRPr="00731F8E" w:rsidRDefault="004C0A79" w:rsidP="004C0A79">
      <w:pPr>
        <w:pStyle w:val="GvdeMetni"/>
        <w:ind w:left="1556"/>
        <w:rPr>
          <w:rFonts w:cs="Times New Roman"/>
          <w:szCs w:val="22"/>
        </w:rPr>
      </w:pPr>
      <w:r w:rsidRPr="00731F8E">
        <w:rPr>
          <w:rFonts w:cs="Times New Roman"/>
          <w:szCs w:val="22"/>
        </w:rPr>
        <w:t>Force majeure</w:t>
      </w:r>
    </w:p>
    <w:p w14:paraId="10D1C9CA" w14:textId="77777777" w:rsidR="004C0A79" w:rsidRPr="00731F8E" w:rsidRDefault="004C0A79" w:rsidP="004C0A79">
      <w:pPr>
        <w:pStyle w:val="GvdeMetni"/>
        <w:spacing w:before="82"/>
        <w:rPr>
          <w:rFonts w:cs="Times New Roman"/>
          <w:szCs w:val="22"/>
        </w:rPr>
      </w:pPr>
    </w:p>
    <w:p w14:paraId="5B36F790"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 xml:space="preserve">Article 24/B- In order for an event to be considered as a force majeure; although the affected party has shown the necessary care and attention and taken precautions, it should not be prevented, avoided or eliminated and this </w:t>
      </w:r>
      <w:r w:rsidRPr="00731F8E">
        <w:rPr>
          <w:rFonts w:cs="Times New Roman"/>
          <w:szCs w:val="22"/>
        </w:rPr>
        <w:lastRenderedPageBreak/>
        <w:t>situation should prevent the affected party from fulfilling its obligations under the relevant legislation.</w:t>
      </w:r>
    </w:p>
    <w:p w14:paraId="66C448F5" w14:textId="77777777" w:rsidR="004C0A79" w:rsidRPr="00731F8E" w:rsidRDefault="004C0A79" w:rsidP="004C0A79">
      <w:pPr>
        <w:pStyle w:val="GvdeMetni"/>
        <w:spacing w:before="39"/>
        <w:rPr>
          <w:rFonts w:cs="Times New Roman"/>
          <w:szCs w:val="22"/>
        </w:rPr>
      </w:pPr>
    </w:p>
    <w:p w14:paraId="132FC7E8"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the event of force majeure, the obligations of the certificate holder arising from the relevant legislation may be postponed as a result of the evaluation of the Authority/distribution company to the extent that they are affected until the effects of force majeure are eliminated. In cases where it is understood that the said obligations cannot be fulfilled, the Authority/distribution company may also decide to remove the obligation of the legal entity. In order for the decision to postpone or remove the obligations to be made, the legal entity holding the certificate must notify the Authority/distribution company in writing within fifteen days from the date of commencement of the force majeure, its nature, its effects on its obligations and, if possible, the estimated period of elimination of the effects.</w:t>
      </w:r>
    </w:p>
    <w:p w14:paraId="2B14CE26" w14:textId="77777777" w:rsidR="004C0A79" w:rsidRPr="00731F8E" w:rsidRDefault="004C0A79" w:rsidP="004C0A79">
      <w:pPr>
        <w:pStyle w:val="GvdeMetni"/>
        <w:spacing w:before="41"/>
        <w:rPr>
          <w:rFonts w:cs="Times New Roman"/>
          <w:szCs w:val="22"/>
        </w:rPr>
      </w:pPr>
    </w:p>
    <w:p w14:paraId="58354A7D"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In cases of force majeure and/or in cases determined by the Authority, certificate applicants and existing certificate holders may also submit photocopies of the documents they are obliged to submit to the Authority/distribution company within the scope of the provisions of this Regulation. However, if requested by the Authority or the distribution company during the period until the current certificates expire, they are obliged to submit the original or certified copies of the document, the photocopy of which they submitted, within 60 days from the date requested by the Authority or the distribution company.”</w:t>
      </w:r>
    </w:p>
    <w:p w14:paraId="0F779094" w14:textId="77777777" w:rsidR="004C0A79" w:rsidRPr="00731F8E" w:rsidRDefault="004C0A79" w:rsidP="004C0A79">
      <w:pPr>
        <w:pStyle w:val="GvdeMetni"/>
        <w:spacing w:before="39"/>
        <w:rPr>
          <w:rFonts w:cs="Times New Roman"/>
          <w:szCs w:val="22"/>
        </w:rPr>
      </w:pPr>
    </w:p>
    <w:p w14:paraId="78F23835"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The following provisional article has been added.</w:t>
      </w:r>
    </w:p>
    <w:p w14:paraId="7F633D2A" w14:textId="77777777" w:rsidR="004C0A79" w:rsidRPr="00731F8E" w:rsidRDefault="004C0A79" w:rsidP="004C0A79">
      <w:pPr>
        <w:pStyle w:val="GvdeMetni"/>
        <w:spacing w:before="62"/>
        <w:rPr>
          <w:rFonts w:cs="Times New Roman"/>
          <w:i/>
          <w:szCs w:val="22"/>
        </w:rPr>
      </w:pPr>
    </w:p>
    <w:p w14:paraId="1D2E7476" w14:textId="77777777" w:rsidR="004C0A79" w:rsidRPr="00731F8E" w:rsidRDefault="004C0A79" w:rsidP="004C0A79">
      <w:pPr>
        <w:pStyle w:val="GvdeMetni"/>
        <w:ind w:left="1556"/>
        <w:rPr>
          <w:rFonts w:cs="Times New Roman"/>
          <w:szCs w:val="22"/>
        </w:rPr>
      </w:pPr>
      <w:r w:rsidRPr="00731F8E">
        <w:rPr>
          <w:rFonts w:cs="Times New Roman"/>
          <w:szCs w:val="22"/>
        </w:rPr>
        <w:t>“Modification periods of certificates</w:t>
      </w:r>
    </w:p>
    <w:p w14:paraId="1A36A49E" w14:textId="77777777" w:rsidR="004C0A79" w:rsidRPr="00731F8E" w:rsidRDefault="004C0A79" w:rsidP="004C0A79">
      <w:pPr>
        <w:pStyle w:val="GvdeMetni"/>
        <w:spacing w:before="80"/>
        <w:rPr>
          <w:rFonts w:cs="Times New Roman"/>
          <w:szCs w:val="22"/>
        </w:rPr>
      </w:pPr>
    </w:p>
    <w:p w14:paraId="3D55FB65" w14:textId="77777777" w:rsidR="004C0A79" w:rsidRPr="00731F8E" w:rsidRDefault="004C0A79" w:rsidP="004C0A79">
      <w:pPr>
        <w:pStyle w:val="GvdeMetni"/>
        <w:spacing w:line="276" w:lineRule="auto"/>
        <w:ind w:left="1556" w:right="131"/>
        <w:rPr>
          <w:rFonts w:cs="Times New Roman"/>
          <w:szCs w:val="22"/>
        </w:rPr>
      </w:pPr>
      <w:r w:rsidRPr="00731F8E">
        <w:rPr>
          <w:rFonts w:cs="Times New Roman"/>
          <w:szCs w:val="22"/>
        </w:rPr>
        <w:t>Provisional Article 13- Since the application will be made in the form of issuing the internal installation and service lines certificate as a single subject of activity without separating the project and construction, maintenance and repair activities as of the date of entry into force of this article, the certificate holders who are separately authorized in the internal installation project and internal installation construction, maintenance and repair activities within three months from the date of entry into force of this article are obliged to apply to the distribution company with the necessary information/documents to ensure that their existing certificates are amended without charge. Existing certificate holders who have not applied for amendment until the end of the said three-month period or whose certificate has not been amended by the relevant distribution company as a result of the examination to be made within the framework of the provisions of this Regulation, even if they have made an application, cannot carry out interior installation project, construction, maintenance, repair activities. The distribution company notifies all certified companies in its region in writing of the application period and the information/documents to be requested and announces this information on its website."</w:t>
      </w:r>
    </w:p>
    <w:p w14:paraId="269A1BCC" w14:textId="77777777" w:rsidR="004C0A79" w:rsidRPr="00731F8E" w:rsidRDefault="004C0A79" w:rsidP="004C0A79">
      <w:pPr>
        <w:pStyle w:val="GvdeMetni"/>
        <w:spacing w:before="41"/>
        <w:rPr>
          <w:rFonts w:cs="Times New Roman"/>
          <w:szCs w:val="22"/>
        </w:rPr>
      </w:pPr>
    </w:p>
    <w:p w14:paraId="01292D3E"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7"/>
        <w:contextualSpacing w:val="0"/>
        <w:jc w:val="left"/>
        <w:rPr>
          <w:rFonts w:ascii="Times New Roman" w:hAnsi="Times New Roman"/>
        </w:rPr>
      </w:pPr>
      <w:r w:rsidRPr="00731F8E">
        <w:rPr>
          <w:rFonts w:ascii="Times New Roman" w:hAnsi="Times New Roman"/>
        </w:rPr>
        <w:t>ANNEX-1, ANNEX-3, ANNEX-4, ANNEX-5, ANNEX-6, ANNEX-7 and ANNEX-9 in the annex of the Regulation have been amended as attached.</w:t>
      </w:r>
    </w:p>
    <w:p w14:paraId="23B9459E" w14:textId="77777777" w:rsidR="004C0A79" w:rsidRPr="00731F8E" w:rsidRDefault="004C0A79" w:rsidP="004C0A79">
      <w:pPr>
        <w:pStyle w:val="GvdeMetni"/>
        <w:spacing w:before="39"/>
        <w:rPr>
          <w:rFonts w:cs="Times New Roman"/>
          <w:i/>
          <w:szCs w:val="22"/>
        </w:rPr>
      </w:pPr>
    </w:p>
    <w:p w14:paraId="15B08AAE"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26 has been rearranged as follows.</w:t>
      </w:r>
    </w:p>
    <w:p w14:paraId="30C4F0BE" w14:textId="77777777" w:rsidR="004C0A79" w:rsidRPr="00731F8E" w:rsidRDefault="004C0A79" w:rsidP="004C0A79">
      <w:pPr>
        <w:pStyle w:val="GvdeMetni"/>
        <w:spacing w:before="60"/>
        <w:rPr>
          <w:rFonts w:cs="Times New Roman"/>
          <w:i/>
          <w:szCs w:val="22"/>
        </w:rPr>
      </w:pPr>
    </w:p>
    <w:p w14:paraId="0E547BB6" w14:textId="77777777" w:rsidR="004C0A79" w:rsidRPr="00731F8E" w:rsidRDefault="004C0A79" w:rsidP="004C0A79">
      <w:pPr>
        <w:pStyle w:val="GvdeMetni"/>
        <w:spacing w:line="276" w:lineRule="auto"/>
        <w:ind w:left="1555" w:right="136"/>
        <w:rPr>
          <w:rFonts w:cs="Times New Roman"/>
          <w:szCs w:val="22"/>
        </w:rPr>
      </w:pPr>
      <w:r w:rsidRPr="00731F8E">
        <w:rPr>
          <w:rFonts w:cs="Times New Roman"/>
          <w:szCs w:val="22"/>
        </w:rPr>
        <w:t>"Article 26- The provisions of this Regulation shall be executed by the President of the Energy Market Regulatory Authority.</w:t>
      </w:r>
    </w:p>
    <w:p w14:paraId="5A1AA64E" w14:textId="77777777" w:rsidR="004C0A79" w:rsidRPr="00731F8E" w:rsidRDefault="004C0A79" w:rsidP="004C0A79">
      <w:pPr>
        <w:pStyle w:val="GvdeMetni"/>
        <w:spacing w:line="276" w:lineRule="auto"/>
        <w:ind w:left="1555" w:right="136"/>
        <w:rPr>
          <w:rFonts w:cs="Times New Roman"/>
          <w:szCs w:val="22"/>
        </w:rPr>
      </w:pPr>
    </w:p>
    <w:p w14:paraId="4B6AF4D6" w14:textId="77777777" w:rsidR="004C0A79" w:rsidRPr="00731F8E" w:rsidRDefault="004C0A79" w:rsidP="004C0A79">
      <w:pPr>
        <w:tabs>
          <w:tab w:val="left" w:pos="1555"/>
        </w:tabs>
        <w:spacing w:line="256" w:lineRule="auto"/>
        <w:ind w:left="851" w:right="134"/>
        <w:rPr>
          <w:rFonts w:ascii="Times New Roman" w:hAnsi="Times New Roman"/>
        </w:rPr>
      </w:pPr>
      <w:r w:rsidRPr="00731F8E">
        <w:rPr>
          <w:rFonts w:ascii="Times New Roman" w:hAnsi="Times New Roman"/>
          <w:i/>
        </w:rPr>
        <w:t>•    With the Amendment Regulation published in the Official Gazette dated 14.05.2022 and numbered 31835, clauses (25), (26), (27) and (28) of the first paragraph of Article 4 of the Natural Gas Market Distribution and Customer Services Regulation have been amended as follows and added to the same paragraph.</w:t>
      </w:r>
    </w:p>
    <w:p w14:paraId="613F8683" w14:textId="77777777" w:rsidR="004C0A79" w:rsidRPr="00731F8E" w:rsidRDefault="004C0A79" w:rsidP="004C0A79">
      <w:pPr>
        <w:pStyle w:val="GvdeMetni"/>
        <w:spacing w:before="44"/>
        <w:rPr>
          <w:rFonts w:cs="Times New Roman"/>
          <w:i/>
          <w:szCs w:val="22"/>
        </w:rPr>
      </w:pPr>
    </w:p>
    <w:p w14:paraId="5D184873"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“25) Automatic volume corrector (Volume conversion device): Measuring device that shows the volume of natural gas measured from the meter by correcting it according to the pressure, temperature and properties of natural gas under standard conditions,</w:t>
      </w:r>
    </w:p>
    <w:p w14:paraId="07A03D18" w14:textId="77777777" w:rsidR="004C0A79" w:rsidRPr="00731F8E" w:rsidRDefault="004C0A79" w:rsidP="004C0A79">
      <w:pPr>
        <w:pStyle w:val="GvdeMetni"/>
        <w:spacing w:before="41"/>
        <w:rPr>
          <w:rFonts w:cs="Times New Roman"/>
          <w:szCs w:val="22"/>
        </w:rPr>
      </w:pPr>
    </w:p>
    <w:p w14:paraId="295488FA" w14:textId="77777777" w:rsidR="004C0A79" w:rsidRPr="00731F8E" w:rsidRDefault="004C0A79" w:rsidP="00A86526">
      <w:pPr>
        <w:pStyle w:val="P68B1DB1-ListParagraph2"/>
        <w:numPr>
          <w:ilvl w:val="0"/>
          <w:numId w:val="50"/>
        </w:numPr>
        <w:tabs>
          <w:tab w:val="left" w:pos="1898"/>
        </w:tabs>
        <w:spacing w:line="276" w:lineRule="auto"/>
        <w:ind w:right="133" w:firstLine="0"/>
        <w:rPr>
          <w:rFonts w:ascii="Times New Roman" w:hAnsi="Times New Roman" w:cs="Times New Roman"/>
          <w:szCs w:val="22"/>
        </w:rPr>
      </w:pPr>
      <w:r w:rsidRPr="00731F8E">
        <w:rPr>
          <w:rFonts w:ascii="Times New Roman" w:hAnsi="Times New Roman" w:cs="Times New Roman"/>
          <w:szCs w:val="22"/>
        </w:rPr>
        <w:t xml:space="preserve">Measuring Instruments Legislation: The Law on Measurements and Adjustment dated </w:t>
      </w:r>
      <w:r w:rsidRPr="00731F8E">
        <w:rPr>
          <w:rFonts w:ascii="Times New Roman" w:hAnsi="Times New Roman" w:cs="Times New Roman"/>
          <w:szCs w:val="22"/>
        </w:rPr>
        <w:lastRenderedPageBreak/>
        <w:t>11/1/1989 and numbered 3516 and the Law on Product Safety and Technical Regulations dated 5/3/2020 and numbered 7223 and the regulations issued based on these Laws,</w:t>
      </w:r>
    </w:p>
    <w:p w14:paraId="2B17AEB2" w14:textId="77777777" w:rsidR="004C0A79" w:rsidRPr="00731F8E" w:rsidRDefault="004C0A79" w:rsidP="004C0A79">
      <w:pPr>
        <w:pStyle w:val="GvdeMetni"/>
        <w:spacing w:before="38"/>
        <w:rPr>
          <w:rFonts w:cs="Times New Roman"/>
          <w:szCs w:val="22"/>
        </w:rPr>
      </w:pPr>
    </w:p>
    <w:p w14:paraId="4695AE44" w14:textId="77777777" w:rsidR="004C0A79" w:rsidRPr="00731F8E" w:rsidRDefault="004C0A79" w:rsidP="00A86526">
      <w:pPr>
        <w:pStyle w:val="P68B1DB1-ListParagraph2"/>
        <w:numPr>
          <w:ilvl w:val="0"/>
          <w:numId w:val="50"/>
        </w:numPr>
        <w:tabs>
          <w:tab w:val="left" w:pos="1951"/>
        </w:tabs>
        <w:spacing w:before="37" w:line="276" w:lineRule="auto"/>
        <w:ind w:right="136" w:firstLine="0"/>
        <w:rPr>
          <w:rFonts w:ascii="Times New Roman" w:hAnsi="Times New Roman" w:cs="Times New Roman"/>
          <w:szCs w:val="22"/>
        </w:rPr>
      </w:pPr>
      <w:r w:rsidRPr="00731F8E">
        <w:rPr>
          <w:rFonts w:ascii="Times New Roman" w:hAnsi="Times New Roman" w:cs="Times New Roman"/>
          <w:szCs w:val="22"/>
        </w:rPr>
        <w:t>27) Prepaid meter: The meter that allows the use of natural gas in the amount or amounts that the customer has previously paid, that is placed on the market in accordance with the Measuring Instruments Legislation and that adapts to the system of the distribution company, or the mechanical meter that is converted through a prepaid meter conversion kit,</w:t>
      </w:r>
    </w:p>
    <w:p w14:paraId="774B4B1B" w14:textId="77777777" w:rsidR="004C0A79" w:rsidRPr="00731F8E" w:rsidRDefault="004C0A79" w:rsidP="004C0A79">
      <w:pPr>
        <w:pStyle w:val="GvdeMetni"/>
        <w:spacing w:before="39"/>
        <w:rPr>
          <w:rFonts w:cs="Times New Roman"/>
          <w:szCs w:val="22"/>
        </w:rPr>
      </w:pPr>
    </w:p>
    <w:p w14:paraId="1E8D33EF" w14:textId="77777777" w:rsidR="004C0A79" w:rsidRPr="00731F8E" w:rsidRDefault="004C0A79" w:rsidP="00A86526">
      <w:pPr>
        <w:pStyle w:val="P68B1DB1-ListParagraph2"/>
        <w:numPr>
          <w:ilvl w:val="0"/>
          <w:numId w:val="50"/>
        </w:numPr>
        <w:tabs>
          <w:tab w:val="left" w:pos="1942"/>
        </w:tabs>
        <w:spacing w:before="1" w:line="276" w:lineRule="auto"/>
        <w:ind w:left="1556" w:right="131" w:firstLine="0"/>
        <w:rPr>
          <w:rFonts w:ascii="Times New Roman" w:hAnsi="Times New Roman" w:cs="Times New Roman"/>
          <w:szCs w:val="22"/>
        </w:rPr>
      </w:pPr>
      <w:r w:rsidRPr="00731F8E">
        <w:rPr>
          <w:rFonts w:ascii="Times New Roman" w:hAnsi="Times New Roman" w:cs="Times New Roman"/>
          <w:szCs w:val="22"/>
        </w:rPr>
        <w:t>Meter: The meter that is placed on the market in accordance with the Measurement Instruments Legislation that measures the natural gas consumption of the customers and adapts to the system of the distribution company, "</w:t>
      </w:r>
    </w:p>
    <w:p w14:paraId="2A0E2BAC" w14:textId="77777777" w:rsidR="004C0A79" w:rsidRPr="00731F8E" w:rsidRDefault="004C0A79" w:rsidP="004C0A79">
      <w:pPr>
        <w:pStyle w:val="GvdeMetni"/>
        <w:spacing w:before="42"/>
        <w:rPr>
          <w:rFonts w:cs="Times New Roman"/>
          <w:szCs w:val="22"/>
        </w:rPr>
      </w:pPr>
    </w:p>
    <w:p w14:paraId="7CAE22C6" w14:textId="77777777" w:rsidR="004C0A79" w:rsidRPr="00731F8E" w:rsidRDefault="004C0A79" w:rsidP="004C0A79">
      <w:pPr>
        <w:pStyle w:val="GvdeMetni"/>
        <w:spacing w:line="273" w:lineRule="auto"/>
        <w:ind w:left="1556" w:right="133"/>
        <w:rPr>
          <w:rFonts w:cs="Times New Roman"/>
          <w:szCs w:val="22"/>
        </w:rPr>
      </w:pPr>
      <w:r w:rsidRPr="00731F8E">
        <w:rPr>
          <w:rFonts w:cs="Times New Roman"/>
          <w:szCs w:val="22"/>
        </w:rPr>
        <w:t>“45) Preliminary project: The project submitted and approved to the relevant distribution company for buildings that have received a construction license to be built with a natural gas fuel system,</w:t>
      </w:r>
    </w:p>
    <w:p w14:paraId="3F78F619" w14:textId="77777777" w:rsidR="004C0A79" w:rsidRPr="00731F8E" w:rsidRDefault="004C0A79" w:rsidP="00A86526">
      <w:pPr>
        <w:pStyle w:val="P68B1DB1-ListParagraph2"/>
        <w:numPr>
          <w:ilvl w:val="0"/>
          <w:numId w:val="49"/>
        </w:numPr>
        <w:tabs>
          <w:tab w:val="left" w:pos="1882"/>
        </w:tabs>
        <w:spacing w:before="4" w:line="276" w:lineRule="auto"/>
        <w:ind w:right="133" w:firstLine="0"/>
        <w:rPr>
          <w:rFonts w:ascii="Times New Roman" w:hAnsi="Times New Roman" w:cs="Times New Roman"/>
          <w:szCs w:val="22"/>
        </w:rPr>
      </w:pPr>
      <w:r w:rsidRPr="00731F8E">
        <w:rPr>
          <w:rFonts w:ascii="Times New Roman" w:hAnsi="Times New Roman" w:cs="Times New Roman"/>
          <w:szCs w:val="22"/>
        </w:rPr>
        <w:t>Distance contract: The contract established by using remote communication tools within the scope of the Law on Consumer Protection dated 7/11/2013 and numbered 6502 and the legislation issued in accordance with the aforementioned Law,</w:t>
      </w:r>
    </w:p>
    <w:p w14:paraId="1E85F3C7" w14:textId="77777777" w:rsidR="004C0A79" w:rsidRPr="00731F8E" w:rsidRDefault="004C0A79" w:rsidP="004C0A79">
      <w:pPr>
        <w:pStyle w:val="GvdeMetni"/>
        <w:spacing w:before="41"/>
        <w:rPr>
          <w:rFonts w:cs="Times New Roman"/>
          <w:szCs w:val="22"/>
        </w:rPr>
      </w:pPr>
    </w:p>
    <w:p w14:paraId="13E5D2D7" w14:textId="77777777" w:rsidR="004C0A79" w:rsidRPr="00731F8E" w:rsidRDefault="004C0A79" w:rsidP="00A86526">
      <w:pPr>
        <w:pStyle w:val="P68B1DB1-ListParagraph2"/>
        <w:numPr>
          <w:ilvl w:val="0"/>
          <w:numId w:val="49"/>
        </w:numPr>
        <w:tabs>
          <w:tab w:val="left" w:pos="1906"/>
        </w:tabs>
        <w:spacing w:line="273" w:lineRule="auto"/>
        <w:ind w:right="133" w:firstLine="0"/>
        <w:rPr>
          <w:rFonts w:ascii="Times New Roman" w:hAnsi="Times New Roman" w:cs="Times New Roman"/>
          <w:szCs w:val="22"/>
        </w:rPr>
      </w:pPr>
      <w:r w:rsidRPr="00731F8E">
        <w:rPr>
          <w:rFonts w:ascii="Times New Roman" w:hAnsi="Times New Roman" w:cs="Times New Roman"/>
          <w:szCs w:val="22"/>
        </w:rPr>
        <w:t>Prepaid meter conversion kit: The device mounted externally to convert the mechanical meter into a prepaid meter, ”</w:t>
      </w:r>
    </w:p>
    <w:p w14:paraId="72D648C3" w14:textId="77777777" w:rsidR="004C0A79" w:rsidRPr="00731F8E" w:rsidRDefault="004C0A79" w:rsidP="004C0A79">
      <w:pPr>
        <w:pStyle w:val="GvdeMetni"/>
        <w:spacing w:before="45"/>
        <w:rPr>
          <w:rFonts w:cs="Times New Roman"/>
          <w:szCs w:val="22"/>
        </w:rPr>
      </w:pPr>
    </w:p>
    <w:p w14:paraId="21B245B2"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Article 29 has been amended as follows.</w:t>
      </w:r>
    </w:p>
    <w:p w14:paraId="4F288405" w14:textId="77777777" w:rsidR="004C0A79" w:rsidRPr="00731F8E" w:rsidRDefault="004C0A79" w:rsidP="004C0A79">
      <w:pPr>
        <w:pStyle w:val="GvdeMetni"/>
        <w:spacing w:before="60"/>
        <w:rPr>
          <w:rFonts w:cs="Times New Roman"/>
          <w:i/>
          <w:szCs w:val="22"/>
        </w:rPr>
      </w:pPr>
    </w:p>
    <w:p w14:paraId="605DA328"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"Article 29- Distribution companies are obliged to submit the annual balance sheet and income statement prepared in accordance with the relevant legislation during the investment activities and other additional financial statements deemed necessary to the Authority within the scope of the provisions of the Energy Market Notification Regulation published in the Official Gazette dated 27/5/2014 and numbered 29012."</w:t>
      </w:r>
    </w:p>
    <w:p w14:paraId="03493297" w14:textId="77777777" w:rsidR="004C0A79" w:rsidRPr="00731F8E" w:rsidRDefault="004C0A79" w:rsidP="004C0A79">
      <w:pPr>
        <w:pStyle w:val="GvdeMetni"/>
        <w:spacing w:before="41"/>
        <w:rPr>
          <w:rFonts w:cs="Times New Roman"/>
          <w:szCs w:val="22"/>
        </w:rPr>
      </w:pPr>
    </w:p>
    <w:p w14:paraId="2A268467"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36 is amended as follows.</w:t>
      </w:r>
    </w:p>
    <w:p w14:paraId="22B22A14" w14:textId="77777777" w:rsidR="004C0A79" w:rsidRPr="00731F8E" w:rsidRDefault="004C0A79" w:rsidP="004C0A79">
      <w:pPr>
        <w:pStyle w:val="GvdeMetni"/>
        <w:spacing w:before="61"/>
        <w:rPr>
          <w:rFonts w:cs="Times New Roman"/>
          <w:i/>
          <w:szCs w:val="22"/>
        </w:rPr>
      </w:pPr>
    </w:p>
    <w:p w14:paraId="280516C3"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"Article 36- The distribution company is obliged to connect the consumers in its area of responsibility to the distribution network if they request. However, the obligation to make a connection depends on the fact that the system under the disposal of the distribution company has the capacity to make a connection and that the connection is technically and economically possible, as well as the requestor performs the transactions stipulated in the relevant and other legislation. It is possible for the distribution company to make connections outside its area of responsibility with the permission of the Authority.</w:t>
      </w:r>
    </w:p>
    <w:p w14:paraId="6646F3FB"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Connection requests to be made to the distribution company are made by the independent section owner, the owner of the building or facility or their authorized representatives. The distribution company shall evaluate the connection request within fifteen days at the latest and if it deems the request appropriate, it shall take the necessary actions to realize the connection, and if it does not deem it appropriate, it shall notify the requestor in writing of its reasons. The requestor who applies for the connection is responsible for the valid and accurate delivery of the documents arising from other legislation in accordance with the legislation. In the connection agreement, it is stated that the responsibility belongs to the claimant. A connection agreement is signed or a distance contract is made with the requestor whose request is deemed appropriate.</w:t>
      </w:r>
    </w:p>
    <w:p w14:paraId="4B0AC66A"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Matters related to the transfer of ownership of the connection line, service line and meter to the distribution company are included in the connection agreements to be made between the requestor and the distribution company. In buildings with more than one independent section, the connection agreements to be made for connection requests coming from the relevant address after the first connection agreement may not include issues regarding the connection established within the scope of the first connection agreement, except for the connection fee and the issues regarding the transfer of the meter.</w:t>
      </w:r>
    </w:p>
    <w:p w14:paraId="776AAF5D" w14:textId="77777777" w:rsidR="004C0A79" w:rsidRPr="00731F8E" w:rsidRDefault="004C0A79" w:rsidP="004C0A79">
      <w:pPr>
        <w:pStyle w:val="GvdeMetni"/>
        <w:spacing w:before="37" w:line="276" w:lineRule="auto"/>
        <w:ind w:left="1556" w:right="134"/>
        <w:rPr>
          <w:rFonts w:cs="Times New Roman"/>
          <w:szCs w:val="22"/>
        </w:rPr>
      </w:pPr>
      <w:r w:rsidRPr="00731F8E">
        <w:rPr>
          <w:rFonts w:cs="Times New Roman"/>
          <w:szCs w:val="22"/>
        </w:rPr>
        <w:t xml:space="preserve">The connection fee of each independent section is collected from the applicant during the connection agreement </w:t>
      </w:r>
      <w:r w:rsidRPr="00731F8E">
        <w:rPr>
          <w:rFonts w:cs="Times New Roman"/>
          <w:szCs w:val="22"/>
        </w:rPr>
        <w:lastRenderedPageBreak/>
        <w:t>application of the section, and from the building management on behalf of each independent section during the central heating system connection agreement application.</w:t>
      </w:r>
    </w:p>
    <w:p w14:paraId="52D68157"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During the making of the connection agreements, all applicants are informed by the distribution company that the parties may apply for a private legal remedy in case of delay, incomplete or not at all in the contracts they will make with the certified companies they will agree on for the construction of the internal installation.</w:t>
      </w:r>
    </w:p>
    <w:p w14:paraId="0A2CB881" w14:textId="77777777" w:rsidR="004C0A79" w:rsidRPr="00731F8E" w:rsidRDefault="004C0A79" w:rsidP="004C0A79">
      <w:pPr>
        <w:pStyle w:val="GvdeMetni"/>
        <w:spacing w:line="276" w:lineRule="auto"/>
        <w:ind w:left="1556" w:right="130"/>
        <w:rPr>
          <w:rFonts w:cs="Times New Roman"/>
          <w:szCs w:val="22"/>
        </w:rPr>
      </w:pPr>
      <w:r w:rsidRPr="00731F8E">
        <w:rPr>
          <w:rFonts w:cs="Times New Roman"/>
          <w:szCs w:val="22"/>
        </w:rPr>
        <w:t>The subscriber connection fee is collected once during the conclusion of the connection agreement and this fee cannot be refunded after the production of the service line is started. If the construction of the service line has not been started, the subscriber connection fee shall be refunded within 5 (five) working days upon the application of the requestor. If a connection fee has already been charged for the same address, this fee cannot be charged again. Permission applications to be made to the relevant institutions and organizations regarding the construction of the service line shall be completed within 5 (five) business days at the latest from the collection of the subscriber connection fee. In cases where the relevant authorities accept the application on certain dates, the distribution company shall not be held responsible for the delay. The service line is completed within 30 (thirty) days at the latest from the collection of the subscriber connection fee, but this period can be extended up to ninety days, provided that the requestor accepts. If the service line cannot be completed within 90 (ninety) days due to the failure to obtain the necessary permissions, the subscriber connection fee shall be refunded within 5 (five) business days from the end of the period. If the applicant submits a written application stating that he/she does not want the subscriber connection fee to be refunded, no refund shall be made until he/she requests it. In the refund of the connection fee, the update method applied in the refund of the security deposit is valid. If there is less than 30 (thirty) days until the end of the period on the date of granting the excavation permits by the relevant authorities, the service line is completed within 30 (thirty) days by informing the consumer.</w:t>
      </w:r>
    </w:p>
    <w:p w14:paraId="70AEF4CB"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At least 3 (three) equal installments are made to the subscriber connection fee credit card for customers who request that the subscriber connection fee be in installments. The provisions of the relevant legislation in force regarding credit cards shall apply to the payments within the scope of this paragraph and the financing costs incurred shall not be taken into account within the scope of the tariff.</w:t>
      </w:r>
    </w:p>
    <w:p w14:paraId="02F1F7FA" w14:textId="77777777" w:rsidR="004C0A79" w:rsidRPr="00731F8E" w:rsidRDefault="004C0A79" w:rsidP="004C0A79">
      <w:pPr>
        <w:pStyle w:val="GvdeMetni"/>
        <w:spacing w:line="273" w:lineRule="auto"/>
        <w:ind w:left="1556" w:right="136"/>
        <w:rPr>
          <w:rFonts w:cs="Times New Roman"/>
          <w:szCs w:val="22"/>
        </w:rPr>
      </w:pPr>
      <w:r w:rsidRPr="00731F8E">
        <w:rPr>
          <w:rFonts w:cs="Times New Roman"/>
          <w:szCs w:val="22"/>
        </w:rPr>
        <w:t>Costs that may arise as a result of changes in the structure or facility shall be borne by the real or legal entity who owns the property according to the relevant legislation.</w:t>
      </w:r>
    </w:p>
    <w:p w14:paraId="17C2D869" w14:textId="77777777" w:rsidR="004C0A79" w:rsidRPr="00731F8E" w:rsidRDefault="004C0A79" w:rsidP="004C0A79">
      <w:pPr>
        <w:pStyle w:val="GvdeMetni"/>
        <w:spacing w:before="4" w:line="276" w:lineRule="auto"/>
        <w:ind w:left="1556" w:right="133"/>
        <w:rPr>
          <w:rFonts w:cs="Times New Roman"/>
          <w:szCs w:val="22"/>
        </w:rPr>
      </w:pPr>
      <w:r w:rsidRPr="00731F8E">
        <w:rPr>
          <w:rFonts w:cs="Times New Roman"/>
          <w:szCs w:val="22"/>
        </w:rPr>
        <w:t>It is possible to use the connection fee calculation method of subscribers in the calculation of the connection fee of eligible consumers only if they are located in the same building and it is mandatory to provide the entire building connection with a single connection line or service line.</w:t>
      </w:r>
    </w:p>
    <w:p w14:paraId="28F4FC88" w14:textId="77777777" w:rsidR="004C0A79" w:rsidRPr="00731F8E" w:rsidRDefault="004C0A79" w:rsidP="004C0A79">
      <w:pPr>
        <w:pStyle w:val="GvdeMetni"/>
        <w:spacing w:line="276" w:lineRule="auto"/>
        <w:ind w:left="1556" w:right="135"/>
        <w:rPr>
          <w:rFonts w:cs="Times New Roman"/>
          <w:szCs w:val="22"/>
        </w:rPr>
      </w:pPr>
      <w:r w:rsidRPr="00731F8E">
        <w:rPr>
          <w:rFonts w:cs="Times New Roman"/>
          <w:szCs w:val="22"/>
        </w:rPr>
        <w:t>In the event that eligible consumers and subscribers are together in the same campus, the connection costs of eligible consumers and subscribers are calculated in accordance with their own procedures specified in the relevant legislation in cases where the building line entrances of consumers are separated from the in-house lines in the same campus with the consumers whose connection to the network must be made separately.</w:t>
      </w:r>
    </w:p>
    <w:p w14:paraId="5988A35A"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The requestor whose connection request is rejected may apply to the Authority in writing within sixty days from the date of receipt of the decision of the distribution company to determine whether the connection is technically and economically possible. Technical and economic evaluation regarding the connection request can only be made on the street or streets reached by the distribution network.</w:t>
      </w:r>
    </w:p>
    <w:p w14:paraId="69EFAB81" w14:textId="77777777" w:rsidR="004C0A79" w:rsidRPr="00731F8E" w:rsidRDefault="004C0A79" w:rsidP="004C0A79">
      <w:pPr>
        <w:pStyle w:val="GvdeMetni"/>
        <w:spacing w:before="37" w:line="276" w:lineRule="auto"/>
        <w:ind w:left="1555" w:right="133"/>
        <w:rPr>
          <w:rFonts w:cs="Times New Roman"/>
          <w:szCs w:val="22"/>
        </w:rPr>
      </w:pPr>
      <w:r w:rsidRPr="00731F8E">
        <w:rPr>
          <w:rFonts w:cs="Times New Roman"/>
          <w:szCs w:val="22"/>
        </w:rPr>
        <w:t>After the Board receives the distribution company's defense on the subject, if it is determined that the principles specified in this article are violated, the company must comply with the Board's decision on the subject. If the Board decides that the connection request is not technical and economical, the connection shall be established provided that the requestor bears the costs.</w:t>
      </w:r>
    </w:p>
    <w:p w14:paraId="2A935EB6" w14:textId="77777777" w:rsidR="004C0A79" w:rsidRPr="00731F8E" w:rsidRDefault="004C0A79" w:rsidP="004C0A79">
      <w:pPr>
        <w:pStyle w:val="GvdeMetni"/>
        <w:spacing w:before="2" w:line="276" w:lineRule="auto"/>
        <w:ind w:left="1555" w:right="134"/>
        <w:rPr>
          <w:rFonts w:cs="Times New Roman"/>
          <w:szCs w:val="22"/>
        </w:rPr>
      </w:pPr>
      <w:r w:rsidRPr="00731F8E">
        <w:rPr>
          <w:rFonts w:cs="Times New Roman"/>
          <w:szCs w:val="22"/>
        </w:rPr>
        <w:t>The connection line of the eligible consumers shall be made to the distribution company or certificate holders, at their own expense, to be connected to the network from the place deemed appropriate by the distribution company, depending on the choice of the eligible consumer, within the framework of the following principles:</w:t>
      </w:r>
    </w:p>
    <w:p w14:paraId="72A546B4" w14:textId="77777777" w:rsidR="004C0A79" w:rsidRPr="00C1292D" w:rsidRDefault="004C0A79" w:rsidP="00A86526">
      <w:pPr>
        <w:pStyle w:val="P68B1DB1-ListParagraph2"/>
        <w:numPr>
          <w:ilvl w:val="0"/>
          <w:numId w:val="48"/>
        </w:numPr>
        <w:tabs>
          <w:tab w:val="left" w:pos="1772"/>
        </w:tabs>
        <w:spacing w:line="276" w:lineRule="auto"/>
        <w:ind w:right="133" w:firstLine="0"/>
        <w:rPr>
          <w:rFonts w:ascii="Times New Roman" w:hAnsi="Times New Roman" w:cs="Times New Roman"/>
          <w:b w:val="0"/>
          <w:szCs w:val="22"/>
        </w:rPr>
      </w:pPr>
      <w:r w:rsidRPr="00C1292D">
        <w:rPr>
          <w:rFonts w:ascii="Times New Roman" w:hAnsi="Times New Roman" w:cs="Times New Roman"/>
          <w:b w:val="0"/>
          <w:szCs w:val="22"/>
        </w:rPr>
        <w:t>The ownership of the connection line, which is made by the eligible consumers to the distribution company or certificate holders, is transferred to the distribution company free of charge within the scope of the connection agreement and is accepted as the distribution network. The rights and obligations of the eligible consumer set out in this paragraph are included in the connection agreement.</w:t>
      </w:r>
    </w:p>
    <w:p w14:paraId="49965862" w14:textId="77777777" w:rsidR="004C0A79" w:rsidRPr="00C1292D" w:rsidRDefault="004C0A79" w:rsidP="00A86526">
      <w:pPr>
        <w:pStyle w:val="P68B1DB1-ListParagraph2"/>
        <w:numPr>
          <w:ilvl w:val="0"/>
          <w:numId w:val="48"/>
        </w:numPr>
        <w:tabs>
          <w:tab w:val="left" w:pos="1796"/>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 xml:space="preserve">Eligible consumers notify the distribution company in writing of their consumption needs, including future consumption forecasts, in connection line requests, and the consumption needs reported by eligible consumers are taken as a basis in all works related to the connection line. If the connection line is desired to be built by the certificate holder companies, the distribution </w:t>
      </w:r>
      <w:r w:rsidRPr="00C1292D">
        <w:rPr>
          <w:rFonts w:ascii="Times New Roman" w:hAnsi="Times New Roman" w:cs="Times New Roman"/>
          <w:b w:val="0"/>
          <w:szCs w:val="22"/>
        </w:rPr>
        <w:lastRenderedPageBreak/>
        <w:t>company is authorized to determine the connection point, line route, pipe diameter and length, related equipment and other qualifications for line production. The distribution companies shall not engage in anti-competitive behavior and the necessary information shall be provided by the distribution company to the relevant eligible consumer that the connection line can also be made by the certificate holders during the application. In the event that the eligible consumer wishes to have the connection line made by the certificate holder; the connection line price determined by the certificate holder cannot be higher than the price determined by the distribution company for the relevant connection line. The connection line cost determined by the distribution company should be compatible with the investment expenditure costs of the relevant tariff year.</w:t>
      </w:r>
    </w:p>
    <w:p w14:paraId="27C97E25" w14:textId="77777777" w:rsidR="004C0A79" w:rsidRPr="00C1292D" w:rsidRDefault="004C0A79" w:rsidP="00A86526">
      <w:pPr>
        <w:pStyle w:val="P68B1DB1-ListParagraph2"/>
        <w:numPr>
          <w:ilvl w:val="0"/>
          <w:numId w:val="48"/>
        </w:numPr>
        <w:tabs>
          <w:tab w:val="left" w:pos="1861"/>
        </w:tabs>
        <w:spacing w:line="276" w:lineRule="auto"/>
        <w:ind w:right="130" w:firstLine="0"/>
        <w:rPr>
          <w:rFonts w:ascii="Times New Roman" w:hAnsi="Times New Roman" w:cs="Times New Roman"/>
          <w:b w:val="0"/>
          <w:szCs w:val="22"/>
        </w:rPr>
      </w:pPr>
      <w:r w:rsidRPr="00C1292D">
        <w:rPr>
          <w:rFonts w:ascii="Times New Roman" w:hAnsi="Times New Roman" w:cs="Times New Roman"/>
          <w:b w:val="0"/>
          <w:szCs w:val="22"/>
        </w:rPr>
        <w:t>In the event that an investment will be made in a capacity higher than the connection line capacity determined for the eligible consumer within the framework of the regional consumption and investment projections of the distribution company for the future; the cost of the connection line manufactured above the consumption needs of the eligible consumer shall be paid to the relevant eligible consumer by the distribution company within three years at the latest, regardless of the wear time, in the event of any initial connection to be added to this line in the future or in the absence of additional connections.</w:t>
      </w:r>
    </w:p>
    <w:p w14:paraId="77F92369" w14:textId="77777777" w:rsidR="004C0A79" w:rsidRPr="00C1292D" w:rsidRDefault="004C0A79" w:rsidP="00A86526">
      <w:pPr>
        <w:pStyle w:val="P68B1DB1-ListParagraph2"/>
        <w:numPr>
          <w:ilvl w:val="0"/>
          <w:numId w:val="48"/>
        </w:numPr>
        <w:tabs>
          <w:tab w:val="left" w:pos="1810"/>
        </w:tabs>
        <w:spacing w:line="276" w:lineRule="auto"/>
        <w:ind w:right="131" w:firstLine="0"/>
        <w:rPr>
          <w:rFonts w:ascii="Times New Roman" w:hAnsi="Times New Roman" w:cs="Times New Roman"/>
          <w:b w:val="0"/>
          <w:szCs w:val="22"/>
        </w:rPr>
      </w:pPr>
      <w:r w:rsidRPr="00C1292D">
        <w:rPr>
          <w:rFonts w:ascii="Times New Roman" w:hAnsi="Times New Roman" w:cs="Times New Roman"/>
          <w:b w:val="0"/>
          <w:szCs w:val="22"/>
        </w:rPr>
        <w:t>In case of connection to the lines manufactured before the effective date of this paragraph, the costs incurred by the eligible consumers on the consumption need shall be paid to the relevant eligible consumers by the distribution company for once.</w:t>
      </w:r>
    </w:p>
    <w:p w14:paraId="2BD06869" w14:textId="77777777" w:rsidR="004C0A79" w:rsidRPr="00C1292D" w:rsidRDefault="004C0A79" w:rsidP="00A86526">
      <w:pPr>
        <w:pStyle w:val="P68B1DB1-ListParagraph2"/>
        <w:numPr>
          <w:ilvl w:val="0"/>
          <w:numId w:val="48"/>
        </w:numPr>
        <w:tabs>
          <w:tab w:val="left" w:pos="1827"/>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The costs to be paid to the relevant eligible consumers within the scope of this paragraph shall be calculated by taking into account the completion date of the connection line over the book value, firstly by deducting 10% depreciation share every year from the remaining price after deducting the paid participation shares, if any. Costs and participation shares within the scope of this calculation are updated by taking into account the CPI. The price to be calculated shall be paid to the relevant eligible consumer within a maximum of one year and the depreciation share shall not be deducted for this period.</w:t>
      </w:r>
    </w:p>
    <w:p w14:paraId="754241F5" w14:textId="77777777" w:rsidR="004C0A79" w:rsidRPr="00731F8E" w:rsidRDefault="004C0A79" w:rsidP="004C0A79">
      <w:pPr>
        <w:pStyle w:val="GvdeMetni"/>
        <w:spacing w:before="37" w:line="276" w:lineRule="auto"/>
        <w:ind w:left="1556" w:right="133"/>
        <w:rPr>
          <w:rFonts w:cs="Times New Roman"/>
          <w:szCs w:val="22"/>
        </w:rPr>
      </w:pPr>
      <w:r w:rsidRPr="00731F8E">
        <w:rPr>
          <w:rFonts w:cs="Times New Roman"/>
          <w:szCs w:val="22"/>
        </w:rPr>
        <w:t>The test and control of the connection and service lines are completed by the distribution company and commissioned.</w:t>
      </w:r>
    </w:p>
    <w:p w14:paraId="09E94E97"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The distribution company is responsible for the maintenance, repair and improvement of all the service and connection lines it operates. The distribution company cannot charge a fee for the transactions within this scope.</w:t>
      </w:r>
    </w:p>
    <w:p w14:paraId="5678B0A0"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In the event that the service box is dismantled and/or reassembled at the request of the customer without changing the existing service line at an address with natural gas connection, the service box dismantling fee is reflected to the relevant customer by the distribution company. This price is determined by the Board. "</w:t>
      </w:r>
    </w:p>
    <w:p w14:paraId="6F1CC5AF" w14:textId="77777777" w:rsidR="004C0A79" w:rsidRPr="00731F8E" w:rsidRDefault="004C0A79" w:rsidP="004C0A79">
      <w:pPr>
        <w:pStyle w:val="GvdeMetni"/>
        <w:spacing w:before="39"/>
        <w:rPr>
          <w:rFonts w:cs="Times New Roman"/>
          <w:szCs w:val="22"/>
        </w:rPr>
      </w:pPr>
    </w:p>
    <w:p w14:paraId="3DD8C96E"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37 has been amended as follows.</w:t>
      </w:r>
    </w:p>
    <w:p w14:paraId="40B4485E" w14:textId="77777777" w:rsidR="004C0A79" w:rsidRPr="00731F8E" w:rsidRDefault="004C0A79" w:rsidP="004C0A79">
      <w:pPr>
        <w:pStyle w:val="GvdeMetni"/>
        <w:spacing w:before="62"/>
        <w:rPr>
          <w:rFonts w:cs="Times New Roman"/>
          <w:i/>
          <w:szCs w:val="22"/>
        </w:rPr>
      </w:pPr>
    </w:p>
    <w:p w14:paraId="5F491BF5"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"Article 37- Project design and construction of interior installations shall be made by the independent section owner, the owner of the building or facility or their authorized representatives to the certificate holders. A contract is signed between the certificate holder company and the applicants, which determines the scope and conditions of the work to be done. A sample contract and insurance policy containing the minimum provisions determined by the distribution company within the framework of the relevant legislation are published on the website of the distribution company. Except for the preliminary project files, a copy of this contract, the relevant insurance policy and the personnel information to manufacture the installation with the date range of the certified company are included in the application file or digital approval system to be submitted by the certificate holder to the distribution company for the approval of the project. If there is a change in the submitted date range or personnel information, the distribution company is informed within 3 (three) working days. Certificate holders working on behalf of the distribution company other than the distribution company or the company carrying out the project shall check the project within 5 (five) working days for the subscribers following the date delivered to them. Conforming projects are approved as a result of the control, and in case of nonconforming projects, the reasons for the rejection of the projects are notified to the relevant certificate holder on the same day in cases where a digital platform is used, otherwise within 2 (two) days. Before submitting the interior installation and/or </w:t>
      </w:r>
      <w:r w:rsidRPr="00731F8E">
        <w:rPr>
          <w:rFonts w:cs="Times New Roman"/>
          <w:szCs w:val="22"/>
        </w:rPr>
        <w:lastRenderedPageBreak/>
        <w:t>transformation project for approval, the company that will make the interior installation fulfills its responsibilities regarding the insurance determined by the Board to include all its obligations under the contract. The insurance must cover the manufacturing period of the internal installation in this article and all problems that may arise related to the internal installation made for one year starting from the commissioning process. If the insurance policy does not cover the necessary conditions, the customer and the relevant company are informed by the distribution company and the interior installation project is not approved until the policy is corrected. In addition, interior installation production cannot be started by the certified company without project approval by the distribution company and all changes to be made in the projects approved by the distribution company are considered as project modifications.</w:t>
      </w:r>
    </w:p>
    <w:p w14:paraId="12C26FBB"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In the event that the commitments within the provisions of the contract signed by the certified company with the customer cannot be completed within the contract period for any reason other than the force majeure specified in the insurance policy, the procedures and principles to be followed by the certificate holder and the distribution companies for the approval and commissioning of the natural gas interior installation shall be determined by the Board.</w:t>
      </w:r>
    </w:p>
    <w:p w14:paraId="484517B9"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distribution company shall have the internal installations made checked by its own technical personnel or certificate holders working on its behalf other than the company performing the internal installation, within 7 (seven) business days at the latest from the date of application for the control and approval of the installation, in accordance with the provisions of the relevant legislation, and if deemed appropriate approves.</w:t>
      </w:r>
    </w:p>
    <w:p w14:paraId="1DABF64A" w14:textId="77777777" w:rsidR="004C0A79" w:rsidRPr="00731F8E" w:rsidRDefault="004C0A79" w:rsidP="004C0A79">
      <w:pPr>
        <w:pStyle w:val="GvdeMetni"/>
        <w:spacing w:before="37" w:line="276" w:lineRule="auto"/>
        <w:ind w:left="1556" w:right="130"/>
        <w:rPr>
          <w:rFonts w:cs="Times New Roman"/>
          <w:szCs w:val="22"/>
        </w:rPr>
      </w:pPr>
      <w:r w:rsidRPr="00731F8E">
        <w:rPr>
          <w:rFonts w:cs="Times New Roman"/>
          <w:szCs w:val="22"/>
        </w:rPr>
        <w:t>If it is not found appropriate, after the detected errors and deficiencies are eliminated, the procedures related to the controls and tests are performed again. The certificate holder is responsible for the construction and testing of the internal installation in accordance with the relevant legislation and standards, and the distribution company is responsible for its control. The distribution company provides warnings and information to prevent problems that may be encountered in the interior installation construction processes.</w:t>
      </w:r>
    </w:p>
    <w:p w14:paraId="691445CE" w14:textId="77777777" w:rsidR="004C0A79" w:rsidRPr="00731F8E" w:rsidRDefault="004C0A79" w:rsidP="004C0A79">
      <w:pPr>
        <w:pStyle w:val="GvdeMetni"/>
        <w:spacing w:line="276" w:lineRule="auto"/>
        <w:ind w:left="1556" w:right="135"/>
        <w:rPr>
          <w:rFonts w:cs="Times New Roman"/>
          <w:szCs w:val="22"/>
        </w:rPr>
      </w:pPr>
      <w:r w:rsidRPr="00731F8E">
        <w:rPr>
          <w:rFonts w:cs="Times New Roman"/>
          <w:szCs w:val="22"/>
        </w:rPr>
        <w:t>Provided that the burner devices have been installed after the signing of the first subscription contract, the gas supply to the internal installation is recorded with a report including the information of the distribution company official or the certified company official authorized for the control of the installation, the certified company official responsible for the construction and/or installation of the internal installation and the master who manufactures the installation signed by the customer.</w:t>
      </w:r>
    </w:p>
    <w:p w14:paraId="49C6D045"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Before the gas is given to the interior installation, a technical report is prepared by the certified company regarding the installation and this report is delivered to the customer during the inspection of the installation. This report includes, at a minimum, the authorized engineer for the installation, the master(s) who made the installation, the material used, and the pressure class of the installation. After the installation is gased, commissioning is ensured after the distribution company complies with the entire internal installation control and installation in all operations requiring project modification, including the replacement of the burner device.</w:t>
      </w:r>
    </w:p>
    <w:p w14:paraId="6B30B823"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In case of burner device changes; if there is no change in the type, placement or capacity of the device within the scope of the project previously submitted to the distribution company, the burner device change form prepared by the distribution companies can be changed without project modification, provided that the device replacement is completed by the company making the device change and the control of the distribution company official. The burner device commissioning process is provided by the installation control of the distribution company official. A copy of the burner device replacement form is left to the customer. Information about the customer's installation is updated by the distribution company.</w:t>
      </w:r>
    </w:p>
    <w:p w14:paraId="47150516"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In the buildings to be constructed by designing a natural gas fuel system, the project submitted to the relevant distribution company for approval in accordance with other legislation is accepted as a preliminary project by the distribution company and approved by making the necessary controls. At this stage, the distribution company informs in order to ensure that the natural gas interior installation is made in accordance with the standards during the construction of the building. However, after the approval of the preliminary project, the certified company that will manufacture the installation by the certified company must submit the application file specified in the first paragraph of this article to the distribution company. Even if there is no change in the previously accepted preliminary project in the file to be submitted, the project is submitted again for approval.</w:t>
      </w:r>
    </w:p>
    <w:p w14:paraId="0C70E5E7"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 xml:space="preserve">In case of cancellation of the contract between the customer and the certified company for any reason, the certified company informs the distribution company about the canceled contract, internal installation number, cancellation reason within 5 (five) working days at the latest from the cancellation of the contract and delivers any equipment to the distribution company if it has received it. The distribution company contacts the customer regarding the canceled contract and informs them about the subject. In addition, interior installation projects that are in the project approval process and have been completed for 5 (five) years from the date of application are </w:t>
      </w:r>
      <w:r w:rsidRPr="00731F8E">
        <w:rPr>
          <w:rFonts w:cs="Times New Roman"/>
          <w:szCs w:val="22"/>
        </w:rPr>
        <w:lastRenderedPageBreak/>
        <w:t>canceled by the distribution company and the company submitting the project is informed.</w:t>
      </w:r>
    </w:p>
    <w:p w14:paraId="62307847" w14:textId="77777777" w:rsidR="004C0A79" w:rsidRPr="00731F8E" w:rsidRDefault="004C0A79" w:rsidP="004C0A79">
      <w:pPr>
        <w:pStyle w:val="GvdeMetni"/>
        <w:spacing w:before="37" w:line="276" w:lineRule="auto"/>
        <w:ind w:left="1556" w:right="131"/>
        <w:rPr>
          <w:rFonts w:cs="Times New Roman"/>
          <w:szCs w:val="22"/>
        </w:rPr>
      </w:pPr>
      <w:r w:rsidRPr="00731F8E">
        <w:rPr>
          <w:rFonts w:cs="Times New Roman"/>
          <w:szCs w:val="22"/>
        </w:rPr>
        <w:t>Distribution companies establish a system within their websites that will allow consumers to follow the processes of project presentation, approval and gas opening processes on their websites. In addition, distribution companies publish the last 6 (six) months performance evaluation table of certified companies over 6 (six) items, including the number of projects submitted by certified companies operating in their distribution regions, the number of project approvals at the first control, the percentage of project approvals at the first control, the number of installations checked, the number of approvals at the first control, and the percentage of approvals at the first control. Companies that receive new certificates are added to the table created separately for residential and industrial installations within a maximum of 15 (fifteen) working days. This table is renewed every 6 (six) months.</w:t>
      </w:r>
    </w:p>
    <w:p w14:paraId="78831FD2" w14:textId="77777777" w:rsidR="004C0A79" w:rsidRPr="00731F8E" w:rsidRDefault="004C0A79" w:rsidP="004C0A79">
      <w:pPr>
        <w:pStyle w:val="GvdeMetni"/>
        <w:spacing w:line="273" w:lineRule="auto"/>
        <w:ind w:left="1556" w:right="135"/>
        <w:rPr>
          <w:rFonts w:cs="Times New Roman"/>
          <w:szCs w:val="22"/>
        </w:rPr>
      </w:pPr>
      <w:r w:rsidRPr="00731F8E">
        <w:rPr>
          <w:rFonts w:cs="Times New Roman"/>
          <w:szCs w:val="22"/>
        </w:rPr>
        <w:t>All fees to be received by the relevant distribution company within the scope of this article shall be determined by the Board."</w:t>
      </w:r>
    </w:p>
    <w:p w14:paraId="5968A7EF" w14:textId="77777777" w:rsidR="004C0A79" w:rsidRPr="00731F8E" w:rsidRDefault="004C0A79" w:rsidP="004C0A79">
      <w:pPr>
        <w:pStyle w:val="GvdeMetni"/>
        <w:spacing w:before="45"/>
        <w:rPr>
          <w:rFonts w:cs="Times New Roman"/>
          <w:szCs w:val="22"/>
        </w:rPr>
      </w:pPr>
    </w:p>
    <w:p w14:paraId="1EFF645A"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Article 38 has been amended as follows.</w:t>
      </w:r>
    </w:p>
    <w:p w14:paraId="46B99315" w14:textId="77777777" w:rsidR="004C0A79" w:rsidRPr="00731F8E" w:rsidRDefault="004C0A79" w:rsidP="004C0A79">
      <w:pPr>
        <w:pStyle w:val="GvdeMetni"/>
        <w:spacing w:before="60"/>
        <w:rPr>
          <w:rFonts w:cs="Times New Roman"/>
          <w:i/>
          <w:szCs w:val="22"/>
        </w:rPr>
      </w:pPr>
    </w:p>
    <w:p w14:paraId="584C63EB"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"Article 38- The subscription contract to be made during the first subscription is signed or a distance contract is made by submitting the necessary documents to the distribution company within the scope of the relevant and other legislation following the approval of the internal installation project and by the accrual and/or collection of the security deposit determined within the framework of the relevant legislation. The subscription agreement is made with the natural or legal entity who will actually use natural gas or their authorized representatives. In the first subscription, the subscriber's natural gas is made available within the framework of Article 37. In all new subscription transactions to be made at the same address after the first subscription; natural gas is made available after the internal installation is checked by the distribution company or certified companies working on its behalf within 5 (five) days from the conclusion of the subscription contract. As a result of the control to be carried out, if the installation is not found suitable, the deficiencies related to the installation are eliminated by certified companies and/or customers in line with the determinations of the distribution company and the installation is made in accordance with the legislation. In this case, the installation is checked within 5 (five) working days after the application to the distribution company by the certified company and/or the customer who made the installation suitable and the natural gas is put into use. Tax identification numbers of legal entities are confirmed through e-tax plate inquiry from the Revenue Administration, and trade registry information is confirmed through a trade registry inquiry from the relevant Trade Registry Directorate.</w:t>
      </w:r>
    </w:p>
    <w:p w14:paraId="05A21FAB"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In cases where natural gas is used by the distribution company without a contract and the person who actually consumes it is determined by concrete documents, all financial obligations are accrued to the relevant person. In case of a change of one of the main elements in the contract such as the change of natural gas users residing at the address, the change of meter type depending on the payment method or the tax number, a new contract is signed.</w:t>
      </w:r>
    </w:p>
    <w:p w14:paraId="37A588D0"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During the conclusion of the contract, a document containing the pricing principles and contract provisions to be applied, safe gas use, emergencies and the information that the consumer will keep his/her phone and e-mail information up to date, and that the notifications to be made to the phone and/or e-mail address registered in the distribution company system will be deemed valid shall be delivered or forwarded to the requestor by the distribution company. The distribution company groups its customers into residential, commercial, industrial and similar groups and makes standard type contracts with these customer groups, provided that they do not contradict the legislation.</w:t>
      </w:r>
    </w:p>
    <w:p w14:paraId="647E550C" w14:textId="77777777" w:rsidR="004C0A79" w:rsidRPr="00731F8E" w:rsidRDefault="004C0A79" w:rsidP="004C0A79">
      <w:pPr>
        <w:pStyle w:val="GvdeMetni"/>
        <w:spacing w:before="37" w:line="276" w:lineRule="auto"/>
        <w:ind w:left="1556" w:right="135"/>
        <w:rPr>
          <w:rFonts w:cs="Times New Roman"/>
          <w:szCs w:val="22"/>
        </w:rPr>
      </w:pPr>
      <w:r w:rsidRPr="00731F8E">
        <w:rPr>
          <w:rFonts w:cs="Times New Roman"/>
          <w:szCs w:val="22"/>
        </w:rPr>
        <w:t>One copy of all standard type contracts to be made shall be published on the website of the distribution company.</w:t>
      </w:r>
    </w:p>
    <w:p w14:paraId="5D91A41F"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the event of the death of the subscriber, if there is no objection from the other heirs, the spouse of the deceased subscriber shall be subscribed by transferring the security deposit available in the distribution company and without receiving an additional security deposit.</w:t>
      </w:r>
    </w:p>
    <w:p w14:paraId="37520F48"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Transportation service contract is the contracts made by the distribution company with suppliers and delivery service contract is the contracts made by the distribution company with eligible consumers and suppliers for the transfer of natural gas. These contracts contain provisions freely determined by the parties within the framework of the relevant legislation. In cases where the contract texts cannot be agreed on, the contract texts determined by the Board are signed. The duration of the contracts to be signed between eligible consumers and suppliers is freely determined between the parties.</w:t>
      </w:r>
    </w:p>
    <w:p w14:paraId="622104B6"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Consumers keep their mobile, fixed and electronic communication channels and, if necessary, their tax number updated to the distribution companies. Notifications made by distribution companies to mobile, fixed and/or </w:t>
      </w:r>
      <w:r w:rsidRPr="00731F8E">
        <w:rPr>
          <w:rFonts w:cs="Times New Roman"/>
          <w:szCs w:val="22"/>
        </w:rPr>
        <w:lastRenderedPageBreak/>
        <w:t>electronic communication channels registered in their systems shall be deemed valid.</w:t>
      </w:r>
    </w:p>
    <w:p w14:paraId="27BEA5DE"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Provisions contrary to the relevant legislation cannot be included in the contracts to be made between the distribution company and the consumers."</w:t>
      </w:r>
    </w:p>
    <w:p w14:paraId="57EDF0C4" w14:textId="77777777" w:rsidR="004C0A79" w:rsidRPr="00731F8E" w:rsidRDefault="004C0A79" w:rsidP="004C0A79">
      <w:pPr>
        <w:pStyle w:val="GvdeMetni"/>
        <w:spacing w:before="38"/>
        <w:rPr>
          <w:rFonts w:cs="Times New Roman"/>
          <w:szCs w:val="22"/>
        </w:rPr>
      </w:pPr>
    </w:p>
    <w:p w14:paraId="5E3A751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39 has been amended as follows.</w:t>
      </w:r>
    </w:p>
    <w:p w14:paraId="03AB67DA" w14:textId="77777777" w:rsidR="004C0A79" w:rsidRPr="00731F8E" w:rsidRDefault="004C0A79" w:rsidP="004C0A79">
      <w:pPr>
        <w:pStyle w:val="GvdeMetni"/>
        <w:spacing w:before="63"/>
        <w:rPr>
          <w:rFonts w:cs="Times New Roman"/>
          <w:i/>
          <w:szCs w:val="22"/>
        </w:rPr>
      </w:pPr>
    </w:p>
    <w:p w14:paraId="61BBBDE8"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"Article 39- In order to guarantee its receivables, the distribution company may collect a one-time security fee from subscribers using mechanical meters, in cash or credit card, in cash or in installments, according to the subscribers' preferences. However, no security deposit is charged to subscribers using prepaid meters. If no security deposit has been received during the subscription for any reason, this amount cannot be claimed until a new contract is made for the same address later. Customers who request the security fee to be paid in installments will be paid in at least 6 (six) equal installments without interest, according to their preferences. In the event that the amounts within the scope of this paragraph are paid using a credit card instead of being reflected on the invoice, the provisions of the relevant legislation in force regarding credit cards shall apply.</w:t>
      </w:r>
    </w:p>
    <w:p w14:paraId="7A715175" w14:textId="77777777" w:rsidR="004C0A79" w:rsidRPr="00731F8E" w:rsidRDefault="004C0A79" w:rsidP="004C0A79">
      <w:pPr>
        <w:pStyle w:val="GvdeMetni"/>
        <w:spacing w:line="273" w:lineRule="auto"/>
        <w:ind w:left="1555" w:right="131"/>
        <w:rPr>
          <w:rFonts w:cs="Times New Roman"/>
          <w:szCs w:val="22"/>
        </w:rPr>
      </w:pPr>
      <w:r w:rsidRPr="00731F8E">
        <w:rPr>
          <w:rFonts w:cs="Times New Roman"/>
          <w:szCs w:val="22"/>
        </w:rPr>
        <w:t>The security deposit is collected from the contractors or their authorized representatives for the actual use of natural gas.</w:t>
      </w:r>
    </w:p>
    <w:p w14:paraId="684EF016" w14:textId="77777777" w:rsidR="004C0A79" w:rsidRPr="00731F8E" w:rsidRDefault="004C0A79" w:rsidP="004C0A79">
      <w:pPr>
        <w:pStyle w:val="GvdeMetni"/>
        <w:spacing w:before="4" w:line="276" w:lineRule="auto"/>
        <w:ind w:left="1555" w:right="135"/>
        <w:rPr>
          <w:rFonts w:cs="Times New Roman"/>
          <w:szCs w:val="22"/>
        </w:rPr>
      </w:pPr>
      <w:r w:rsidRPr="00731F8E">
        <w:rPr>
          <w:rFonts w:cs="Times New Roman"/>
          <w:szCs w:val="22"/>
        </w:rPr>
        <w:t>The Board shall determine the security deposits and the procedures and principles for their calculation.</w:t>
      </w:r>
    </w:p>
    <w:p w14:paraId="375D5C20"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security deposit in the distribution company of the subscriber whose subscription agreement has expired shall be returned to the subscriber or his authorized representative within fifteen days at the latest from the date of the request for the termination of the subscription agreement, provided that all debts have been paid and the security deposits received in cash are updated within the framework of the relevant legislation.</w:t>
      </w:r>
    </w:p>
    <w:p w14:paraId="13A41331"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Eligible consumers may also provide a bank performance bond instead of cash as a security deposit. Whether or not the security deposit will be received from the eligible consumers and its conditions are determined freely within the scope of the contracts to be signed, provided that it is not contrary to the relevant legislation."</w:t>
      </w:r>
    </w:p>
    <w:p w14:paraId="1880F0EE" w14:textId="77777777" w:rsidR="004C0A79" w:rsidRPr="00731F8E" w:rsidRDefault="004C0A79" w:rsidP="00A86526">
      <w:pPr>
        <w:pStyle w:val="ListeParagraf"/>
        <w:widowControl w:val="0"/>
        <w:numPr>
          <w:ilvl w:val="4"/>
          <w:numId w:val="52"/>
        </w:numPr>
        <w:tabs>
          <w:tab w:val="left" w:pos="1555"/>
        </w:tabs>
        <w:autoSpaceDE w:val="0"/>
        <w:autoSpaceDN w:val="0"/>
        <w:spacing w:before="77" w:after="0" w:line="240" w:lineRule="auto"/>
        <w:ind w:left="1555" w:hanging="359"/>
        <w:contextualSpacing w:val="0"/>
        <w:jc w:val="left"/>
        <w:rPr>
          <w:rFonts w:ascii="Times New Roman" w:hAnsi="Times New Roman"/>
        </w:rPr>
      </w:pPr>
      <w:r w:rsidRPr="00731F8E">
        <w:rPr>
          <w:rFonts w:ascii="Times New Roman" w:hAnsi="Times New Roman"/>
        </w:rPr>
        <w:t>The first and second paragraphs of Article 40 are amended as follows.</w:t>
      </w:r>
    </w:p>
    <w:p w14:paraId="25A7A1CB" w14:textId="77777777" w:rsidR="004C0A79" w:rsidRPr="00731F8E" w:rsidRDefault="004C0A79" w:rsidP="004C0A79">
      <w:pPr>
        <w:pStyle w:val="GvdeMetni"/>
        <w:spacing w:before="62"/>
        <w:rPr>
          <w:rFonts w:cs="Times New Roman"/>
          <w:i/>
          <w:szCs w:val="22"/>
        </w:rPr>
      </w:pPr>
    </w:p>
    <w:p w14:paraId="2AF6BF97"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meters are the property of the distribution company and are included in the system by being supplied by the distribution company without any charge other than the subscriber connection fee. The inspection, repair and adjustment procedures of the meters are carried out within the scope of the Measuring Instruments Legislation.</w:t>
      </w:r>
    </w:p>
    <w:p w14:paraId="5720CB56"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All kinds of operations such as installation, disassembly, replacement, control and similar operations of the meters are carried out or caused to be carried out by the distribution company. Counters are not delivered to consumers under any circumstances. However, in cases where the meter will be installed by certified companies, the meters are received by the certified companies from the distribution company with a report after the signing of the customer contract. All malfunctions and problems that occur in the subscriber meters and prevent the maintenance of the gas supply are eliminated as soon as possible, not exceeding 24 (twenty-four) hours after the failure notification is made to the distribution company. The customer is obliged not to interfere with the meter in any way and to protect the meter in a way that does not prevent the access of the distribution company. Damage and loss that may occur as a result of external intervention to the meters shall be borne by the customer. In this case, the intervention/damage report to be prepared by the distribution company and the report to be kept on site are taken as basis."</w:t>
      </w:r>
    </w:p>
    <w:p w14:paraId="20258706" w14:textId="77777777" w:rsidR="004C0A79" w:rsidRPr="00731F8E" w:rsidRDefault="004C0A79" w:rsidP="004C0A79">
      <w:pPr>
        <w:pStyle w:val="GvdeMetni"/>
        <w:spacing w:before="40"/>
        <w:rPr>
          <w:rFonts w:cs="Times New Roman"/>
          <w:szCs w:val="22"/>
        </w:rPr>
      </w:pPr>
    </w:p>
    <w:p w14:paraId="5AB9B06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following paragraphs have been added to Article 41.</w:t>
      </w:r>
    </w:p>
    <w:p w14:paraId="20B1DE67" w14:textId="77777777" w:rsidR="004C0A79" w:rsidRPr="00731F8E" w:rsidRDefault="004C0A79" w:rsidP="004C0A79">
      <w:pPr>
        <w:pStyle w:val="GvdeMetni"/>
        <w:spacing w:before="60"/>
        <w:rPr>
          <w:rFonts w:cs="Times New Roman"/>
          <w:i/>
          <w:szCs w:val="22"/>
        </w:rPr>
      </w:pPr>
    </w:p>
    <w:p w14:paraId="62ADCD9D"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"In the facilities where hourly monitoring of customer consumption can be made and one or more devices are measured with a single meter, if it is determined that the meters are traction under the measurement capacities and notified to the consumers, the measurement amounts are corrected by taking into account the minimum measurement capacities of the meters. The price resulting from the correction shall be paid by the customer. In these cases, the distribution company informs the consumer about the measurement system. Depending on the consumer's preference and provided that the cost is borne by the consumer, a meter with appropriate measurement capacity or accuracy is installed.</w:t>
      </w:r>
    </w:p>
    <w:p w14:paraId="40B5E2B7"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The data used as a basis for invoicing is published on the website of the distribution companies in a way that is accessible to the consumers who want it and covers at least the last 5 (five) years retrospectively. "</w:t>
      </w:r>
    </w:p>
    <w:p w14:paraId="1CC768CA" w14:textId="77777777" w:rsidR="004C0A79" w:rsidRPr="00731F8E" w:rsidRDefault="004C0A79" w:rsidP="004C0A79">
      <w:pPr>
        <w:pStyle w:val="GvdeMetni"/>
        <w:spacing w:before="39"/>
        <w:rPr>
          <w:rFonts w:cs="Times New Roman"/>
          <w:szCs w:val="22"/>
        </w:rPr>
      </w:pPr>
    </w:p>
    <w:p w14:paraId="290BCCD9"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7"/>
        <w:contextualSpacing w:val="0"/>
        <w:jc w:val="left"/>
        <w:rPr>
          <w:rFonts w:ascii="Times New Roman" w:hAnsi="Times New Roman"/>
        </w:rPr>
      </w:pPr>
      <w:r w:rsidRPr="00731F8E">
        <w:rPr>
          <w:rFonts w:ascii="Times New Roman" w:hAnsi="Times New Roman"/>
        </w:rPr>
        <w:t>Clauses (a), (b) and (c) of the first paragraph of Article 42 have been amended as follows.</w:t>
      </w:r>
    </w:p>
    <w:p w14:paraId="44BE74E7" w14:textId="77777777" w:rsidR="004C0A79" w:rsidRPr="00731F8E" w:rsidRDefault="004C0A79" w:rsidP="004C0A79">
      <w:pPr>
        <w:pStyle w:val="GvdeMetni"/>
        <w:spacing w:before="41"/>
        <w:rPr>
          <w:rFonts w:cs="Times New Roman"/>
          <w:i/>
          <w:szCs w:val="22"/>
        </w:rPr>
      </w:pPr>
    </w:p>
    <w:p w14:paraId="5997941D"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 If the measurement equipment used by eligible consumers becomes disabled or malfunctions for any reason, the calculation of the consumption amounts during the period when these equipment is disabled is first carried out within the framework of the provisions of the contract signed between the parties. However, in the absence of a method specified in the contract, taking into account the changes in production capacity, the following transactions are made respectively;</w:t>
      </w:r>
    </w:p>
    <w:p w14:paraId="271A0057" w14:textId="77777777" w:rsidR="004C0A79" w:rsidRPr="00C1292D" w:rsidRDefault="004C0A79" w:rsidP="00A86526">
      <w:pPr>
        <w:pStyle w:val="P68B1DB1-ListParagraph2"/>
        <w:numPr>
          <w:ilvl w:val="0"/>
          <w:numId w:val="47"/>
        </w:numPr>
        <w:tabs>
          <w:tab w:val="left" w:pos="1784"/>
        </w:tabs>
        <w:spacing w:line="268" w:lineRule="exact"/>
        <w:ind w:left="1784" w:hanging="229"/>
        <w:rPr>
          <w:rFonts w:ascii="Times New Roman" w:hAnsi="Times New Roman" w:cs="Times New Roman"/>
          <w:b w:val="0"/>
          <w:szCs w:val="22"/>
        </w:rPr>
      </w:pPr>
      <w:r w:rsidRPr="00C1292D">
        <w:rPr>
          <w:rFonts w:ascii="Times New Roman" w:hAnsi="Times New Roman" w:cs="Times New Roman"/>
          <w:b w:val="0"/>
          <w:szCs w:val="22"/>
        </w:rPr>
        <w:t>Measuring equipment for control purposes, if equipped,</w:t>
      </w:r>
    </w:p>
    <w:p w14:paraId="2B8BE159" w14:textId="77777777" w:rsidR="004C0A79" w:rsidRPr="00C1292D" w:rsidRDefault="004C0A79" w:rsidP="00A86526">
      <w:pPr>
        <w:pStyle w:val="P68B1DB1-ListParagraph2"/>
        <w:numPr>
          <w:ilvl w:val="0"/>
          <w:numId w:val="47"/>
        </w:numPr>
        <w:tabs>
          <w:tab w:val="left" w:pos="1781"/>
        </w:tabs>
        <w:spacing w:before="39" w:line="276" w:lineRule="auto"/>
        <w:ind w:left="1555" w:right="135" w:firstLine="0"/>
        <w:rPr>
          <w:rFonts w:ascii="Times New Roman" w:hAnsi="Times New Roman" w:cs="Times New Roman"/>
          <w:b w:val="0"/>
          <w:szCs w:val="22"/>
        </w:rPr>
      </w:pPr>
      <w:r w:rsidRPr="00C1292D">
        <w:rPr>
          <w:rFonts w:ascii="Times New Roman" w:hAnsi="Times New Roman" w:cs="Times New Roman"/>
          <w:b w:val="0"/>
          <w:szCs w:val="22"/>
        </w:rPr>
        <w:t>Percentage of deviation outside the measurement tolerance determined as a result of the test and control of the meter by accredited organizations,</w:t>
      </w:r>
    </w:p>
    <w:p w14:paraId="3050E1B5" w14:textId="77777777" w:rsidR="004C0A79" w:rsidRPr="00C1292D" w:rsidRDefault="004C0A79" w:rsidP="00A86526">
      <w:pPr>
        <w:pStyle w:val="P68B1DB1-ListParagraph2"/>
        <w:numPr>
          <w:ilvl w:val="0"/>
          <w:numId w:val="47"/>
        </w:numPr>
        <w:tabs>
          <w:tab w:val="left" w:pos="1932"/>
        </w:tabs>
        <w:spacing w:before="37" w:line="276" w:lineRule="auto"/>
        <w:ind w:left="1555" w:right="133" w:firstLine="0"/>
        <w:rPr>
          <w:rFonts w:ascii="Times New Roman" w:hAnsi="Times New Roman" w:cs="Times New Roman"/>
          <w:b w:val="0"/>
          <w:szCs w:val="22"/>
        </w:rPr>
      </w:pPr>
      <w:r w:rsidRPr="00C1292D">
        <w:rPr>
          <w:rFonts w:ascii="Times New Roman" w:hAnsi="Times New Roman" w:cs="Times New Roman"/>
          <w:b w:val="0"/>
          <w:szCs w:val="22"/>
        </w:rPr>
        <w:t>Calculations that can be made manually in line with gas engineering technology,</w:t>
      </w:r>
    </w:p>
    <w:p w14:paraId="29EFB672" w14:textId="77777777" w:rsidR="004C0A79" w:rsidRPr="00C1292D" w:rsidRDefault="004C0A79" w:rsidP="00A86526">
      <w:pPr>
        <w:pStyle w:val="P68B1DB1-ListParagraph2"/>
        <w:numPr>
          <w:ilvl w:val="0"/>
          <w:numId w:val="47"/>
        </w:numPr>
        <w:tabs>
          <w:tab w:val="left" w:pos="1784"/>
        </w:tabs>
        <w:spacing w:before="1"/>
        <w:ind w:left="1784" w:hanging="229"/>
        <w:rPr>
          <w:rFonts w:ascii="Times New Roman" w:hAnsi="Times New Roman" w:cs="Times New Roman"/>
          <w:b w:val="0"/>
          <w:szCs w:val="22"/>
        </w:rPr>
      </w:pPr>
      <w:r w:rsidRPr="00C1292D">
        <w:rPr>
          <w:rFonts w:ascii="Times New Roman" w:hAnsi="Times New Roman" w:cs="Times New Roman"/>
          <w:b w:val="0"/>
          <w:szCs w:val="22"/>
        </w:rPr>
        <w:t>The average amount of natural gas use under similar conditions in the previous period,</w:t>
      </w:r>
    </w:p>
    <w:p w14:paraId="6C36F726" w14:textId="77777777" w:rsidR="004C0A79" w:rsidRPr="00C1292D" w:rsidRDefault="004C0A79" w:rsidP="00A86526">
      <w:pPr>
        <w:pStyle w:val="P68B1DB1-ListParagraph2"/>
        <w:numPr>
          <w:ilvl w:val="0"/>
          <w:numId w:val="47"/>
        </w:numPr>
        <w:tabs>
          <w:tab w:val="left" w:pos="1803"/>
        </w:tabs>
        <w:spacing w:before="39" w:line="276" w:lineRule="auto"/>
        <w:ind w:left="1555" w:right="134" w:firstLine="0"/>
        <w:rPr>
          <w:rFonts w:ascii="Times New Roman" w:hAnsi="Times New Roman" w:cs="Times New Roman"/>
          <w:b w:val="0"/>
          <w:szCs w:val="22"/>
        </w:rPr>
      </w:pPr>
      <w:r w:rsidRPr="00C1292D">
        <w:rPr>
          <w:rFonts w:ascii="Times New Roman" w:hAnsi="Times New Roman" w:cs="Times New Roman"/>
          <w:b w:val="0"/>
          <w:szCs w:val="22"/>
        </w:rPr>
        <w:t>If it can be determined, the consumption averages of the closest period in similar conditions before and after the failure.</w:t>
      </w:r>
    </w:p>
    <w:p w14:paraId="13B44E70" w14:textId="77777777" w:rsidR="004C0A79" w:rsidRPr="00731F8E" w:rsidRDefault="004C0A79" w:rsidP="004C0A79">
      <w:pPr>
        <w:pStyle w:val="GvdeMetni"/>
        <w:spacing w:line="276" w:lineRule="auto"/>
        <w:ind w:left="1555"/>
        <w:rPr>
          <w:rFonts w:cs="Times New Roman"/>
          <w:szCs w:val="22"/>
        </w:rPr>
      </w:pPr>
      <w:r w:rsidRPr="00731F8E">
        <w:rPr>
          <w:rFonts w:cs="Times New Roman"/>
          <w:szCs w:val="22"/>
        </w:rPr>
        <w:t>Eligible consumers who use natural gas only for heating purposes are treated in accordance with the provisions of clause (b).</w:t>
      </w:r>
    </w:p>
    <w:p w14:paraId="0731EC3E" w14:textId="77777777" w:rsidR="004C0A79" w:rsidRPr="00C1292D" w:rsidRDefault="004C0A79" w:rsidP="00A86526">
      <w:pPr>
        <w:pStyle w:val="P68B1DB1-ListParagraph2"/>
        <w:numPr>
          <w:ilvl w:val="0"/>
          <w:numId w:val="46"/>
        </w:numPr>
        <w:tabs>
          <w:tab w:val="left" w:pos="1796"/>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For subscribers, the average of natural gas usage amounts corresponding to the same months of the last two years and to the quarters if the monthly value cannot be determined are taken as basis. This average is compared with the average of consumption in the same period calculated by taking other customers with similar consumption tendencies as a precedent. If the average consumption of the customer is higher than the average of the precedent customers, the average consumption of the precedent customers is calculated and accrued, and if the average consumption of the customer is low, the consumption of the period in which the meter does not measure or makes incorrect measurements is calculated and accrued based on the customer's own consumption average. In the absence of data on the customer for the previous year, calculations are made taking into account data on other customers with a similar consumption trend.</w:t>
      </w:r>
    </w:p>
    <w:p w14:paraId="2140B9ED" w14:textId="77777777" w:rsidR="004C0A79" w:rsidRPr="00C1292D" w:rsidRDefault="004C0A79" w:rsidP="00A86526">
      <w:pPr>
        <w:pStyle w:val="P68B1DB1-ListParagraph2"/>
        <w:numPr>
          <w:ilvl w:val="0"/>
          <w:numId w:val="46"/>
        </w:numPr>
        <w:tabs>
          <w:tab w:val="left" w:pos="1799"/>
        </w:tabs>
        <w:spacing w:line="276" w:lineRule="auto"/>
        <w:ind w:right="133" w:firstLine="0"/>
        <w:rPr>
          <w:rFonts w:ascii="Times New Roman" w:hAnsi="Times New Roman" w:cs="Times New Roman"/>
          <w:b w:val="0"/>
          <w:szCs w:val="22"/>
        </w:rPr>
      </w:pPr>
      <w:r w:rsidRPr="00C1292D">
        <w:rPr>
          <w:rFonts w:ascii="Times New Roman" w:hAnsi="Times New Roman" w:cs="Times New Roman"/>
          <w:b w:val="0"/>
          <w:szCs w:val="22"/>
        </w:rPr>
        <w:t>The period between the date of the most recent transaction and the date when it is determined that the meter has not measured or has measured incorrectly from the operations of commissioning the internal installation, checking the internal installation, meter inspection, meter on-off, meter replacement, meter removal-installation and subscription contract signing, or if these periods are longer than one year, the last one-year period. In case of objection to the invoice, correction can be made by taking into account the electricity and water invoices of the consumer in the period subject to objection."</w:t>
      </w:r>
    </w:p>
    <w:p w14:paraId="4B2983CD" w14:textId="77777777" w:rsidR="004C0A79" w:rsidRPr="00731F8E" w:rsidRDefault="004C0A79" w:rsidP="004C0A79">
      <w:pPr>
        <w:pStyle w:val="GvdeMetni"/>
        <w:spacing w:before="38"/>
        <w:rPr>
          <w:rFonts w:cs="Times New Roman"/>
          <w:szCs w:val="22"/>
        </w:rPr>
      </w:pPr>
    </w:p>
    <w:p w14:paraId="12B22CFC"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The first and fourth paragraphs of Article 43 have been amended as follows.</w:t>
      </w:r>
    </w:p>
    <w:p w14:paraId="58748D65" w14:textId="77777777" w:rsidR="004C0A79" w:rsidRPr="00731F8E" w:rsidRDefault="004C0A79" w:rsidP="004C0A79">
      <w:pPr>
        <w:pStyle w:val="GvdeMetni"/>
        <w:spacing w:before="62"/>
        <w:rPr>
          <w:rFonts w:cs="Times New Roman"/>
          <w:i/>
          <w:szCs w:val="22"/>
        </w:rPr>
      </w:pPr>
    </w:p>
    <w:p w14:paraId="0A615155"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“The distribution company regularly checks the healthy operation of the meters, provided that it does not exceed one year. It is essential that the meter is periodically inspected by the distribution company for all kinds of settings and maintenance in accordance with the provisions of Law No. 3516. In line with the provisions of the Measuring Instruments Legislation; it is the responsibility of the distribution company to inspect the meters, to repair and adjust them if necessary, and to ensure that they work within the permissible error limits."</w:t>
      </w:r>
    </w:p>
    <w:p w14:paraId="5279E419"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"In cases where the customer is not at the address, if any action is taken by the distribution company, a notification is left to the customer's address and the customer's phone registered in the system is informed by text message. The customer shall apply to the distribution company with the notification if necessary. "</w:t>
      </w:r>
    </w:p>
    <w:p w14:paraId="29307218" w14:textId="77777777" w:rsidR="004C0A79" w:rsidRPr="00731F8E" w:rsidRDefault="004C0A79" w:rsidP="004C0A79">
      <w:pPr>
        <w:pStyle w:val="GvdeMetni"/>
        <w:spacing w:before="38"/>
        <w:rPr>
          <w:rFonts w:cs="Times New Roman"/>
          <w:szCs w:val="22"/>
        </w:rPr>
      </w:pPr>
    </w:p>
    <w:p w14:paraId="4295C27C"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44 has been amended as follows.</w:t>
      </w:r>
    </w:p>
    <w:p w14:paraId="0652D8A1" w14:textId="77777777" w:rsidR="004C0A79" w:rsidRPr="00731F8E" w:rsidRDefault="004C0A79" w:rsidP="004C0A79">
      <w:pPr>
        <w:pStyle w:val="GvdeMetni"/>
        <w:spacing w:before="63"/>
        <w:rPr>
          <w:rFonts w:cs="Times New Roman"/>
          <w:i/>
          <w:szCs w:val="22"/>
        </w:rPr>
      </w:pPr>
    </w:p>
    <w:p w14:paraId="334D5A34" w14:textId="77777777" w:rsidR="004C0A79" w:rsidRPr="00731F8E" w:rsidRDefault="004C0A79" w:rsidP="004C0A79">
      <w:pPr>
        <w:pStyle w:val="GvdeMetni"/>
        <w:ind w:left="1555"/>
        <w:rPr>
          <w:rFonts w:cs="Times New Roman"/>
          <w:szCs w:val="22"/>
        </w:rPr>
      </w:pPr>
      <w:r w:rsidRPr="00731F8E">
        <w:rPr>
          <w:rFonts w:cs="Times New Roman"/>
          <w:szCs w:val="22"/>
        </w:rPr>
        <w:t>“Article 44- In the following cases, natural gas is cut and the service is stopped and these issues are specified in the customer contract by the distribution company;</w:t>
      </w:r>
    </w:p>
    <w:p w14:paraId="398A3BD5" w14:textId="77777777" w:rsidR="004C0A79" w:rsidRPr="00C1292D" w:rsidRDefault="004C0A79" w:rsidP="00A86526">
      <w:pPr>
        <w:pStyle w:val="P68B1DB1-ListParagraph2"/>
        <w:numPr>
          <w:ilvl w:val="5"/>
          <w:numId w:val="52"/>
        </w:numPr>
        <w:tabs>
          <w:tab w:val="left" w:pos="1808"/>
        </w:tabs>
        <w:spacing w:before="41" w:line="273" w:lineRule="auto"/>
        <w:ind w:right="134" w:firstLine="0"/>
        <w:rPr>
          <w:rFonts w:ascii="Times New Roman" w:hAnsi="Times New Roman" w:cs="Times New Roman"/>
          <w:b w:val="0"/>
          <w:szCs w:val="22"/>
        </w:rPr>
      </w:pPr>
      <w:r w:rsidRPr="00C1292D">
        <w:rPr>
          <w:rFonts w:ascii="Times New Roman" w:hAnsi="Times New Roman" w:cs="Times New Roman"/>
          <w:b w:val="0"/>
          <w:szCs w:val="22"/>
        </w:rPr>
        <w:t>Within three days, provided that the customer does not want to use natural gas for a certain period of time, provided that he/she pays the price of the natural gas consumed until that period,</w:t>
      </w:r>
    </w:p>
    <w:p w14:paraId="0726240A" w14:textId="77777777" w:rsidR="004C0A79" w:rsidRPr="00C1292D" w:rsidRDefault="004C0A79" w:rsidP="00A86526">
      <w:pPr>
        <w:pStyle w:val="P68B1DB1-ListParagraph2"/>
        <w:numPr>
          <w:ilvl w:val="5"/>
          <w:numId w:val="52"/>
        </w:numPr>
        <w:tabs>
          <w:tab w:val="left" w:pos="1856"/>
        </w:tabs>
        <w:spacing w:before="37" w:line="276" w:lineRule="auto"/>
        <w:ind w:right="135" w:firstLine="0"/>
        <w:rPr>
          <w:rFonts w:ascii="Times New Roman" w:hAnsi="Times New Roman" w:cs="Times New Roman"/>
          <w:b w:val="0"/>
          <w:szCs w:val="22"/>
        </w:rPr>
      </w:pPr>
      <w:r w:rsidRPr="00C1292D">
        <w:rPr>
          <w:rFonts w:ascii="Times New Roman" w:hAnsi="Times New Roman" w:cs="Times New Roman"/>
          <w:b w:val="0"/>
          <w:szCs w:val="22"/>
        </w:rPr>
        <w:t xml:space="preserve">If the customer's invoice is not paid within fifteen days from the due date, natural gas </w:t>
      </w:r>
      <w:r w:rsidRPr="00C1292D">
        <w:rPr>
          <w:rFonts w:ascii="Times New Roman" w:hAnsi="Times New Roman" w:cs="Times New Roman"/>
          <w:b w:val="0"/>
          <w:szCs w:val="22"/>
        </w:rPr>
        <w:lastRenderedPageBreak/>
        <w:t>deduction will be made due to the invoice debt provided that notice is given 3 (three) business days in advance through at least two of the following methods: text message, telephone, e-mail, notification to the address, notification under invoice and similar methods,</w:t>
      </w:r>
    </w:p>
    <w:p w14:paraId="5D4135F3" w14:textId="77777777" w:rsidR="004C0A79" w:rsidRPr="00C1292D" w:rsidRDefault="004C0A79" w:rsidP="00A86526">
      <w:pPr>
        <w:pStyle w:val="P68B1DB1-ListParagraph2"/>
        <w:numPr>
          <w:ilvl w:val="5"/>
          <w:numId w:val="52"/>
        </w:numPr>
        <w:tabs>
          <w:tab w:val="left" w:pos="1821"/>
        </w:tabs>
        <w:spacing w:before="1" w:line="273" w:lineRule="auto"/>
        <w:ind w:left="1556" w:right="134" w:firstLine="0"/>
        <w:rPr>
          <w:rFonts w:ascii="Times New Roman" w:hAnsi="Times New Roman" w:cs="Times New Roman"/>
          <w:b w:val="0"/>
          <w:szCs w:val="22"/>
        </w:rPr>
      </w:pPr>
      <w:r w:rsidRPr="00C1292D">
        <w:rPr>
          <w:rFonts w:ascii="Times New Roman" w:hAnsi="Times New Roman" w:cs="Times New Roman"/>
          <w:b w:val="0"/>
          <w:szCs w:val="22"/>
        </w:rPr>
        <w:t>Based on the decision of the Court or the Board or in case it is determined that illegal or illegal natural gas is used,</w:t>
      </w:r>
    </w:p>
    <w:p w14:paraId="29BF8C76" w14:textId="77777777" w:rsidR="004C0A79" w:rsidRPr="00C1292D" w:rsidRDefault="004C0A79" w:rsidP="00A86526">
      <w:pPr>
        <w:pStyle w:val="P68B1DB1-ListParagraph2"/>
        <w:numPr>
          <w:ilvl w:val="5"/>
          <w:numId w:val="52"/>
        </w:numPr>
        <w:tabs>
          <w:tab w:val="left" w:pos="1941"/>
        </w:tabs>
        <w:spacing w:before="4" w:line="276" w:lineRule="auto"/>
        <w:ind w:left="1556" w:right="132" w:firstLine="0"/>
        <w:rPr>
          <w:rFonts w:ascii="Times New Roman" w:hAnsi="Times New Roman" w:cs="Times New Roman"/>
          <w:b w:val="0"/>
          <w:szCs w:val="22"/>
        </w:rPr>
      </w:pPr>
      <w:r w:rsidRPr="00C1292D">
        <w:rPr>
          <w:rFonts w:ascii="Times New Roman" w:hAnsi="Times New Roman" w:cs="Times New Roman"/>
          <w:b w:val="0"/>
          <w:szCs w:val="22"/>
        </w:rPr>
        <w:t>In case of failure to respond to the notification left by the distribution company within three working days due to the fact that the meter cannot be read for at least two invoice periods due to reasons arising from the customer,</w:t>
      </w:r>
    </w:p>
    <w:p w14:paraId="347C54E6" w14:textId="77777777" w:rsidR="004C0A79" w:rsidRPr="00C1292D" w:rsidRDefault="004C0A79" w:rsidP="00A86526">
      <w:pPr>
        <w:pStyle w:val="P68B1DB1-ListParagraph2"/>
        <w:numPr>
          <w:ilvl w:val="5"/>
          <w:numId w:val="52"/>
        </w:numPr>
        <w:tabs>
          <w:tab w:val="left" w:pos="1778"/>
        </w:tabs>
        <w:spacing w:line="268" w:lineRule="exact"/>
        <w:ind w:left="1778" w:hanging="222"/>
        <w:rPr>
          <w:rFonts w:ascii="Times New Roman" w:hAnsi="Times New Roman" w:cs="Times New Roman"/>
          <w:b w:val="0"/>
          <w:szCs w:val="22"/>
        </w:rPr>
      </w:pPr>
      <w:r w:rsidRPr="00C1292D">
        <w:rPr>
          <w:rFonts w:ascii="Times New Roman" w:hAnsi="Times New Roman" w:cs="Times New Roman"/>
          <w:b w:val="0"/>
          <w:szCs w:val="22"/>
        </w:rPr>
        <w:t>In cases in Article 63,</w:t>
      </w:r>
    </w:p>
    <w:p w14:paraId="20D1C0B7" w14:textId="77777777" w:rsidR="004C0A79" w:rsidRPr="00C1292D" w:rsidRDefault="004C0A79" w:rsidP="00A86526">
      <w:pPr>
        <w:pStyle w:val="P68B1DB1-ListParagraph2"/>
        <w:numPr>
          <w:ilvl w:val="5"/>
          <w:numId w:val="52"/>
        </w:numPr>
        <w:tabs>
          <w:tab w:val="left" w:pos="1739"/>
        </w:tabs>
        <w:spacing w:before="41"/>
        <w:ind w:left="1739" w:hanging="183"/>
        <w:rPr>
          <w:rFonts w:ascii="Times New Roman" w:hAnsi="Times New Roman" w:cs="Times New Roman"/>
          <w:b w:val="0"/>
          <w:szCs w:val="22"/>
        </w:rPr>
      </w:pPr>
      <w:r w:rsidRPr="00C1292D">
        <w:rPr>
          <w:rFonts w:ascii="Times New Roman" w:hAnsi="Times New Roman" w:cs="Times New Roman"/>
          <w:b w:val="0"/>
          <w:szCs w:val="22"/>
        </w:rPr>
        <w:t>In case of need of renovation in the building column installation,</w:t>
      </w:r>
    </w:p>
    <w:p w14:paraId="29DAF90F" w14:textId="77777777" w:rsidR="004C0A79" w:rsidRPr="00C1292D" w:rsidRDefault="004C0A79" w:rsidP="00A86526">
      <w:pPr>
        <w:pStyle w:val="P68B1DB1-ListParagraph2"/>
        <w:numPr>
          <w:ilvl w:val="5"/>
          <w:numId w:val="52"/>
        </w:numPr>
        <w:tabs>
          <w:tab w:val="left" w:pos="1879"/>
        </w:tabs>
        <w:spacing w:before="41" w:line="276" w:lineRule="auto"/>
        <w:ind w:left="1556" w:right="132" w:firstLine="0"/>
        <w:rPr>
          <w:rFonts w:ascii="Times New Roman" w:hAnsi="Times New Roman" w:cs="Times New Roman"/>
          <w:b w:val="0"/>
          <w:szCs w:val="22"/>
        </w:rPr>
      </w:pPr>
      <w:r w:rsidRPr="00C1292D">
        <w:rPr>
          <w:rFonts w:ascii="Times New Roman" w:hAnsi="Times New Roman" w:cs="Times New Roman"/>
          <w:b w:val="0"/>
          <w:szCs w:val="22"/>
        </w:rPr>
        <w:t>In the event that the meter is not made available within three days, provided that the situation is documented as a result of the notification made to the subscriber by the distribution company for the meters that cannot be reached due to reasons arising from the consumer in three consecutive billing periods,</w:t>
      </w:r>
    </w:p>
    <w:p w14:paraId="5091805A" w14:textId="77777777" w:rsidR="004C0A79" w:rsidRPr="00C1292D" w:rsidRDefault="004C0A79" w:rsidP="00A86526">
      <w:pPr>
        <w:pStyle w:val="P68B1DB1-ListParagraph2"/>
        <w:numPr>
          <w:ilvl w:val="5"/>
          <w:numId w:val="52"/>
        </w:numPr>
        <w:tabs>
          <w:tab w:val="left" w:pos="1818"/>
        </w:tabs>
        <w:spacing w:line="276" w:lineRule="auto"/>
        <w:ind w:left="1556" w:right="129" w:firstLine="0"/>
        <w:rPr>
          <w:rFonts w:ascii="Times New Roman" w:hAnsi="Times New Roman" w:cs="Times New Roman"/>
          <w:b w:val="0"/>
          <w:szCs w:val="22"/>
        </w:rPr>
      </w:pPr>
      <w:r w:rsidRPr="00C1292D">
        <w:rPr>
          <w:rFonts w:ascii="Times New Roman" w:hAnsi="Times New Roman" w:cs="Times New Roman"/>
          <w:b w:val="0"/>
          <w:szCs w:val="22"/>
        </w:rPr>
        <w:t>In the event that the internal installation cannot be checked three times in a row due to reasons arising from the customer in periodic checks,</w:t>
      </w:r>
    </w:p>
    <w:p w14:paraId="78F5D69B" w14:textId="77777777" w:rsidR="004C0A79" w:rsidRPr="00731F8E" w:rsidRDefault="004C0A79" w:rsidP="004C0A79">
      <w:pPr>
        <w:pStyle w:val="GvdeMetni"/>
        <w:spacing w:line="276" w:lineRule="auto"/>
        <w:ind w:left="1556" w:right="134"/>
        <w:rPr>
          <w:rFonts w:cs="Times New Roman"/>
          <w:szCs w:val="22"/>
        </w:rPr>
      </w:pPr>
      <w:r w:rsidRPr="00731F8E">
        <w:rPr>
          <w:rFonts w:cs="Times New Roman"/>
          <w:szCs w:val="22"/>
        </w:rPr>
        <w:t>ı) In the event that the meter cannot be checked three times in a row, provided that a notification is left due to reasons arising from the customer in the annual meter checks or field checks carried out by the distribution company,</w:t>
      </w:r>
    </w:p>
    <w:p w14:paraId="0A36F751" w14:textId="77777777" w:rsidR="004C0A79" w:rsidRPr="00C1292D" w:rsidRDefault="004C0A79" w:rsidP="00A86526">
      <w:pPr>
        <w:pStyle w:val="P68B1DB1-ListParagraph2"/>
        <w:numPr>
          <w:ilvl w:val="5"/>
          <w:numId w:val="52"/>
        </w:numPr>
        <w:tabs>
          <w:tab w:val="left" w:pos="1712"/>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In the event that the security deposit is paid in installments, if any of the installments is not paid within fifteen days from the due date, by notifying at least two of the methods such as text message, telephone, e-mail, notification under invoice and similar methods at least 3 (three) business days in advance of the natural gas interruption,</w:t>
      </w:r>
    </w:p>
    <w:p w14:paraId="79BA8D67" w14:textId="77777777" w:rsidR="004C0A79" w:rsidRPr="00C1292D" w:rsidRDefault="004C0A79" w:rsidP="00A86526">
      <w:pPr>
        <w:pStyle w:val="P68B1DB1-ListParagraph2"/>
        <w:numPr>
          <w:ilvl w:val="5"/>
          <w:numId w:val="52"/>
        </w:numPr>
        <w:tabs>
          <w:tab w:val="left" w:pos="1762"/>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In accordance with the relevant legislation, provided that the necessary notifications have been made 1 (one) month in advance that the natural gas supply to the relevant eligible consumer will be stopped if the obligations regarding the installation of the communication system or automatic volume corrector or the update determined on the security deposit applications are not fulfilled,</w:t>
      </w:r>
    </w:p>
    <w:p w14:paraId="04CFA45A" w14:textId="77777777" w:rsidR="004C0A79" w:rsidRPr="00C1292D" w:rsidRDefault="004C0A79" w:rsidP="00A86526">
      <w:pPr>
        <w:pStyle w:val="P68B1DB1-ListParagraph2"/>
        <w:numPr>
          <w:ilvl w:val="5"/>
          <w:numId w:val="52"/>
        </w:numPr>
        <w:tabs>
          <w:tab w:val="left" w:pos="1772"/>
        </w:tabs>
        <w:ind w:left="1772" w:hanging="217"/>
        <w:rPr>
          <w:rFonts w:ascii="Times New Roman" w:hAnsi="Times New Roman" w:cs="Times New Roman"/>
          <w:b w:val="0"/>
          <w:szCs w:val="22"/>
        </w:rPr>
      </w:pPr>
      <w:r w:rsidRPr="00C1292D">
        <w:rPr>
          <w:rFonts w:ascii="Times New Roman" w:hAnsi="Times New Roman" w:cs="Times New Roman"/>
          <w:b w:val="0"/>
          <w:szCs w:val="22"/>
        </w:rPr>
        <w:t>In compulsory cases arising from other legislation.</w:t>
      </w:r>
    </w:p>
    <w:p w14:paraId="2CE0D4F5" w14:textId="77777777" w:rsidR="004C0A79" w:rsidRPr="00731F8E" w:rsidRDefault="004C0A79" w:rsidP="004C0A79">
      <w:pPr>
        <w:pStyle w:val="GvdeMetni"/>
        <w:spacing w:before="38" w:line="276" w:lineRule="auto"/>
        <w:ind w:left="1555" w:right="132"/>
        <w:rPr>
          <w:rFonts w:cs="Times New Roman"/>
          <w:szCs w:val="22"/>
        </w:rPr>
      </w:pPr>
      <w:r w:rsidRPr="00731F8E">
        <w:rPr>
          <w:rFonts w:cs="Times New Roman"/>
          <w:szCs w:val="22"/>
        </w:rPr>
        <w:t>The reading of the meters whose service is stopped is also carried out within the scope of the provisions of Article 48.</w:t>
      </w:r>
    </w:p>
    <w:p w14:paraId="485680B0"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Gas supply cannot be stopped if the calculated equivalent of the consumption amount based on the unpaid invoices specified in clause (b) of the first paragraph does not exceed 3 (three) times the meter opening-closing price determined for G4 meters. However, if the invoice is not paid for 3 (three) months, the service may be stopped by cutting off natural gas, regardless of the amount, provided that the necessary notifications are made by the method specified in clause (b). Additionally;</w:t>
      </w:r>
    </w:p>
    <w:p w14:paraId="3993B6EE" w14:textId="77777777" w:rsidR="004C0A79" w:rsidRPr="00C1292D" w:rsidRDefault="004C0A79" w:rsidP="004C0A79">
      <w:pPr>
        <w:pStyle w:val="P68B1DB1-ListParagraph2"/>
        <w:tabs>
          <w:tab w:val="left" w:pos="1781"/>
        </w:tabs>
        <w:spacing w:before="1"/>
        <w:ind w:firstLine="5"/>
        <w:jc w:val="left"/>
        <w:rPr>
          <w:rFonts w:ascii="Times New Roman" w:hAnsi="Times New Roman" w:cs="Times New Roman"/>
          <w:b w:val="0"/>
          <w:szCs w:val="22"/>
        </w:rPr>
      </w:pPr>
      <w:r w:rsidRPr="00C1292D">
        <w:rPr>
          <w:rFonts w:ascii="Times New Roman" w:hAnsi="Times New Roman" w:cs="Times New Roman"/>
          <w:b w:val="0"/>
          <w:szCs w:val="22"/>
        </w:rPr>
        <w:t xml:space="preserve">Provided that the invoice for a subscription is not paid for at least three periods and the distribution company makes the necessary notifications using the method specified in clause (b), gas supply may be stopped of; </w:t>
      </w:r>
    </w:p>
    <w:p w14:paraId="72DD9DE0" w14:textId="77777777" w:rsidR="004C0A79" w:rsidRPr="00C1292D" w:rsidRDefault="004C0A79" w:rsidP="004C0A79">
      <w:pPr>
        <w:pStyle w:val="P68B1DB1-ListParagraph2"/>
        <w:tabs>
          <w:tab w:val="left" w:pos="1781"/>
        </w:tabs>
        <w:spacing w:before="1"/>
        <w:ind w:firstLine="5"/>
        <w:jc w:val="left"/>
        <w:rPr>
          <w:rFonts w:ascii="Times New Roman" w:hAnsi="Times New Roman" w:cs="Times New Roman"/>
          <w:b w:val="0"/>
          <w:szCs w:val="22"/>
        </w:rPr>
      </w:pPr>
      <w:r w:rsidRPr="00C1292D">
        <w:rPr>
          <w:rFonts w:ascii="Times New Roman" w:hAnsi="Times New Roman" w:cs="Times New Roman"/>
          <w:b w:val="0"/>
          <w:szCs w:val="22"/>
        </w:rPr>
        <w:t xml:space="preserve">1) Consumers over 65 years of age, </w:t>
      </w:r>
    </w:p>
    <w:p w14:paraId="3AFE9D46" w14:textId="77777777" w:rsidR="004C0A79" w:rsidRPr="00C1292D" w:rsidRDefault="004C0A79" w:rsidP="004C0A79">
      <w:pPr>
        <w:pStyle w:val="P68B1DB1-ListParagraph2"/>
        <w:tabs>
          <w:tab w:val="left" w:pos="1781"/>
        </w:tabs>
        <w:spacing w:before="1"/>
        <w:ind w:firstLine="5"/>
        <w:jc w:val="left"/>
        <w:rPr>
          <w:rFonts w:ascii="Times New Roman" w:hAnsi="Times New Roman" w:cs="Times New Roman"/>
          <w:b w:val="0"/>
          <w:szCs w:val="22"/>
        </w:rPr>
      </w:pPr>
      <w:r w:rsidRPr="00C1292D">
        <w:rPr>
          <w:rFonts w:ascii="Times New Roman" w:hAnsi="Times New Roman" w:cs="Times New Roman"/>
          <w:b w:val="0"/>
          <w:szCs w:val="22"/>
        </w:rPr>
        <w:t xml:space="preserve">2) Consumers at the addresses of residence of individuals who live constantly connected to the device in a way that poses a life-threatening risk and whose reports are submitted to the distribution company, </w:t>
      </w:r>
    </w:p>
    <w:p w14:paraId="54E46CDB" w14:textId="77777777" w:rsidR="004C0A79" w:rsidRPr="00C1292D" w:rsidRDefault="004C0A79" w:rsidP="004C0A79">
      <w:pPr>
        <w:pStyle w:val="P68B1DB1-ListParagraph2"/>
        <w:tabs>
          <w:tab w:val="left" w:pos="1781"/>
        </w:tabs>
        <w:spacing w:before="1"/>
        <w:ind w:firstLine="5"/>
        <w:jc w:val="left"/>
        <w:rPr>
          <w:rFonts w:ascii="Times New Roman" w:hAnsi="Times New Roman" w:cs="Times New Roman"/>
          <w:b w:val="0"/>
          <w:szCs w:val="22"/>
        </w:rPr>
      </w:pPr>
      <w:r w:rsidRPr="00C1292D">
        <w:rPr>
          <w:rFonts w:ascii="Times New Roman" w:hAnsi="Times New Roman" w:cs="Times New Roman"/>
          <w:b w:val="0"/>
          <w:szCs w:val="22"/>
        </w:rPr>
        <w:t>3) Families of martyrs and combat/disabled veteran consumers who meet the criteria in other legislation,</w:t>
      </w:r>
    </w:p>
    <w:p w14:paraId="5A30F303" w14:textId="77777777" w:rsidR="004C0A79" w:rsidRPr="00731F8E" w:rsidRDefault="004C0A79" w:rsidP="004C0A79">
      <w:pPr>
        <w:pStyle w:val="GvdeMetni"/>
        <w:spacing w:before="5" w:line="276" w:lineRule="auto"/>
        <w:ind w:left="1556" w:right="132"/>
        <w:rPr>
          <w:rFonts w:cs="Times New Roman"/>
          <w:szCs w:val="22"/>
        </w:rPr>
      </w:pPr>
      <w:r w:rsidRPr="00731F8E">
        <w:rPr>
          <w:rFonts w:cs="Times New Roman"/>
          <w:szCs w:val="22"/>
        </w:rPr>
        <w:t>If installment is requested for the payment of the debt, 4 (four) equal installments are made by the distribution company.</w:t>
      </w:r>
    </w:p>
    <w:p w14:paraId="22E791AF" w14:textId="77777777" w:rsidR="004C0A79" w:rsidRPr="00731F8E" w:rsidRDefault="004C0A79" w:rsidP="004C0A79">
      <w:pPr>
        <w:pStyle w:val="GvdeMetni"/>
        <w:spacing w:before="37" w:line="276" w:lineRule="auto"/>
        <w:ind w:left="1555" w:right="133"/>
        <w:rPr>
          <w:rFonts w:cs="Times New Roman"/>
          <w:szCs w:val="22"/>
        </w:rPr>
      </w:pPr>
      <w:r w:rsidRPr="00731F8E">
        <w:rPr>
          <w:rFonts w:cs="Times New Roman"/>
          <w:szCs w:val="22"/>
        </w:rPr>
        <w:t xml:space="preserve">Except for clauses (c) and (e) of the first paragraph, natural gas service interruptions are made during working hours and outside of public holidays. No deductions can be made for residential customers on Fridays and the day before the public holidays start. In addition, the notification to be sent regarding the above-mentioned service interruptions is arranged in a clear and easy-to-understand manner, and its content includes the date and reason for the service interruption and the phone numbers of the distribution company in order to obtain more </w:t>
      </w:r>
      <w:r w:rsidRPr="00731F8E">
        <w:rPr>
          <w:rFonts w:cs="Times New Roman"/>
          <w:szCs w:val="22"/>
        </w:rPr>
        <w:lastRenderedPageBreak/>
        <w:t>information on this subject.</w:t>
      </w:r>
    </w:p>
    <w:p w14:paraId="28CCA704" w14:textId="77777777" w:rsidR="004C0A79" w:rsidRPr="00731F8E" w:rsidRDefault="004C0A79" w:rsidP="004C0A79">
      <w:pPr>
        <w:pStyle w:val="GvdeMetni"/>
        <w:spacing w:before="2" w:line="276" w:lineRule="auto"/>
        <w:ind w:left="1556" w:right="134"/>
        <w:rPr>
          <w:rFonts w:cs="Times New Roman"/>
          <w:szCs w:val="22"/>
        </w:rPr>
      </w:pPr>
      <w:r w:rsidRPr="00731F8E">
        <w:rPr>
          <w:rFonts w:cs="Times New Roman"/>
          <w:szCs w:val="22"/>
        </w:rPr>
        <w:t>When a natural gas service interruption is made, a reasoned notification that the service has been stopped is left to the address of the consumer. In addition, a notification is sent to the consumer's phone by text message."</w:t>
      </w:r>
    </w:p>
    <w:p w14:paraId="4E300005" w14:textId="77777777" w:rsidR="004C0A79" w:rsidRPr="00731F8E" w:rsidRDefault="004C0A79" w:rsidP="004C0A79">
      <w:pPr>
        <w:pStyle w:val="GvdeMetni"/>
        <w:spacing w:before="38"/>
        <w:rPr>
          <w:rFonts w:cs="Times New Roman"/>
          <w:szCs w:val="22"/>
        </w:rPr>
      </w:pPr>
    </w:p>
    <w:p w14:paraId="227DA92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45 has been amended as follows.</w:t>
      </w:r>
    </w:p>
    <w:p w14:paraId="49CF98EF" w14:textId="77777777" w:rsidR="004C0A79" w:rsidRPr="00731F8E" w:rsidRDefault="004C0A79" w:rsidP="004C0A79">
      <w:pPr>
        <w:pStyle w:val="GvdeMetni"/>
        <w:spacing w:before="62"/>
        <w:rPr>
          <w:rFonts w:cs="Times New Roman"/>
          <w:i/>
          <w:szCs w:val="22"/>
        </w:rPr>
      </w:pPr>
    </w:p>
    <w:p w14:paraId="3C2AD926"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"Article 45- Upon the fulfillment of the obligations of the customer whose natural gas has been cut off and his application to the distribution company, the customer shall be given natural gas again as soon as possible, not exceeding 24 (twenty-four) hours, except for clauses (c) and (e) of the first paragraph of Article 44. In the cases defined in clauses (c) and (e) of the first paragraph of Article 44, this period starts from the disappearance of the said situation. However, if necessary, the procedures regarding the checks and tests of the internal installation are carried out again within this period. The meter opening and closing fee determined by the Board for the relevant year shall be charged to the customer whose natural gas is cut in accordance with the other provisions of the first paragraph of Article 44, except for clauses (a), (e), (f), (h), (ı) and (k)."</w:t>
      </w:r>
    </w:p>
    <w:p w14:paraId="52D955DA" w14:textId="77777777" w:rsidR="004C0A79" w:rsidRPr="00731F8E" w:rsidRDefault="004C0A79" w:rsidP="004C0A79">
      <w:pPr>
        <w:pStyle w:val="GvdeMetni"/>
        <w:spacing w:before="40"/>
        <w:rPr>
          <w:rFonts w:cs="Times New Roman"/>
          <w:szCs w:val="22"/>
        </w:rPr>
      </w:pPr>
    </w:p>
    <w:p w14:paraId="76BF7E3C"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46 is amended as follows.</w:t>
      </w:r>
    </w:p>
    <w:p w14:paraId="2B5AAF2C" w14:textId="77777777" w:rsidR="004C0A79" w:rsidRPr="00731F8E" w:rsidRDefault="004C0A79" w:rsidP="004C0A79">
      <w:pPr>
        <w:pStyle w:val="GvdeMetni"/>
        <w:spacing w:before="60"/>
        <w:rPr>
          <w:rFonts w:cs="Times New Roman"/>
          <w:i/>
          <w:szCs w:val="22"/>
        </w:rPr>
      </w:pPr>
    </w:p>
    <w:p w14:paraId="50FEE9B3" w14:textId="77777777" w:rsidR="004C0A79" w:rsidRPr="00731F8E" w:rsidRDefault="004C0A79" w:rsidP="004C0A79">
      <w:pPr>
        <w:pStyle w:val="GvdeMetni"/>
        <w:ind w:left="1555"/>
        <w:rPr>
          <w:rFonts w:cs="Times New Roman"/>
          <w:szCs w:val="22"/>
        </w:rPr>
      </w:pPr>
      <w:r w:rsidRPr="00731F8E">
        <w:rPr>
          <w:rFonts w:cs="Times New Roman"/>
          <w:szCs w:val="22"/>
        </w:rPr>
        <w:t>“Article 46- Customer contract is terminated by the distribution company within 3 (three) business days at the latest in the following cases;</w:t>
      </w:r>
    </w:p>
    <w:p w14:paraId="5E585323" w14:textId="77777777" w:rsidR="004C0A79" w:rsidRPr="00C1292D" w:rsidRDefault="004C0A79" w:rsidP="00A86526">
      <w:pPr>
        <w:pStyle w:val="P68B1DB1-ListParagraph2"/>
        <w:numPr>
          <w:ilvl w:val="5"/>
          <w:numId w:val="52"/>
        </w:numPr>
        <w:tabs>
          <w:tab w:val="left" w:pos="1824"/>
        </w:tabs>
        <w:spacing w:before="41" w:line="273" w:lineRule="auto"/>
        <w:ind w:right="137" w:firstLine="0"/>
        <w:rPr>
          <w:rFonts w:ascii="Times New Roman" w:hAnsi="Times New Roman" w:cs="Times New Roman"/>
          <w:b w:val="0"/>
          <w:szCs w:val="22"/>
        </w:rPr>
      </w:pPr>
      <w:r w:rsidRPr="00C1292D">
        <w:rPr>
          <w:rFonts w:ascii="Times New Roman" w:hAnsi="Times New Roman" w:cs="Times New Roman"/>
          <w:b w:val="0"/>
          <w:szCs w:val="22"/>
        </w:rPr>
        <w:t>Upon the application of the customer or its authorized representative on behalf of the customer to the distribution company,</w:t>
      </w:r>
    </w:p>
    <w:p w14:paraId="7D7A611E" w14:textId="77777777" w:rsidR="004C0A79" w:rsidRPr="00C1292D" w:rsidRDefault="004C0A79" w:rsidP="00A86526">
      <w:pPr>
        <w:pStyle w:val="P68B1DB1-ListParagraph2"/>
        <w:numPr>
          <w:ilvl w:val="5"/>
          <w:numId w:val="52"/>
        </w:numPr>
        <w:tabs>
          <w:tab w:val="left" w:pos="1784"/>
        </w:tabs>
        <w:spacing w:before="5" w:line="276" w:lineRule="auto"/>
        <w:ind w:right="133" w:firstLine="0"/>
        <w:rPr>
          <w:rFonts w:ascii="Times New Roman" w:hAnsi="Times New Roman" w:cs="Times New Roman"/>
          <w:b w:val="0"/>
          <w:szCs w:val="22"/>
        </w:rPr>
      </w:pPr>
      <w:r w:rsidRPr="00C1292D">
        <w:rPr>
          <w:rFonts w:ascii="Times New Roman" w:hAnsi="Times New Roman" w:cs="Times New Roman"/>
          <w:b w:val="0"/>
          <w:szCs w:val="22"/>
        </w:rPr>
        <w:t>In the event that the customer fails to pay its debt to the distribution company for a period of three months from the due date,</w:t>
      </w:r>
    </w:p>
    <w:p w14:paraId="5AECC252" w14:textId="77777777" w:rsidR="004C0A79" w:rsidRPr="00C1292D" w:rsidRDefault="004C0A79" w:rsidP="00A86526">
      <w:pPr>
        <w:pStyle w:val="P68B1DB1-ListParagraph2"/>
        <w:numPr>
          <w:ilvl w:val="5"/>
          <w:numId w:val="52"/>
        </w:numPr>
        <w:tabs>
          <w:tab w:val="left" w:pos="1762"/>
        </w:tabs>
        <w:spacing w:line="268" w:lineRule="exact"/>
        <w:ind w:left="1762" w:hanging="207"/>
        <w:rPr>
          <w:rFonts w:ascii="Times New Roman" w:hAnsi="Times New Roman" w:cs="Times New Roman"/>
          <w:b w:val="0"/>
          <w:szCs w:val="22"/>
        </w:rPr>
      </w:pPr>
      <w:r w:rsidRPr="00C1292D">
        <w:rPr>
          <w:rFonts w:ascii="Times New Roman" w:hAnsi="Times New Roman" w:cs="Times New Roman"/>
          <w:b w:val="0"/>
          <w:szCs w:val="22"/>
        </w:rPr>
        <w:t>In the event that the death of the customer is determined,</w:t>
      </w:r>
    </w:p>
    <w:p w14:paraId="47E79888" w14:textId="77777777" w:rsidR="004C0A79" w:rsidRPr="00C1292D" w:rsidRDefault="004C0A79" w:rsidP="00A86526">
      <w:pPr>
        <w:pStyle w:val="P68B1DB1-ListParagraph2"/>
        <w:numPr>
          <w:ilvl w:val="5"/>
          <w:numId w:val="52"/>
        </w:numPr>
        <w:tabs>
          <w:tab w:val="left" w:pos="1784"/>
        </w:tabs>
        <w:spacing w:before="41"/>
        <w:ind w:left="1784" w:hanging="229"/>
        <w:rPr>
          <w:rFonts w:ascii="Times New Roman" w:hAnsi="Times New Roman" w:cs="Times New Roman"/>
          <w:b w:val="0"/>
          <w:szCs w:val="22"/>
        </w:rPr>
      </w:pPr>
      <w:r w:rsidRPr="00C1292D">
        <w:rPr>
          <w:rFonts w:ascii="Times New Roman" w:hAnsi="Times New Roman" w:cs="Times New Roman"/>
          <w:b w:val="0"/>
          <w:szCs w:val="22"/>
        </w:rPr>
        <w:t>In the event that the legal entity of the customer is terminated,</w:t>
      </w:r>
    </w:p>
    <w:p w14:paraId="1AD383F5" w14:textId="77777777" w:rsidR="004C0A79" w:rsidRPr="00C1292D" w:rsidRDefault="004C0A79" w:rsidP="00A86526">
      <w:pPr>
        <w:pStyle w:val="P68B1DB1-ListParagraph2"/>
        <w:numPr>
          <w:ilvl w:val="5"/>
          <w:numId w:val="52"/>
        </w:numPr>
        <w:tabs>
          <w:tab w:val="left" w:pos="1789"/>
        </w:tabs>
        <w:spacing w:before="41" w:line="273" w:lineRule="auto"/>
        <w:ind w:right="138" w:firstLine="0"/>
        <w:rPr>
          <w:rFonts w:ascii="Times New Roman" w:hAnsi="Times New Roman" w:cs="Times New Roman"/>
          <w:b w:val="0"/>
          <w:szCs w:val="22"/>
        </w:rPr>
      </w:pPr>
      <w:r w:rsidRPr="00C1292D">
        <w:rPr>
          <w:rFonts w:ascii="Times New Roman" w:hAnsi="Times New Roman" w:cs="Times New Roman"/>
          <w:b w:val="0"/>
          <w:szCs w:val="22"/>
        </w:rPr>
        <w:t>In the event that it is determined that the customer has left the address subject to the contract without terminating the contract,</w:t>
      </w:r>
    </w:p>
    <w:p w14:paraId="3F7A0CB8" w14:textId="77777777" w:rsidR="004C0A79" w:rsidRPr="00C1292D" w:rsidRDefault="004C0A79" w:rsidP="00A86526">
      <w:pPr>
        <w:pStyle w:val="P68B1DB1-ListParagraph2"/>
        <w:numPr>
          <w:ilvl w:val="5"/>
          <w:numId w:val="52"/>
        </w:numPr>
        <w:tabs>
          <w:tab w:val="left" w:pos="1741"/>
        </w:tabs>
        <w:spacing w:before="4" w:line="276" w:lineRule="auto"/>
        <w:ind w:right="136" w:firstLine="0"/>
        <w:rPr>
          <w:rFonts w:ascii="Times New Roman" w:hAnsi="Times New Roman" w:cs="Times New Roman"/>
          <w:b w:val="0"/>
          <w:szCs w:val="22"/>
        </w:rPr>
      </w:pPr>
      <w:r w:rsidRPr="00C1292D">
        <w:rPr>
          <w:rFonts w:ascii="Times New Roman" w:hAnsi="Times New Roman" w:cs="Times New Roman"/>
          <w:b w:val="0"/>
          <w:szCs w:val="22"/>
        </w:rPr>
        <w:t>In the event that the security deposit is paid in installments by the distribution company, if any installment is not paid for a period of three months,</w:t>
      </w:r>
    </w:p>
    <w:p w14:paraId="4846C9F5" w14:textId="77777777" w:rsidR="004C0A79" w:rsidRPr="00C1292D" w:rsidRDefault="004C0A79" w:rsidP="00A86526">
      <w:pPr>
        <w:pStyle w:val="P68B1DB1-ListParagraph2"/>
        <w:numPr>
          <w:ilvl w:val="5"/>
          <w:numId w:val="52"/>
        </w:numPr>
        <w:tabs>
          <w:tab w:val="left" w:pos="1853"/>
        </w:tabs>
        <w:spacing w:line="276" w:lineRule="auto"/>
        <w:ind w:right="133" w:firstLine="0"/>
        <w:rPr>
          <w:rFonts w:ascii="Times New Roman" w:hAnsi="Times New Roman" w:cs="Times New Roman"/>
          <w:b w:val="0"/>
          <w:szCs w:val="22"/>
        </w:rPr>
      </w:pPr>
      <w:r w:rsidRPr="00C1292D">
        <w:rPr>
          <w:rFonts w:ascii="Times New Roman" w:hAnsi="Times New Roman" w:cs="Times New Roman"/>
          <w:b w:val="0"/>
          <w:szCs w:val="22"/>
        </w:rPr>
        <w:t>In the event that illegal natural gas use is detected 3 (three) times in 1 (one) year,</w:t>
      </w:r>
    </w:p>
    <w:p w14:paraId="5EBE910C"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However, for consumers within the scope of the second paragraph of Article 44, the period specified in clause (b) of this paragraph shall be applied as 6 (six) months.</w:t>
      </w:r>
    </w:p>
    <w:p w14:paraId="4FCF596B" w14:textId="77777777" w:rsidR="004C0A79" w:rsidRPr="00731F8E" w:rsidRDefault="004C0A79" w:rsidP="004C0A79">
      <w:pPr>
        <w:pStyle w:val="GvdeMetni"/>
        <w:spacing w:line="276" w:lineRule="auto"/>
        <w:ind w:left="1555" w:right="136"/>
        <w:rPr>
          <w:rFonts w:cs="Times New Roman"/>
          <w:szCs w:val="22"/>
        </w:rPr>
      </w:pPr>
      <w:r w:rsidRPr="00731F8E">
        <w:rPr>
          <w:rFonts w:cs="Times New Roman"/>
          <w:szCs w:val="22"/>
        </w:rPr>
        <w:t>Customer receivables that are not recovered within ten years after the account liquidation are transferred to the Treasury by the distribution company through the relevant provincial registry office to be recorded as revenue at the end of the relevant year.</w:t>
      </w:r>
    </w:p>
    <w:p w14:paraId="60A63277"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The shut-off valve of the customer whose contract is terminated or to be terminated is closed with the appropriate apparatus and the natural gas supply is stopped. The last measurement value of the customer meter at the time of shutdown is determined in a report, its photograph is taken and archived, accrual is made based on this determined value, and the customer account is liquidated by calculating the customer's other debts and receivables, if any.</w:t>
      </w:r>
    </w:p>
    <w:p w14:paraId="62EADBD7" w14:textId="77777777" w:rsidR="004C0A79" w:rsidRPr="00731F8E" w:rsidRDefault="004C0A79" w:rsidP="004C0A79">
      <w:pPr>
        <w:pStyle w:val="GvdeMetni"/>
        <w:spacing w:line="276" w:lineRule="auto"/>
        <w:ind w:left="1556" w:right="134"/>
        <w:rPr>
          <w:rFonts w:cs="Times New Roman"/>
          <w:szCs w:val="22"/>
        </w:rPr>
      </w:pPr>
      <w:r w:rsidRPr="00731F8E">
        <w:rPr>
          <w:rFonts w:cs="Times New Roman"/>
          <w:szCs w:val="22"/>
        </w:rPr>
        <w:t>If the customer has a receivable, it shall be paid to the customer or its authorized representative within 15 (fifteen) days at the latest from the date of the request for the termination of the subscription agreement by the customer or the date it is terminated ex officio by the distribution company.</w:t>
      </w:r>
    </w:p>
    <w:p w14:paraId="6700B46C"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In the event that the subscriber leaves the address where he/she resides without terminating his/her contract, a new subscription contract is made with the real and legal entity moved to the address in question. In addition, the new subscriber cannot be requested to assume the debts arising from the consumption of other subscribers for previous periods at the same address."</w:t>
      </w:r>
    </w:p>
    <w:p w14:paraId="211693F7" w14:textId="77777777" w:rsidR="004C0A79" w:rsidRPr="00731F8E" w:rsidRDefault="004C0A79" w:rsidP="004C0A79">
      <w:pPr>
        <w:pStyle w:val="GvdeMetni"/>
        <w:spacing w:before="41"/>
        <w:rPr>
          <w:rFonts w:cs="Times New Roman"/>
          <w:szCs w:val="22"/>
        </w:rPr>
      </w:pPr>
    </w:p>
    <w:p w14:paraId="7A372073"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47, together with its title, has been amended as follows.</w:t>
      </w:r>
    </w:p>
    <w:p w14:paraId="2FE4E50C" w14:textId="77777777" w:rsidR="004C0A79" w:rsidRPr="00731F8E" w:rsidRDefault="004C0A79" w:rsidP="004C0A79">
      <w:pPr>
        <w:pStyle w:val="GvdeMetni"/>
        <w:spacing w:before="60"/>
        <w:rPr>
          <w:rFonts w:cs="Times New Roman"/>
          <w:i/>
          <w:szCs w:val="22"/>
        </w:rPr>
      </w:pPr>
    </w:p>
    <w:p w14:paraId="7B33CE34" w14:textId="77777777" w:rsidR="004C0A79" w:rsidRPr="00731F8E" w:rsidRDefault="004C0A79" w:rsidP="004C0A79">
      <w:pPr>
        <w:pStyle w:val="GvdeMetni"/>
        <w:ind w:left="1556"/>
        <w:rPr>
          <w:rFonts w:cs="Times New Roman"/>
          <w:szCs w:val="22"/>
        </w:rPr>
      </w:pPr>
      <w:r w:rsidRPr="00731F8E">
        <w:rPr>
          <w:rFonts w:cs="Times New Roman"/>
          <w:szCs w:val="22"/>
        </w:rPr>
        <w:t>“Customer complaints, information and other services</w:t>
      </w:r>
    </w:p>
    <w:p w14:paraId="0D7AA0B9" w14:textId="77777777" w:rsidR="004C0A79" w:rsidRPr="00731F8E" w:rsidRDefault="004C0A79" w:rsidP="004C0A79">
      <w:pPr>
        <w:pStyle w:val="GvdeMetni"/>
        <w:spacing w:before="41" w:line="276" w:lineRule="auto"/>
        <w:ind w:left="1555" w:right="131"/>
        <w:rPr>
          <w:rFonts w:cs="Times New Roman"/>
          <w:szCs w:val="22"/>
        </w:rPr>
      </w:pPr>
      <w:r w:rsidRPr="00731F8E">
        <w:rPr>
          <w:rFonts w:cs="Times New Roman"/>
          <w:szCs w:val="22"/>
        </w:rPr>
        <w:t xml:space="preserve">Article 47- The customer makes all kinds of complaints about the use of natural gas to the customer service unit of the distribution company. The customer can make the complaint in person, in writing, by phone, fax or via </w:t>
      </w:r>
      <w:r w:rsidRPr="00731F8E">
        <w:rPr>
          <w:rFonts w:cs="Times New Roman"/>
          <w:szCs w:val="22"/>
        </w:rPr>
        <w:lastRenderedPageBreak/>
        <w:t>the internet. The distribution company shall respond to the complaints and/or take the necessary actions within fifteen days at the latest according to the nature of the complaint from the date of application, taking into account the request of the customer. Customer complaints and transactions are recorded by the distribution company and forwarded to the Authority upon request.</w:t>
      </w:r>
    </w:p>
    <w:p w14:paraId="34748830"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A call center is established by distribution companies to provide 24-hour uninterrupted service to consumers. Distribution companies may procure services in relation to call services for consumers. The calls made in the call center to be established by the distribution companies to assist the users in informing and directing the users about the objections, complaints and requests regarding their fields of activity are recorded audio. The call center should allow the caller to easily reach the operator. All transactions made on the call center system regarding the calls made to the call center and the calls back made by the call center are recorded. Responses and feedbacks to be made for information are made by e-mail, phone or text message or in writing in accordance with the request of the caller. In addition, all transaction records and voice recordings related to call center calls and records related to transactions such as authorization, adjustment, update, menu tree changes, announcement changes affecting the operation of the call center system are stored in the call center system in a directly accessible form for a minimum of 1 (one) year and in the backup units for a minimum of 5 (five) years.</w:t>
      </w:r>
    </w:p>
    <w:p w14:paraId="75996F01"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Distribution companies create a "Complaint Application System" on their websites where consumers can submit their complaints, which can be easily accessed, which allows the applications made to be followed up by consumers and which allows the consumer to upload the document subject to the complaint. The records created in this context are kept for 5 (five) years by taking the necessary measures within the scope of the Personal Data Protection Law dated 24/3/2016 and numbered 6698.</w:t>
      </w:r>
    </w:p>
    <w:p w14:paraId="1A4463D7"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Distribution companies establish a system that will allow consumers to update their mobile, fixed and electronic contact information and billing preferences that they provide to the distribution companies.</w:t>
      </w:r>
    </w:p>
    <w:p w14:paraId="4CB6E6ED" w14:textId="77777777" w:rsidR="004C0A79" w:rsidRPr="00731F8E" w:rsidRDefault="004C0A79" w:rsidP="004C0A79">
      <w:pPr>
        <w:pStyle w:val="GvdeMetni"/>
        <w:spacing w:before="37" w:line="276" w:lineRule="auto"/>
        <w:ind w:left="1555" w:right="132"/>
        <w:rPr>
          <w:rFonts w:cs="Times New Roman"/>
          <w:szCs w:val="22"/>
        </w:rPr>
      </w:pPr>
      <w:r w:rsidRPr="00731F8E">
        <w:rPr>
          <w:rFonts w:cs="Times New Roman"/>
          <w:szCs w:val="22"/>
        </w:rPr>
        <w:t>The currentness, accuracy and responsibility of the information changed by customers in this system established by the distribution company belongs to the customer. This system should allow the consumption for the last 3 (three) years to be questioned with the estimated invoice calculation and the information of the consumer based on the retrospective invoice should be available in the system. Distribution companies also include other information that will be needed in this system.</w:t>
      </w:r>
    </w:p>
    <w:p w14:paraId="1FC5F84D" w14:textId="77777777" w:rsidR="004C0A79" w:rsidRPr="00731F8E" w:rsidRDefault="004C0A79" w:rsidP="004C0A79">
      <w:pPr>
        <w:pStyle w:val="GvdeMetni"/>
        <w:spacing w:before="2" w:line="276" w:lineRule="auto"/>
        <w:ind w:left="1555" w:right="132"/>
        <w:rPr>
          <w:rFonts w:cs="Times New Roman"/>
          <w:szCs w:val="22"/>
        </w:rPr>
      </w:pPr>
      <w:r w:rsidRPr="00731F8E">
        <w:rPr>
          <w:rFonts w:cs="Times New Roman"/>
          <w:szCs w:val="22"/>
        </w:rPr>
        <w:t>Distribution companies are obliged to carry out the necessary information activities in order to ensure that consumers receive services in an adequate, safe, continuous and easy way and to learn about service options.</w:t>
      </w:r>
    </w:p>
    <w:p w14:paraId="08D37286"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The task of informing consumers is carried out by the relevant distribution company through appropriate channels. Tools such as brochures, catalogues can be distributed to consumers free of charge by distribution companies and/or e-mail or text message can be sent. The information to be provided within the scope of this article shall also be published in a form that can be easily accessed through the website.</w:t>
      </w:r>
    </w:p>
    <w:p w14:paraId="32DD3C46"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The "Frequently Asked Questions" section is created on the website by considering the applications made by consumers by the distribution company. In addition, modules where consumption invoices, security deposit and subscriber connection fee can be calculated are created on the website of the distribution company.</w:t>
      </w:r>
    </w:p>
    <w:p w14:paraId="6C5E08BE"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Necessary arrangements such as ramps, suitable toll booths, doors and grab bars are made in the customer service centers of distribution companies to facilitate the access of disabled and over-65 years old citizens. Priority is given to citizens over 65 years of age and disabled citizens who submit their reports to the distribution company in their transportation to the call center and necessary care is taken to meet their demands. The distribution company shall complete the necessary procedures to give priority within 3 (three) days at the latest after the submission of the disability report to it.</w:t>
      </w:r>
    </w:p>
    <w:p w14:paraId="6E824D84"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Except for the personal faults of consumers and within the scope to be determined by the Board, the procedures and principles regarding the compensation of consumer victimization arising from the practices of license and certificate holders shall be determined by the Board."</w:t>
      </w:r>
    </w:p>
    <w:p w14:paraId="17E4C1C2" w14:textId="77777777" w:rsidR="004C0A79" w:rsidRPr="00731F8E" w:rsidRDefault="004C0A79" w:rsidP="004C0A79">
      <w:pPr>
        <w:pStyle w:val="GvdeMetni"/>
        <w:spacing w:before="37"/>
        <w:rPr>
          <w:rFonts w:cs="Times New Roman"/>
          <w:szCs w:val="22"/>
        </w:rPr>
      </w:pPr>
    </w:p>
    <w:p w14:paraId="3DE9EC3E"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48 has been amended as follows.</w:t>
      </w:r>
    </w:p>
    <w:p w14:paraId="5218EC46" w14:textId="77777777" w:rsidR="004C0A79" w:rsidRPr="00731F8E" w:rsidRDefault="004C0A79" w:rsidP="004C0A79">
      <w:pPr>
        <w:pStyle w:val="GvdeMetni"/>
        <w:spacing w:before="63"/>
        <w:rPr>
          <w:rFonts w:cs="Times New Roman"/>
          <w:i/>
          <w:szCs w:val="22"/>
        </w:rPr>
      </w:pPr>
    </w:p>
    <w:p w14:paraId="212D2CE5"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 xml:space="preserve">"Article 48- The distribution company shall read or have read the meter indices of the consumers on a monthly basis on a customer basis for no more than plus or minus five days compared to the previous reading date. In the event that the subscriber requests the change of the meter reading dates and the request is approved by the distribution company, the first invoicing, meter change or interim accrual due to debt, this criterion is not sought for once. The meters of the consumers who have the opportunity to read remotely are read at the end of each month within the framework of the provisions of the relevant legislation and the consumption information is transmitted to the consumers by e-mail. If, for any reason, the invoice reading period between the first reading </w:t>
      </w:r>
      <w:r w:rsidRPr="00731F8E">
        <w:rPr>
          <w:rFonts w:cs="Times New Roman"/>
          <w:szCs w:val="22"/>
        </w:rPr>
        <w:lastRenderedPageBreak/>
        <w:t>and the last reading of the consumers is below the period specified in the first paragraph of this article, the invoice payment period shall be applied as a minimum of 25 (twenty-five) days. However, if the invoice reading period between the first reading and the last reading is longer than the period specified in the first paragraph of this article, the consumption amount will be accrued to the consumer in at least 2 (two) invoice periods and no interest will be applied to the accrued amounts.</w:t>
      </w:r>
    </w:p>
    <w:p w14:paraId="5D202382"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t>The distribution company calculates the amount of natural gas sales according to Article 41 of this Regulation by taking the difference of the two indices between the last reading date and the previous reading date and accrual is made on this value. However, the distribution company has the right not to invoice for that period monthly consumptions that do not reach 50 (fifty) cubic meters. Natural gas usage invoices are invoiced to the customer on the basis of cubic meters and kWh energy amount. Accrual is made by using the weighted average retail price on a daily basis to be calculated according to the reading periods in the consumption invoices.</w:t>
      </w:r>
    </w:p>
    <w:p w14:paraId="34FF15A8" w14:textId="77777777" w:rsidR="004C0A79" w:rsidRPr="00731F8E" w:rsidRDefault="004C0A79" w:rsidP="004C0A79">
      <w:pPr>
        <w:pStyle w:val="GvdeMetni"/>
        <w:spacing w:line="276" w:lineRule="auto"/>
        <w:ind w:left="1555"/>
        <w:rPr>
          <w:rFonts w:cs="Times New Roman"/>
          <w:szCs w:val="22"/>
        </w:rPr>
      </w:pPr>
      <w:r w:rsidRPr="00731F8E">
        <w:rPr>
          <w:rFonts w:cs="Times New Roman"/>
          <w:szCs w:val="22"/>
        </w:rPr>
        <w:t>Natural gas consumption invoices cannot include any price that is not related to the use of natural gas. The issues that may be included in the invoices may be determined by the Board. The distribution company leaves the invoice to the customer's address at least 10 (ten) days before the due date or the invoice can be forwarded through channels such as fax, e-mail, e-invoice, e-archive invoice according to consumer preferences. However, the payment period cannot be less than 5 (five) working days in any case.</w:t>
      </w:r>
    </w:p>
    <w:p w14:paraId="38EEA94B"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In case of preference of the distribution company, meter readings can be made every 2 (two) months for consumers for housing and heating purposes between May 15 and October 15. In addition, invoicing is made in accordance with the periods specified in the first paragraph of this article in the previous and next period invoices for consumers in this situation. Necessary information is provided to consumers by the companies performing this application through appropriate channels.</w:t>
      </w:r>
    </w:p>
    <w:p w14:paraId="36E1853A"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Depending on the preferences of natural gas distribution companies; Fixed monthly payment system can be switched to customers who have at least 12 (twelve) months of retrospective consumption at the same address and who request it. Distribution companies shall make monthly readings as specified in the first paragraph of this article and communicate the consumption information to the customers. The settlement period between the customer and the distribution company is determined annually. At the end of the specified period, the total payment amount and the total amount consumed are offset over the amount. Inflation update is taken into account in offsetting. In the first determination of the fixed monthly payment amount, the monthly average of the customer's consumption in the last year is taken into account. The fixed monthly payment amount is updated according to the consumption amounts realized at the end of each settlement period. The customer may terminate the fixed monthly payment system at any time by offsetting with the distribution company. The distribution company that will make this application notifies the Authority about the application method.</w:t>
      </w:r>
    </w:p>
    <w:p w14:paraId="04C0D9E4"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the event that the meter cannot be read, the index notification document to be left to the customer's address by the distribution company or to be notified to the communication channels registered in the customer's distribution company shall be filled in by the customer within 3 (three) days at the latest and delivered to the distribution company or shall notify the index information to the distribution company through mobile, fixed or electronic communication channels that the distribution company deems appropriate. In the event that the meter index cannot be determined except for the fault of the customer, the invoice price is calculated by taking the average of the retail prices, correction coefficient and upper thermal value in the months in which the meter cannot be read and is divided into installments as the number of months in which the meter cannot be read.</w:t>
      </w:r>
    </w:p>
    <w:p w14:paraId="7573AECE" w14:textId="77777777" w:rsidR="004C0A79" w:rsidRPr="00731F8E" w:rsidRDefault="004C0A79" w:rsidP="004C0A79">
      <w:pPr>
        <w:pStyle w:val="GvdeMetni"/>
        <w:spacing w:line="276" w:lineRule="auto"/>
        <w:ind w:left="1555" w:right="135"/>
        <w:rPr>
          <w:rFonts w:cs="Times New Roman"/>
          <w:szCs w:val="22"/>
        </w:rPr>
      </w:pPr>
      <w:r w:rsidRPr="00731F8E">
        <w:rPr>
          <w:rFonts w:cs="Times New Roman"/>
          <w:szCs w:val="22"/>
        </w:rPr>
        <w:t>The distribution company establishes or receives services within the scope of natural gas loading centers that can be easily accessed by those who use prepaid meters and that will carry out a sufficient number of free transactions in places where the city settlement is dense. In addition, depending on the consumer's preference, the consumer may make an agreement with centers that provide loading facilities for a service fee or install devices that provide loading facilities.</w:t>
      </w:r>
    </w:p>
    <w:p w14:paraId="720610C4" w14:textId="77777777" w:rsidR="004C0A79" w:rsidRPr="00731F8E" w:rsidRDefault="004C0A79" w:rsidP="004C0A79">
      <w:pPr>
        <w:pStyle w:val="GvdeMetni"/>
        <w:spacing w:line="276" w:lineRule="auto"/>
        <w:ind w:left="1555" w:right="135"/>
        <w:rPr>
          <w:rFonts w:cs="Times New Roman"/>
          <w:szCs w:val="22"/>
        </w:rPr>
      </w:pPr>
      <w:r w:rsidRPr="00731F8E">
        <w:rPr>
          <w:rFonts w:cs="Times New Roman"/>
          <w:szCs w:val="22"/>
        </w:rPr>
        <w:t>Natural gas loading centers serve between 08.30-18.30 on weekdays. Considering the emergencies, it is ensured that the on-duty natural gas loading centers serve outside these hours."</w:t>
      </w:r>
    </w:p>
    <w:p w14:paraId="6DBE19D3" w14:textId="77777777" w:rsidR="004C0A79" w:rsidRPr="00731F8E" w:rsidRDefault="004C0A79" w:rsidP="004C0A79">
      <w:pPr>
        <w:pStyle w:val="GvdeMetni"/>
        <w:spacing w:before="41"/>
        <w:rPr>
          <w:rFonts w:cs="Times New Roman"/>
          <w:szCs w:val="22"/>
        </w:rPr>
      </w:pPr>
    </w:p>
    <w:p w14:paraId="30F19FC6"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49 has been amended as follows.</w:t>
      </w:r>
    </w:p>
    <w:p w14:paraId="408B4CF7" w14:textId="77777777" w:rsidR="004C0A79" w:rsidRPr="00731F8E" w:rsidRDefault="004C0A79" w:rsidP="004C0A79">
      <w:pPr>
        <w:pStyle w:val="GvdeMetni"/>
        <w:spacing w:before="60"/>
        <w:rPr>
          <w:rFonts w:cs="Times New Roman"/>
          <w:i/>
          <w:szCs w:val="22"/>
        </w:rPr>
      </w:pPr>
    </w:p>
    <w:p w14:paraId="3B1477FF"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"Article 49- The natural gas consumption fee specified in the invoice shall be paid to the places written on the invoice within the specified payment days. The delay interest/fee on the consumption fee subject to the invoice that is not paid on time is collected by the distribution company in cash together with the invoice subject to the delay or by adding it to the next invoice. For payments made after the due date, the default interest rate specified in the contract is applied on a daily basis. For eligible consumers, the due date of the invoice and the rate of late </w:t>
      </w:r>
      <w:r w:rsidRPr="00731F8E">
        <w:rPr>
          <w:rFonts w:cs="Times New Roman"/>
          <w:szCs w:val="22"/>
        </w:rPr>
        <w:lastRenderedPageBreak/>
        <w:t>payment are determined by the parties in the contract. The default interest rate cannot exceed the default interest rate determined in accordance with Article 51 of the Law on the Collection Procedure of Public Receivables dated 21/7/1953 and numbered 6183.</w:t>
      </w:r>
    </w:p>
    <w:p w14:paraId="1B4C4A6E"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In accordance with the size of the network and the number of consumers, the distribution company establishes a sufficient number of free payment centers within the distribution region or agrees with the payment centers where free payment can be made. It publishes information about all centers that can be paid free of charge on the website and on the back of the invoice. Consumers can pay organizations that provide services in return for a service fee at their own discretion, but distribution companies cannot engage in any activity that prevents competition between payment centers.</w:t>
      </w:r>
    </w:p>
    <w:p w14:paraId="58D01ACD"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Distribution companies may apply alternative reading, accrual and payment methods, provided that the Board deems appropriate and the consent of the consumers is obtained. However, consumers cannot be obliged for these payment methods.</w:t>
      </w:r>
    </w:p>
    <w:p w14:paraId="42A11732"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customer whose natural gas is cut off due to the failure to pay the invoice on time may request the distribution company to provide natural gas again by paying the unpaid invoice amount together with the delay increase and meter opening-closing costs. In this case, the distribution company fulfills the customer's request in accordance with the provisions of Article 45. The distribution company may collect the opening-closing price on the first invoice after the opening of the meter."</w:t>
      </w:r>
    </w:p>
    <w:p w14:paraId="3903A225" w14:textId="77777777" w:rsidR="004C0A79" w:rsidRPr="00731F8E" w:rsidRDefault="004C0A79" w:rsidP="004C0A79">
      <w:pPr>
        <w:pStyle w:val="GvdeMetni"/>
        <w:spacing w:before="40"/>
        <w:rPr>
          <w:rFonts w:cs="Times New Roman"/>
          <w:szCs w:val="22"/>
        </w:rPr>
      </w:pPr>
    </w:p>
    <w:p w14:paraId="5B703C22"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5"/>
        <w:contextualSpacing w:val="0"/>
        <w:rPr>
          <w:rFonts w:ascii="Times New Roman" w:hAnsi="Times New Roman"/>
        </w:rPr>
      </w:pPr>
      <w:r w:rsidRPr="00731F8E">
        <w:rPr>
          <w:rFonts w:ascii="Times New Roman" w:hAnsi="Times New Roman"/>
        </w:rPr>
        <w:t>The phrase "until the due date" in the first paragraph of Article 50 has been changed to "within 1 (one) year" and the phrase "five" in the third paragraph of the same article has been changed to "5 (five)".</w:t>
      </w:r>
    </w:p>
    <w:p w14:paraId="7BBFC442" w14:textId="77777777" w:rsidR="004C0A79" w:rsidRPr="00731F8E" w:rsidRDefault="004C0A79" w:rsidP="004C0A79">
      <w:pPr>
        <w:pStyle w:val="GvdeMetni"/>
        <w:spacing w:before="20"/>
        <w:rPr>
          <w:rFonts w:cs="Times New Roman"/>
          <w:i/>
          <w:szCs w:val="22"/>
        </w:rPr>
      </w:pPr>
    </w:p>
    <w:p w14:paraId="06D90500" w14:textId="77777777" w:rsidR="004C0A79" w:rsidRPr="00731F8E" w:rsidRDefault="004C0A79" w:rsidP="00A86526">
      <w:pPr>
        <w:pStyle w:val="ListeParagraf"/>
        <w:widowControl w:val="0"/>
        <w:numPr>
          <w:ilvl w:val="4"/>
          <w:numId w:val="52"/>
        </w:numPr>
        <w:tabs>
          <w:tab w:val="left" w:pos="1555"/>
        </w:tabs>
        <w:autoSpaceDE w:val="0"/>
        <w:autoSpaceDN w:val="0"/>
        <w:spacing w:after="0" w:line="256" w:lineRule="auto"/>
        <w:ind w:left="1555" w:right="133"/>
        <w:contextualSpacing w:val="0"/>
        <w:rPr>
          <w:rFonts w:ascii="Times New Roman" w:hAnsi="Times New Roman"/>
        </w:rPr>
      </w:pPr>
      <w:r w:rsidRPr="00731F8E">
        <w:rPr>
          <w:rFonts w:ascii="Times New Roman" w:hAnsi="Times New Roman"/>
        </w:rPr>
        <w:t>The following sentence has been added to the end of the first paragraph of Article 51, and the phrase "five" in the second paragraph of the same article has been changed to "5 (five)".</w:t>
      </w:r>
    </w:p>
    <w:p w14:paraId="4EA18F91" w14:textId="77777777" w:rsidR="004C0A79" w:rsidRPr="00731F8E" w:rsidRDefault="004C0A79" w:rsidP="004C0A79">
      <w:pPr>
        <w:pStyle w:val="GvdeMetni"/>
        <w:spacing w:before="25"/>
        <w:rPr>
          <w:rFonts w:cs="Times New Roman"/>
          <w:i/>
          <w:szCs w:val="22"/>
        </w:rPr>
      </w:pPr>
    </w:p>
    <w:p w14:paraId="270D7ADB" w14:textId="77777777" w:rsidR="004C0A79" w:rsidRPr="00731F8E" w:rsidRDefault="004C0A79" w:rsidP="004C0A79">
      <w:pPr>
        <w:pStyle w:val="GvdeMetni"/>
        <w:ind w:left="1555"/>
        <w:rPr>
          <w:rFonts w:cs="Times New Roman"/>
          <w:szCs w:val="22"/>
        </w:rPr>
      </w:pPr>
      <w:r w:rsidRPr="00731F8E">
        <w:rPr>
          <w:rFonts w:cs="Times New Roman"/>
          <w:szCs w:val="22"/>
        </w:rPr>
        <w:t>"The period determined for this paragraph cannot exceed 1 (one) year retrospectively."</w:t>
      </w:r>
    </w:p>
    <w:p w14:paraId="4B2EDA7B" w14:textId="77777777" w:rsidR="004C0A79" w:rsidRPr="00731F8E" w:rsidRDefault="004C0A79" w:rsidP="004C0A79">
      <w:pPr>
        <w:pStyle w:val="GvdeMetni"/>
        <w:spacing w:before="79"/>
        <w:rPr>
          <w:rFonts w:cs="Times New Roman"/>
          <w:szCs w:val="22"/>
        </w:rPr>
      </w:pPr>
    </w:p>
    <w:p w14:paraId="5F807FFE"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52 has been amended as follows.</w:t>
      </w:r>
    </w:p>
    <w:p w14:paraId="5FBB0EE9" w14:textId="77777777" w:rsidR="004C0A79" w:rsidRPr="00731F8E" w:rsidRDefault="004C0A79" w:rsidP="004C0A79">
      <w:pPr>
        <w:pStyle w:val="GvdeMetni"/>
        <w:spacing w:before="37" w:line="276" w:lineRule="auto"/>
        <w:ind w:left="1555" w:right="133"/>
        <w:rPr>
          <w:rFonts w:cs="Times New Roman"/>
          <w:szCs w:val="22"/>
        </w:rPr>
      </w:pPr>
      <w:r w:rsidRPr="00731F8E">
        <w:rPr>
          <w:rFonts w:cs="Times New Roman"/>
          <w:szCs w:val="22"/>
        </w:rPr>
        <w:t>"Article 52- Intervening in the distribution or measurement system or installation in any way, preventing the consumption from being determined accurately, consuming the consumption in a way that is against the legislation by measuring it incompletely or incorrectly, or without measuring it at all, or without passing it through a legally established meter, is considered as illegal natural gas usage. In determining the use of illegal natural gas, it is essential that the distribution company bases its determination on the correct findings and documents and that consumer rights are not violated.</w:t>
      </w:r>
    </w:p>
    <w:p w14:paraId="2637E01B"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If it is determined that illegal natural gas is used, a report is prepared and archived by the distribution company by taking photos, videos and similar appropriate recording tools. Necessary measures are taken by the distribution company to prevent illegal use.</w:t>
      </w:r>
    </w:p>
    <w:p w14:paraId="489D2F05"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In case of detection of illegal natural gas use, by taking into account the period of use and the amount of natural gas consumed within this period, calculated on the basis of the documents prepared according to the measurement and control results, the cost of the damage and loss caused, the amount of natural gas obtained by the calculation and the illegal use fee equal to 2 (two) times this calculated amount shall be reflected in the price to be accrued by the distribution company to this actual processor or beneficiary. If the illegal use is repeated by the same consumer within two years, the illegal use fee coefficient is applied as 2 (two) times the previous one in each repetition."</w:t>
      </w:r>
    </w:p>
    <w:p w14:paraId="5121AA08" w14:textId="77777777" w:rsidR="004C0A79" w:rsidRPr="00731F8E" w:rsidRDefault="004C0A79" w:rsidP="004C0A79">
      <w:pPr>
        <w:pStyle w:val="GvdeMetni"/>
        <w:spacing w:before="40"/>
        <w:rPr>
          <w:rFonts w:cs="Times New Roman"/>
          <w:szCs w:val="22"/>
        </w:rPr>
      </w:pPr>
    </w:p>
    <w:p w14:paraId="1384DF3C"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5"/>
        <w:contextualSpacing w:val="0"/>
        <w:jc w:val="left"/>
        <w:rPr>
          <w:rFonts w:ascii="Times New Roman" w:hAnsi="Times New Roman"/>
        </w:rPr>
      </w:pPr>
      <w:r w:rsidRPr="00731F8E">
        <w:rPr>
          <w:rFonts w:ascii="Times New Roman" w:hAnsi="Times New Roman"/>
        </w:rPr>
        <w:t>The following sentences have been added to the end of the second paragraph of Article 53, the fourth paragraph has been amended as follows and the following paragraph has been added to the same article.</w:t>
      </w:r>
    </w:p>
    <w:p w14:paraId="6B74AA9B" w14:textId="77777777" w:rsidR="004C0A79" w:rsidRPr="00731F8E" w:rsidRDefault="004C0A79" w:rsidP="004C0A79">
      <w:pPr>
        <w:pStyle w:val="GvdeMetni"/>
        <w:spacing w:before="20"/>
        <w:rPr>
          <w:rFonts w:cs="Times New Roman"/>
          <w:i/>
          <w:szCs w:val="22"/>
        </w:rPr>
      </w:pPr>
    </w:p>
    <w:p w14:paraId="75C1E3C8"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"In addition, provided that the contract owner gives a written undertaking to the distribution company stating that he/she assumes all legal and financial responsibilities, usages made by the first degree descendant and descendant and spouse living at the same address without making a contract in his/her own name are not considered irregular usage. In these cases, the information of the actual user is recorded by the distribution company and the necessary updates are made in their systems." "In the cases specified in clause (d) of the first paragraph, if an additional device is added to the installation as a result of an unapproved modification and the </w:t>
      </w:r>
      <w:r w:rsidRPr="00731F8E">
        <w:rPr>
          <w:rFonts w:cs="Times New Roman"/>
          <w:szCs w:val="22"/>
        </w:rPr>
        <w:lastRenderedPageBreak/>
        <w:t>total capacity of all burner devices exceeds the measurement range of the meter used, provided that the situation is notified to the consumer, all consumption invoices shall be accrued according to the difference between the new value found on the basis of the total capacity of all burner devices used and the maximum measurement capacity of the meter at the address. If more than 1 (one) year has passed since the date of modification, action shall be taken over the last 1 (one) year period." "In case of detection of illegal use, the illegal use fee determined by the Board is reflected to the actual user."</w:t>
      </w:r>
    </w:p>
    <w:p w14:paraId="2A4C6A04" w14:textId="77777777" w:rsidR="004C0A79" w:rsidRPr="00731F8E" w:rsidRDefault="004C0A79" w:rsidP="004C0A79">
      <w:pPr>
        <w:pStyle w:val="GvdeMetni"/>
        <w:spacing w:before="41"/>
        <w:rPr>
          <w:rFonts w:cs="Times New Roman"/>
          <w:szCs w:val="22"/>
        </w:rPr>
      </w:pPr>
    </w:p>
    <w:p w14:paraId="508BE6C1"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54 has been amended as follows.</w:t>
      </w:r>
    </w:p>
    <w:p w14:paraId="22206902" w14:textId="77777777" w:rsidR="004C0A79" w:rsidRPr="00731F8E" w:rsidRDefault="004C0A79" w:rsidP="004C0A79">
      <w:pPr>
        <w:pStyle w:val="GvdeMetni"/>
        <w:spacing w:before="41"/>
        <w:rPr>
          <w:rFonts w:cs="Times New Roman"/>
          <w:i/>
          <w:szCs w:val="22"/>
        </w:rPr>
      </w:pPr>
    </w:p>
    <w:p w14:paraId="506944F9" w14:textId="77777777" w:rsidR="004C0A79" w:rsidRPr="00731F8E" w:rsidRDefault="004C0A79" w:rsidP="004C0A79">
      <w:pPr>
        <w:pStyle w:val="GvdeMetni"/>
        <w:ind w:left="1556"/>
        <w:rPr>
          <w:rFonts w:cs="Times New Roman"/>
          <w:szCs w:val="22"/>
        </w:rPr>
      </w:pPr>
      <w:r w:rsidRPr="00731F8E">
        <w:rPr>
          <w:rFonts w:cs="Times New Roman"/>
          <w:szCs w:val="22"/>
        </w:rPr>
        <w:t>"Article 54- Regarding the use of illegal natural gas;</w:t>
      </w:r>
    </w:p>
    <w:p w14:paraId="7187D6BA" w14:textId="77777777" w:rsidR="004C0A79" w:rsidRPr="00C1292D" w:rsidRDefault="004C0A79" w:rsidP="00A86526">
      <w:pPr>
        <w:pStyle w:val="P68B1DB1-ListParagraph2"/>
        <w:numPr>
          <w:ilvl w:val="5"/>
          <w:numId w:val="52"/>
        </w:numPr>
        <w:tabs>
          <w:tab w:val="left" w:pos="1785"/>
        </w:tabs>
        <w:spacing w:before="41"/>
        <w:ind w:left="1785" w:hanging="229"/>
        <w:rPr>
          <w:rFonts w:ascii="Times New Roman" w:hAnsi="Times New Roman" w:cs="Times New Roman"/>
          <w:b w:val="0"/>
          <w:szCs w:val="22"/>
        </w:rPr>
      </w:pPr>
      <w:r w:rsidRPr="00C1292D">
        <w:rPr>
          <w:rFonts w:ascii="Times New Roman" w:hAnsi="Times New Roman" w:cs="Times New Roman"/>
          <w:b w:val="0"/>
          <w:szCs w:val="22"/>
        </w:rPr>
        <w:t>Determination</w:t>
      </w:r>
    </w:p>
    <w:p w14:paraId="03458859" w14:textId="77777777" w:rsidR="004C0A79" w:rsidRPr="00C1292D" w:rsidRDefault="004C0A79" w:rsidP="00A86526">
      <w:pPr>
        <w:pStyle w:val="P68B1DB1-ListParagraph2"/>
        <w:numPr>
          <w:ilvl w:val="5"/>
          <w:numId w:val="52"/>
        </w:numPr>
        <w:tabs>
          <w:tab w:val="left" w:pos="1785"/>
        </w:tabs>
        <w:spacing w:before="39"/>
        <w:ind w:left="1785" w:hanging="229"/>
        <w:rPr>
          <w:rFonts w:ascii="Times New Roman" w:hAnsi="Times New Roman" w:cs="Times New Roman"/>
          <w:b w:val="0"/>
          <w:szCs w:val="22"/>
        </w:rPr>
      </w:pPr>
      <w:r w:rsidRPr="00C1292D">
        <w:rPr>
          <w:rFonts w:ascii="Times New Roman" w:hAnsi="Times New Roman" w:cs="Times New Roman"/>
          <w:b w:val="0"/>
          <w:szCs w:val="22"/>
        </w:rPr>
        <w:t>Duration</w:t>
      </w:r>
    </w:p>
    <w:p w14:paraId="1D8C6BAB" w14:textId="77777777" w:rsidR="004C0A79" w:rsidRPr="00C1292D" w:rsidRDefault="004C0A79" w:rsidP="00A86526">
      <w:pPr>
        <w:pStyle w:val="P68B1DB1-ListParagraph2"/>
        <w:numPr>
          <w:ilvl w:val="5"/>
          <w:numId w:val="52"/>
        </w:numPr>
        <w:tabs>
          <w:tab w:val="left" w:pos="1763"/>
        </w:tabs>
        <w:spacing w:before="41"/>
        <w:ind w:left="1763" w:hanging="207"/>
        <w:rPr>
          <w:rFonts w:ascii="Times New Roman" w:hAnsi="Times New Roman" w:cs="Times New Roman"/>
          <w:b w:val="0"/>
          <w:szCs w:val="22"/>
        </w:rPr>
      </w:pPr>
      <w:r w:rsidRPr="00C1292D">
        <w:rPr>
          <w:rFonts w:ascii="Times New Roman" w:hAnsi="Times New Roman" w:cs="Times New Roman"/>
          <w:b w:val="0"/>
          <w:szCs w:val="22"/>
        </w:rPr>
        <w:t>Consumption amount calculation,</w:t>
      </w:r>
    </w:p>
    <w:p w14:paraId="2F0B2E7B" w14:textId="77777777" w:rsidR="004C0A79" w:rsidRPr="00C1292D" w:rsidRDefault="004C0A79" w:rsidP="00A86526">
      <w:pPr>
        <w:pStyle w:val="P68B1DB1-ListParagraph2"/>
        <w:numPr>
          <w:ilvl w:val="5"/>
          <w:numId w:val="52"/>
        </w:numPr>
        <w:tabs>
          <w:tab w:val="left" w:pos="1785"/>
        </w:tabs>
        <w:spacing w:before="41"/>
        <w:ind w:left="1785" w:hanging="229"/>
        <w:rPr>
          <w:rFonts w:ascii="Times New Roman" w:hAnsi="Times New Roman" w:cs="Times New Roman"/>
          <w:b w:val="0"/>
          <w:szCs w:val="22"/>
        </w:rPr>
      </w:pPr>
      <w:r w:rsidRPr="00C1292D">
        <w:rPr>
          <w:rFonts w:ascii="Times New Roman" w:hAnsi="Times New Roman" w:cs="Times New Roman"/>
          <w:b w:val="0"/>
          <w:szCs w:val="22"/>
        </w:rPr>
        <w:t>Accrual</w:t>
      </w:r>
    </w:p>
    <w:p w14:paraId="5B02E75E" w14:textId="77777777" w:rsidR="004C0A79" w:rsidRPr="00C1292D" w:rsidRDefault="004C0A79" w:rsidP="00A86526">
      <w:pPr>
        <w:pStyle w:val="P68B1DB1-ListParagraph2"/>
        <w:numPr>
          <w:ilvl w:val="5"/>
          <w:numId w:val="52"/>
        </w:numPr>
        <w:tabs>
          <w:tab w:val="left" w:pos="1778"/>
        </w:tabs>
        <w:spacing w:before="37"/>
        <w:ind w:left="1778" w:hanging="222"/>
        <w:rPr>
          <w:rFonts w:ascii="Times New Roman" w:hAnsi="Times New Roman" w:cs="Times New Roman"/>
          <w:b w:val="0"/>
          <w:szCs w:val="22"/>
        </w:rPr>
      </w:pPr>
      <w:r w:rsidRPr="00C1292D">
        <w:rPr>
          <w:rFonts w:ascii="Times New Roman" w:hAnsi="Times New Roman" w:cs="Times New Roman"/>
          <w:b w:val="0"/>
          <w:szCs w:val="22"/>
        </w:rPr>
        <w:t>Payment</w:t>
      </w:r>
    </w:p>
    <w:p w14:paraId="1972F451" w14:textId="77777777" w:rsidR="004C0A79" w:rsidRPr="00731F8E" w:rsidRDefault="004C0A79" w:rsidP="004C0A79">
      <w:pPr>
        <w:pStyle w:val="GvdeMetni"/>
        <w:spacing w:before="41"/>
        <w:ind w:left="1556"/>
        <w:rPr>
          <w:rFonts w:cs="Times New Roman"/>
          <w:szCs w:val="22"/>
        </w:rPr>
      </w:pPr>
      <w:r w:rsidRPr="00731F8E">
        <w:rPr>
          <w:rFonts w:cs="Times New Roman"/>
          <w:szCs w:val="22"/>
        </w:rPr>
        <w:t>methods and other procedures and principles shall be determined by the Board."</w:t>
      </w:r>
    </w:p>
    <w:p w14:paraId="6A1381DE" w14:textId="77777777" w:rsidR="004C0A79" w:rsidRPr="00731F8E" w:rsidRDefault="004C0A79" w:rsidP="004C0A79">
      <w:pPr>
        <w:pStyle w:val="GvdeMetni"/>
        <w:spacing w:before="79"/>
        <w:rPr>
          <w:rFonts w:cs="Times New Roman"/>
          <w:szCs w:val="22"/>
        </w:rPr>
      </w:pPr>
    </w:p>
    <w:p w14:paraId="096A1591" w14:textId="77777777" w:rsidR="004C0A79" w:rsidRPr="00731F8E" w:rsidRDefault="004C0A79" w:rsidP="00A86526">
      <w:pPr>
        <w:pStyle w:val="ListeParagraf"/>
        <w:widowControl w:val="0"/>
        <w:numPr>
          <w:ilvl w:val="4"/>
          <w:numId w:val="52"/>
        </w:numPr>
        <w:tabs>
          <w:tab w:val="left" w:pos="1556"/>
        </w:tabs>
        <w:autoSpaceDE w:val="0"/>
        <w:autoSpaceDN w:val="0"/>
        <w:spacing w:after="0" w:line="259" w:lineRule="auto"/>
        <w:ind w:right="134"/>
        <w:contextualSpacing w:val="0"/>
        <w:jc w:val="left"/>
        <w:rPr>
          <w:rFonts w:ascii="Times New Roman" w:hAnsi="Times New Roman"/>
        </w:rPr>
      </w:pPr>
      <w:r w:rsidRPr="00731F8E">
        <w:rPr>
          <w:rFonts w:ascii="Times New Roman" w:hAnsi="Times New Roman"/>
        </w:rPr>
        <w:t>Clauses (b), (c), (i) and (o) of the first paragraph of Article 55 have been amended as follows and the following clauses have been added to the same paragraph.</w:t>
      </w:r>
    </w:p>
    <w:p w14:paraId="45CA0F14" w14:textId="77777777" w:rsidR="004C0A79" w:rsidRPr="00731F8E" w:rsidRDefault="004C0A79" w:rsidP="004C0A79">
      <w:pPr>
        <w:pStyle w:val="GvdeMetni"/>
        <w:spacing w:before="22"/>
        <w:rPr>
          <w:rFonts w:cs="Times New Roman"/>
          <w:i/>
          <w:szCs w:val="22"/>
        </w:rPr>
      </w:pPr>
    </w:p>
    <w:p w14:paraId="73B13CF7"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"b) Provides the capacity appropriate to the demand in the field of responsibility, expands, improves the existing network or plans and implements new network investment according to the changing natural gas demand and the population density required by the city's zoning plans, prepares annual investment plans by the end of the first quarter of the relevant year and provides accurate information about investment plans if requested.</w:t>
      </w:r>
    </w:p>
    <w:p w14:paraId="717CD39A"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c) Trains local fire departments and security organizations on natural gas and its applications and works in harmony with them, and participates in drills of these organizations upon request.”</w:t>
      </w:r>
    </w:p>
    <w:p w14:paraId="5CCEAF28" w14:textId="77777777" w:rsidR="004C0A79" w:rsidRPr="00731F8E" w:rsidRDefault="004C0A79" w:rsidP="004C0A79">
      <w:pPr>
        <w:pStyle w:val="GvdeMetni"/>
        <w:spacing w:line="276" w:lineRule="auto"/>
        <w:ind w:left="1556" w:right="138"/>
        <w:rPr>
          <w:rFonts w:cs="Times New Roman"/>
          <w:szCs w:val="22"/>
        </w:rPr>
      </w:pPr>
      <w:r w:rsidRPr="00731F8E">
        <w:rPr>
          <w:rFonts w:cs="Times New Roman"/>
          <w:szCs w:val="22"/>
        </w:rPr>
        <w:t>"i) It cannot direct its customers to a specific brand or company and cannot make practices that distort competition."</w:t>
      </w:r>
    </w:p>
    <w:p w14:paraId="0022873F" w14:textId="77777777" w:rsidR="004C0A79" w:rsidRPr="00731F8E" w:rsidRDefault="004C0A79" w:rsidP="004C0A79">
      <w:pPr>
        <w:pStyle w:val="GvdeMetni"/>
        <w:spacing w:line="276" w:lineRule="auto"/>
        <w:ind w:left="1556" w:right="131"/>
        <w:rPr>
          <w:rFonts w:cs="Times New Roman"/>
          <w:szCs w:val="22"/>
        </w:rPr>
      </w:pPr>
      <w:r w:rsidRPr="00731F8E">
        <w:rPr>
          <w:rFonts w:cs="Times New Roman"/>
          <w:szCs w:val="22"/>
        </w:rPr>
        <w:t>"o) It is obliged to provide the suppliers who are customers in the distribution region with the services provided over the transmission network and the data required for the operation of the transmission network at the time intervals and within the scope determined by the request of the transmission company and the approval of the Authority."</w:t>
      </w:r>
    </w:p>
    <w:p w14:paraId="47AB3D13" w14:textId="77777777" w:rsidR="004C0A79" w:rsidRPr="00731F8E" w:rsidRDefault="004C0A79" w:rsidP="004C0A79">
      <w:pPr>
        <w:pStyle w:val="GvdeMetni"/>
        <w:spacing w:line="276" w:lineRule="auto"/>
        <w:ind w:left="1556" w:right="135"/>
        <w:rPr>
          <w:rFonts w:cs="Times New Roman"/>
          <w:szCs w:val="22"/>
        </w:rPr>
      </w:pPr>
      <w:r w:rsidRPr="00731F8E">
        <w:rPr>
          <w:rFonts w:cs="Times New Roman"/>
          <w:szCs w:val="22"/>
        </w:rPr>
        <w:t>"p) Provides the services within the scope of this Regulation electronically and through the e-Government if requested by the Authority or when deemed necessary.</w:t>
      </w:r>
    </w:p>
    <w:p w14:paraId="0F52DCCC" w14:textId="77777777" w:rsidR="004C0A79" w:rsidRPr="00C1292D" w:rsidRDefault="004C0A79" w:rsidP="00A86526">
      <w:pPr>
        <w:pStyle w:val="P68B1DB1-ListParagraph2"/>
        <w:numPr>
          <w:ilvl w:val="0"/>
          <w:numId w:val="45"/>
        </w:numPr>
        <w:tabs>
          <w:tab w:val="left" w:pos="1873"/>
        </w:tabs>
        <w:spacing w:line="276" w:lineRule="auto"/>
        <w:ind w:right="132" w:firstLine="0"/>
        <w:rPr>
          <w:rFonts w:ascii="Times New Roman" w:hAnsi="Times New Roman" w:cs="Times New Roman"/>
          <w:b w:val="0"/>
          <w:szCs w:val="22"/>
        </w:rPr>
      </w:pPr>
      <w:r w:rsidRPr="00C1292D">
        <w:rPr>
          <w:rFonts w:ascii="Times New Roman" w:hAnsi="Times New Roman" w:cs="Times New Roman"/>
          <w:b w:val="0"/>
          <w:szCs w:val="22"/>
        </w:rPr>
        <w:t>The Board shall determine the criteria for taking into account the costs incurred due to the displacement operations of the distribution network in tariff calculations when necessary.</w:t>
      </w:r>
    </w:p>
    <w:p w14:paraId="78ED2645" w14:textId="77777777" w:rsidR="004C0A79" w:rsidRPr="00C1292D" w:rsidRDefault="004C0A79" w:rsidP="00A86526">
      <w:pPr>
        <w:pStyle w:val="P68B1DB1-ListParagraph2"/>
        <w:numPr>
          <w:ilvl w:val="0"/>
          <w:numId w:val="45"/>
        </w:numPr>
        <w:tabs>
          <w:tab w:val="left" w:pos="1760"/>
        </w:tabs>
        <w:spacing w:line="273" w:lineRule="auto"/>
        <w:ind w:right="137" w:firstLine="0"/>
        <w:rPr>
          <w:rFonts w:ascii="Times New Roman" w:hAnsi="Times New Roman" w:cs="Times New Roman"/>
          <w:b w:val="0"/>
          <w:szCs w:val="22"/>
        </w:rPr>
      </w:pPr>
      <w:r w:rsidRPr="00C1292D">
        <w:rPr>
          <w:rFonts w:ascii="Times New Roman" w:hAnsi="Times New Roman" w:cs="Times New Roman"/>
          <w:b w:val="0"/>
          <w:szCs w:val="22"/>
        </w:rPr>
        <w:t>It cannot receive services for emergency response services. Apart from this, other issues for which service cannot be obtained shall be determined by the Board."</w:t>
      </w:r>
    </w:p>
    <w:p w14:paraId="3CE20CB1" w14:textId="77777777" w:rsidR="004C0A79" w:rsidRPr="00731F8E" w:rsidRDefault="004C0A79" w:rsidP="004C0A79">
      <w:pPr>
        <w:pStyle w:val="GvdeMetni"/>
        <w:spacing w:before="44"/>
        <w:rPr>
          <w:rFonts w:cs="Times New Roman"/>
          <w:szCs w:val="22"/>
        </w:rPr>
      </w:pPr>
    </w:p>
    <w:p w14:paraId="470DC43B" w14:textId="77777777" w:rsidR="004C0A79" w:rsidRPr="00731F8E" w:rsidRDefault="004C0A79" w:rsidP="00A86526">
      <w:pPr>
        <w:pStyle w:val="ListeParagraf"/>
        <w:widowControl w:val="0"/>
        <w:numPr>
          <w:ilvl w:val="4"/>
          <w:numId w:val="52"/>
        </w:numPr>
        <w:tabs>
          <w:tab w:val="left" w:pos="1555"/>
        </w:tabs>
        <w:autoSpaceDE w:val="0"/>
        <w:autoSpaceDN w:val="0"/>
        <w:spacing w:after="0" w:line="259" w:lineRule="auto"/>
        <w:ind w:left="1555" w:right="134"/>
        <w:contextualSpacing w:val="0"/>
        <w:jc w:val="left"/>
        <w:rPr>
          <w:rFonts w:ascii="Times New Roman" w:hAnsi="Times New Roman"/>
        </w:rPr>
      </w:pPr>
      <w:r w:rsidRPr="00731F8E">
        <w:rPr>
          <w:rFonts w:ascii="Times New Roman" w:hAnsi="Times New Roman"/>
        </w:rPr>
        <w:t>Clause (d) of the first paragraph of Article 57 has been amended as follows and the following clauses have been added to the same paragraph.</w:t>
      </w:r>
    </w:p>
    <w:p w14:paraId="762DF4C8" w14:textId="77777777" w:rsidR="004C0A79" w:rsidRPr="00731F8E" w:rsidRDefault="004C0A79" w:rsidP="004C0A79">
      <w:pPr>
        <w:pStyle w:val="GvdeMetni"/>
        <w:spacing w:before="20"/>
        <w:rPr>
          <w:rFonts w:cs="Times New Roman"/>
          <w:i/>
          <w:szCs w:val="22"/>
        </w:rPr>
      </w:pPr>
    </w:p>
    <w:p w14:paraId="5C148554"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“d) Plans periodic maintenance and spare parts stock by creating annual and five-year maintenance programs. He/she keeps his/her reports by performing the maintenance in accordance with these plans and gives them to the Authority upon request."</w:t>
      </w:r>
    </w:p>
    <w:p w14:paraId="1A4BDE48"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"f) Plans and implements on-site physical controls and maintenance and repair of the distribution network and equipment used in network operation in accordance with the characteristics of the distribution region in accordance with the relevant legislation, standards and manufacturer's recommendations in order to ensure safe and uninterrupted gas supply to consumers.</w:t>
      </w:r>
    </w:p>
    <w:p w14:paraId="6B9B1FCF"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g) In case of large-scale damage and gas outages in the distribution network, the distribution company performs the operations related to the necessary natural gas flows within the network and informs the transmission company and the Authority by evaluating the alternative gas supply opportunities."</w:t>
      </w:r>
    </w:p>
    <w:p w14:paraId="3920361F" w14:textId="77777777" w:rsidR="004C0A79" w:rsidRPr="00731F8E" w:rsidRDefault="004C0A79" w:rsidP="004C0A79">
      <w:pPr>
        <w:pStyle w:val="GvdeMetni"/>
        <w:spacing w:before="41"/>
        <w:rPr>
          <w:rFonts w:cs="Times New Roman"/>
          <w:szCs w:val="22"/>
        </w:rPr>
      </w:pPr>
    </w:p>
    <w:p w14:paraId="23C908B9"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lastRenderedPageBreak/>
        <w:t>The first paragraph of Article 60 has been amended as follows.</w:t>
      </w:r>
    </w:p>
    <w:p w14:paraId="7260634B" w14:textId="77777777" w:rsidR="004C0A79" w:rsidRPr="00731F8E" w:rsidRDefault="004C0A79" w:rsidP="004C0A79">
      <w:pPr>
        <w:pStyle w:val="GvdeMetni"/>
        <w:spacing w:before="37" w:line="276" w:lineRule="auto"/>
        <w:ind w:left="1556" w:right="130"/>
        <w:rPr>
          <w:rFonts w:cs="Times New Roman"/>
          <w:szCs w:val="22"/>
        </w:rPr>
      </w:pPr>
      <w:r w:rsidRPr="00731F8E">
        <w:rPr>
          <w:rFonts w:cs="Times New Roman"/>
          <w:szCs w:val="22"/>
        </w:rPr>
        <w:t>"The distribution company conducts a leakage control at least twice a year in order to detect possible leaks in terms of security and to take the necessary measures for this and records the results. As a result of leakage scanning, the network is intervened if necessary."</w:t>
      </w:r>
    </w:p>
    <w:p w14:paraId="76CE1606" w14:textId="77777777" w:rsidR="004C0A79" w:rsidRPr="00731F8E" w:rsidRDefault="004C0A79" w:rsidP="004C0A79">
      <w:pPr>
        <w:pStyle w:val="GvdeMetni"/>
        <w:spacing w:before="41"/>
        <w:rPr>
          <w:rFonts w:cs="Times New Roman"/>
          <w:szCs w:val="22"/>
        </w:rPr>
      </w:pPr>
    </w:p>
    <w:p w14:paraId="5B2FE607" w14:textId="77777777" w:rsidR="004C0A79" w:rsidRPr="00731F8E" w:rsidRDefault="004C0A79" w:rsidP="00A86526">
      <w:pPr>
        <w:pStyle w:val="ListeParagraf"/>
        <w:widowControl w:val="0"/>
        <w:numPr>
          <w:ilvl w:val="4"/>
          <w:numId w:val="52"/>
        </w:numPr>
        <w:tabs>
          <w:tab w:val="left" w:pos="1556"/>
        </w:tabs>
        <w:autoSpaceDE w:val="0"/>
        <w:autoSpaceDN w:val="0"/>
        <w:spacing w:after="0" w:line="259" w:lineRule="auto"/>
        <w:ind w:right="134"/>
        <w:contextualSpacing w:val="0"/>
        <w:jc w:val="left"/>
        <w:rPr>
          <w:rFonts w:ascii="Times New Roman" w:hAnsi="Times New Roman"/>
        </w:rPr>
      </w:pPr>
      <w:r w:rsidRPr="00731F8E">
        <w:rPr>
          <w:rFonts w:ascii="Times New Roman" w:hAnsi="Times New Roman"/>
        </w:rPr>
        <w:t>The third, fourth, fifth and eighth paragraphs of Article 61 are amended as follows.</w:t>
      </w:r>
    </w:p>
    <w:p w14:paraId="57989281" w14:textId="77777777" w:rsidR="004C0A79" w:rsidRPr="00731F8E" w:rsidRDefault="004C0A79" w:rsidP="004C0A79">
      <w:pPr>
        <w:pStyle w:val="GvdeMetni"/>
        <w:spacing w:before="20"/>
        <w:rPr>
          <w:rFonts w:cs="Times New Roman"/>
          <w:i/>
          <w:szCs w:val="22"/>
        </w:rPr>
      </w:pPr>
    </w:p>
    <w:p w14:paraId="1339314A"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distribution company keeps at least one of the emergency response tools to be used ready for twenty-four hours together with the personnel who will record the notifications. It makes the organization that will reach the notifications requiring urgent intervention within 30 (thirty) minutes at the latest for the settlements included in the distribution region by expansion with a number of subscribers below five thousand and a road distance of more than fifteen km to the city center and the nearest business center, and within 15 (fifteen) minutes at the latest for the other settlements in the distribution region. Ensures that a sufficient number of maintenance-repair personnel are on the job, depending on the number and frequency of failures.</w:t>
      </w:r>
    </w:p>
    <w:p w14:paraId="14248FDE"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The distribution company trains or ensures that the emergency response personnel receive training on at least failure and damage detection and repair, use of tools, devices and equipment, occupational safety measures, procedures to be applied in cases of failure and damage that cannot be detected or remedied. Personnel who do not have a professional qualification certificate in these matters cannot be employed in emergency response activities.</w:t>
      </w:r>
    </w:p>
    <w:p w14:paraId="59B00306" w14:textId="77777777" w:rsidR="004C0A79" w:rsidRPr="00731F8E" w:rsidRDefault="004C0A79" w:rsidP="004C0A79">
      <w:pPr>
        <w:pStyle w:val="GvdeMetni"/>
        <w:spacing w:line="276" w:lineRule="auto"/>
        <w:ind w:left="1555" w:right="135"/>
        <w:rPr>
          <w:rFonts w:cs="Times New Roman"/>
          <w:szCs w:val="22"/>
        </w:rPr>
      </w:pPr>
      <w:r w:rsidRPr="00731F8E">
        <w:rPr>
          <w:rFonts w:cs="Times New Roman"/>
          <w:szCs w:val="22"/>
        </w:rPr>
        <w:t>The emergency response center informs the reporting persons about how they will behave in the event subject to the report and how many minutes the emergency response team can reach the scene. It contacts security, fire brigade, emergency health centers and relevant licensees and/or organizations when necessary.”</w:t>
      </w:r>
    </w:p>
    <w:p w14:paraId="5070F30B"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“Emergency response services are provided free of charge. However, in the event of damage to the distribution network by third parties or other infrastructure organizations, the damage incurred shall be borne by the damaging party. However, repairs and modifications to the interior installation as a result of emergency response are the responsibility of the customer."</w:t>
      </w:r>
    </w:p>
    <w:p w14:paraId="1828BC20" w14:textId="77777777" w:rsidR="004C0A79" w:rsidRPr="00731F8E" w:rsidRDefault="004C0A79" w:rsidP="004C0A79">
      <w:pPr>
        <w:pStyle w:val="GvdeMetni"/>
        <w:spacing w:before="38"/>
        <w:rPr>
          <w:rFonts w:cs="Times New Roman"/>
          <w:szCs w:val="22"/>
        </w:rPr>
      </w:pPr>
    </w:p>
    <w:p w14:paraId="6DC5C3E8"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Article 66 is amended as follows.</w:t>
      </w:r>
    </w:p>
    <w:p w14:paraId="56F98288" w14:textId="77777777" w:rsidR="004C0A79" w:rsidRPr="00731F8E" w:rsidRDefault="004C0A79" w:rsidP="004C0A79">
      <w:pPr>
        <w:pStyle w:val="GvdeMetni"/>
        <w:spacing w:before="44"/>
        <w:rPr>
          <w:rFonts w:cs="Times New Roman"/>
          <w:i/>
          <w:szCs w:val="22"/>
        </w:rPr>
      </w:pPr>
    </w:p>
    <w:p w14:paraId="3D1180EF" w14:textId="77777777" w:rsidR="004C0A79" w:rsidRPr="00731F8E" w:rsidRDefault="004C0A79" w:rsidP="004C0A79">
      <w:pPr>
        <w:pStyle w:val="GvdeMetni"/>
        <w:spacing w:line="276" w:lineRule="auto"/>
        <w:ind w:left="1555" w:right="130"/>
        <w:rPr>
          <w:rFonts w:cs="Times New Roman"/>
          <w:szCs w:val="22"/>
        </w:rPr>
      </w:pPr>
      <w:r w:rsidRPr="00731F8E">
        <w:rPr>
          <w:rFonts w:cs="Times New Roman"/>
          <w:szCs w:val="22"/>
        </w:rPr>
        <w:t>"Article 66- Eligible consumers whose consumption amount is above the amount determined by the Board, eligible consumers who exercise the right to choose a supplier and other eligible consumers to be determined by the Board shall establish the shipment control center and communication systems within 30 (thirty) days at the latest from the notification date of the distribution company at their own expense within the framework of the criteria determined by the distribution company. If the eligible consumer does not establish the communication system within 30 (thirty) days from the date of notification, the communication system shall be established by the distribution company and invoiced to the eligible consumer. Renewal shall be made in accordance with the procedure in this article regarding the automatic volume correctors and systems that will provide communication opportunities that have completed the economic life of the eligible consumers compared to other legislation. The operation, compliance with the relevant standards and cyber security obligations of these installed systems are under the responsibility of the distribution company and all maintenance, repair, communication and operation costs are covered by the distribution company."</w:t>
      </w:r>
    </w:p>
    <w:p w14:paraId="638C2F62" w14:textId="77777777" w:rsidR="004C0A79" w:rsidRPr="00731F8E" w:rsidRDefault="004C0A79" w:rsidP="00A86526">
      <w:pPr>
        <w:pStyle w:val="ListeParagraf"/>
        <w:widowControl w:val="0"/>
        <w:numPr>
          <w:ilvl w:val="4"/>
          <w:numId w:val="52"/>
        </w:numPr>
        <w:tabs>
          <w:tab w:val="left" w:pos="1555"/>
        </w:tabs>
        <w:autoSpaceDE w:val="0"/>
        <w:autoSpaceDN w:val="0"/>
        <w:spacing w:before="66" w:after="0" w:line="240" w:lineRule="auto"/>
        <w:ind w:left="1555" w:hanging="359"/>
        <w:contextualSpacing w:val="0"/>
        <w:jc w:val="left"/>
        <w:rPr>
          <w:rFonts w:ascii="Times New Roman" w:hAnsi="Times New Roman"/>
        </w:rPr>
      </w:pPr>
      <w:r w:rsidRPr="00731F8E">
        <w:rPr>
          <w:rFonts w:ascii="Times New Roman" w:hAnsi="Times New Roman"/>
        </w:rPr>
        <w:t>The first paragraph of Article 67 has been amended as follows.</w:t>
      </w:r>
    </w:p>
    <w:p w14:paraId="1402A549" w14:textId="77777777" w:rsidR="004C0A79" w:rsidRPr="00731F8E" w:rsidRDefault="004C0A79" w:rsidP="004C0A79">
      <w:pPr>
        <w:pStyle w:val="GvdeMetni"/>
        <w:spacing w:before="44"/>
        <w:rPr>
          <w:rFonts w:cs="Times New Roman"/>
          <w:i/>
          <w:szCs w:val="22"/>
        </w:rPr>
      </w:pPr>
    </w:p>
    <w:p w14:paraId="448B9D76" w14:textId="77777777" w:rsidR="004C0A79" w:rsidRPr="00731F8E" w:rsidRDefault="004C0A79" w:rsidP="004C0A79">
      <w:pPr>
        <w:pStyle w:val="GvdeMetni"/>
        <w:spacing w:line="276" w:lineRule="auto"/>
        <w:ind w:left="1556" w:right="135"/>
        <w:rPr>
          <w:rFonts w:cs="Times New Roman"/>
          <w:szCs w:val="22"/>
        </w:rPr>
      </w:pPr>
      <w:r w:rsidRPr="00731F8E">
        <w:rPr>
          <w:rFonts w:cs="Times New Roman"/>
          <w:szCs w:val="22"/>
        </w:rPr>
        <w:t>“The distribution company shall carry out pressure checks on pipelines, urban zone stations and valves for a maximum period of fifteen days in order to ensure a balanced and safe natural gas flow and shall maintain reports on these checks.”</w:t>
      </w:r>
    </w:p>
    <w:p w14:paraId="3B249DB2" w14:textId="77777777" w:rsidR="004C0A79" w:rsidRPr="00731F8E" w:rsidRDefault="004C0A79" w:rsidP="004C0A79">
      <w:pPr>
        <w:pStyle w:val="GvdeMetni"/>
        <w:spacing w:before="38"/>
        <w:rPr>
          <w:rFonts w:cs="Times New Roman"/>
          <w:szCs w:val="22"/>
        </w:rPr>
      </w:pPr>
    </w:p>
    <w:p w14:paraId="06C289BD"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68 has been amended as follows.</w:t>
      </w:r>
    </w:p>
    <w:p w14:paraId="702AC37E" w14:textId="77777777" w:rsidR="004C0A79" w:rsidRPr="00731F8E" w:rsidRDefault="004C0A79" w:rsidP="004C0A79">
      <w:pPr>
        <w:pStyle w:val="GvdeMetni"/>
        <w:spacing w:before="44"/>
        <w:rPr>
          <w:rFonts w:cs="Times New Roman"/>
          <w:i/>
          <w:szCs w:val="22"/>
        </w:rPr>
      </w:pPr>
    </w:p>
    <w:p w14:paraId="339A9C94"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"Article 68- The distribution company performs or has performed the inspection, repair and adjustment procedures of the meters in accordance with the Measuring Instruments Legislation. It calibrates, reports and maintains the meters in accordance with the periods specified in the legislation and the recommendations of the manufacturer companies. It ensures that natural gas detectors are calibrated at intervals in accordance with the recommendations of the manufacturers. In addition, the calibration of other equipment used in the measurement system is carried out according to the relevant legislation, standards, and if there is no relevant legislation and </w:t>
      </w:r>
      <w:r w:rsidRPr="00731F8E">
        <w:rPr>
          <w:rFonts w:cs="Times New Roman"/>
          <w:szCs w:val="22"/>
        </w:rPr>
        <w:lastRenderedPageBreak/>
        <w:t>standard, the manufacturer's recommendations."</w:t>
      </w:r>
    </w:p>
    <w:p w14:paraId="4D75B182" w14:textId="77777777" w:rsidR="004C0A79" w:rsidRPr="00731F8E" w:rsidRDefault="004C0A79" w:rsidP="004C0A79">
      <w:pPr>
        <w:pStyle w:val="GvdeMetni"/>
        <w:spacing w:before="38"/>
        <w:rPr>
          <w:rFonts w:cs="Times New Roman"/>
          <w:szCs w:val="22"/>
        </w:rPr>
      </w:pPr>
    </w:p>
    <w:p w14:paraId="3727969A"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following paragraph has been added to Article 70.</w:t>
      </w:r>
    </w:p>
    <w:p w14:paraId="04C96BA3" w14:textId="77777777" w:rsidR="004C0A79" w:rsidRPr="00731F8E" w:rsidRDefault="004C0A79" w:rsidP="004C0A79">
      <w:pPr>
        <w:pStyle w:val="GvdeMetni"/>
        <w:spacing w:before="44"/>
        <w:rPr>
          <w:rFonts w:cs="Times New Roman"/>
          <w:i/>
          <w:szCs w:val="22"/>
        </w:rPr>
      </w:pPr>
    </w:p>
    <w:p w14:paraId="3E330FF3" w14:textId="77777777" w:rsidR="004C0A79" w:rsidRPr="00731F8E" w:rsidRDefault="004C0A79" w:rsidP="004C0A79">
      <w:pPr>
        <w:pStyle w:val="GvdeMetni"/>
        <w:spacing w:line="276" w:lineRule="auto"/>
        <w:ind w:left="1556" w:right="134"/>
        <w:rPr>
          <w:rFonts w:cs="Times New Roman"/>
          <w:szCs w:val="22"/>
        </w:rPr>
      </w:pPr>
      <w:r w:rsidRPr="00731F8E">
        <w:rPr>
          <w:rFonts w:cs="Times New Roman"/>
          <w:szCs w:val="22"/>
        </w:rPr>
        <w:t>“In accordance with Article 4 of Law No. 4646, if the municipality of the settlement requests to invest in the natural gas distribution company in the new expansion areas to be added to the distribution regions of the natural gas distribution companies; no fee is collected from the relevant distribution company, such as guarantee, supervision service fee, coating fee, ground/area destruction fee, excavation dump fee, etc., and the top coating of the infrastructure excavation area is done free of charge by the relevant municipality."</w:t>
      </w:r>
    </w:p>
    <w:p w14:paraId="47F7BEE9" w14:textId="77777777" w:rsidR="004C0A79" w:rsidRPr="00731F8E" w:rsidRDefault="004C0A79" w:rsidP="004C0A79">
      <w:pPr>
        <w:pStyle w:val="GvdeMetni"/>
        <w:spacing w:before="40"/>
        <w:rPr>
          <w:rFonts w:cs="Times New Roman"/>
          <w:szCs w:val="22"/>
        </w:rPr>
      </w:pPr>
    </w:p>
    <w:p w14:paraId="0663BE20"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The following provisional article has been added.</w:t>
      </w:r>
    </w:p>
    <w:p w14:paraId="3B817E0F" w14:textId="77777777" w:rsidR="004C0A79" w:rsidRPr="00731F8E" w:rsidRDefault="004C0A79" w:rsidP="004C0A79">
      <w:pPr>
        <w:pStyle w:val="GvdeMetni"/>
        <w:spacing w:before="41"/>
        <w:rPr>
          <w:rFonts w:cs="Times New Roman"/>
          <w:i/>
          <w:szCs w:val="22"/>
        </w:rPr>
      </w:pPr>
    </w:p>
    <w:p w14:paraId="71CDD445"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"Provisional Article 11- Distribution companies are obliged to complete the operations required to be carried out in their infrastructures and/or systems in accordance with the provisions of the Regulation establishing this article within 6 (six) months from the date of entry into force of this article."</w:t>
      </w:r>
    </w:p>
    <w:p w14:paraId="00555E92" w14:textId="77777777" w:rsidR="004C0A79" w:rsidRPr="00731F8E" w:rsidRDefault="004C0A79" w:rsidP="004C0A79">
      <w:pPr>
        <w:pStyle w:val="GvdeMetni"/>
        <w:spacing w:before="41"/>
        <w:rPr>
          <w:rFonts w:cs="Times New Roman"/>
          <w:szCs w:val="22"/>
        </w:rPr>
      </w:pPr>
    </w:p>
    <w:p w14:paraId="6619B21F" w14:textId="77777777" w:rsidR="004C0A79" w:rsidRPr="00731F8E" w:rsidRDefault="004C0A79" w:rsidP="00A86526">
      <w:pPr>
        <w:pStyle w:val="ListeParagraf"/>
        <w:widowControl w:val="0"/>
        <w:numPr>
          <w:ilvl w:val="3"/>
          <w:numId w:val="52"/>
        </w:numPr>
        <w:tabs>
          <w:tab w:val="left" w:pos="835"/>
        </w:tabs>
        <w:autoSpaceDE w:val="0"/>
        <w:autoSpaceDN w:val="0"/>
        <w:spacing w:before="1" w:after="0" w:line="256" w:lineRule="auto"/>
        <w:ind w:left="835" w:right="132"/>
        <w:contextualSpacing w:val="0"/>
        <w:jc w:val="left"/>
        <w:rPr>
          <w:rFonts w:ascii="Times New Roman" w:hAnsi="Times New Roman"/>
        </w:rPr>
      </w:pPr>
      <w:r w:rsidRPr="00731F8E">
        <w:rPr>
          <w:rFonts w:ascii="Times New Roman" w:hAnsi="Times New Roman"/>
        </w:rPr>
        <w:t xml:space="preserve">ANNEX-10 and ANNEX-12 of the </w:t>
      </w:r>
      <w:r w:rsidRPr="00731F8E">
        <w:rPr>
          <w:rFonts w:ascii="Times New Roman" w:hAnsi="Times New Roman"/>
          <w:b/>
        </w:rPr>
        <w:t xml:space="preserve">Natural Gas Market Certificate </w:t>
      </w:r>
      <w:r w:rsidRPr="00731F8E">
        <w:rPr>
          <w:rFonts w:ascii="Times New Roman" w:hAnsi="Times New Roman"/>
        </w:rPr>
        <w:t>Regulation have been amended with the Amendment Regulation published in the Official Gazette dated 01.07.2022 and numbered 31883.</w:t>
      </w:r>
    </w:p>
    <w:p w14:paraId="02D33A1D" w14:textId="77777777" w:rsidR="004C0A79" w:rsidRPr="00731F8E" w:rsidRDefault="004C0A79" w:rsidP="004C0A79">
      <w:pPr>
        <w:pStyle w:val="GvdeMetni"/>
        <w:spacing w:before="44"/>
        <w:rPr>
          <w:rFonts w:cs="Times New Roman"/>
          <w:i/>
          <w:szCs w:val="22"/>
        </w:rPr>
      </w:pPr>
    </w:p>
    <w:p w14:paraId="7C692D25" w14:textId="77777777" w:rsidR="004C0A79" w:rsidRPr="00731F8E" w:rsidRDefault="004C0A79" w:rsidP="004C0A79">
      <w:pPr>
        <w:tabs>
          <w:tab w:val="left" w:pos="1555"/>
        </w:tabs>
        <w:spacing w:line="256" w:lineRule="auto"/>
        <w:ind w:left="567" w:right="135"/>
        <w:rPr>
          <w:rFonts w:ascii="Times New Roman" w:hAnsi="Times New Roman"/>
        </w:rPr>
      </w:pPr>
      <w:r w:rsidRPr="00731F8E">
        <w:rPr>
          <w:rFonts w:ascii="Times New Roman" w:hAnsi="Times New Roman"/>
        </w:rPr>
        <w:t>•    With the Amendment Regulation published in the Official Gazette dated 23.09.2022 and numbered 31962, clauses (16), (19) and (43) of the first paragraph of Article 4 of the Natural Gas Market License Regulation have been amended as follows and the following clauses have been added to the same paragraph.</w:t>
      </w:r>
    </w:p>
    <w:p w14:paraId="69F5D0A3" w14:textId="77777777" w:rsidR="004C0A79" w:rsidRPr="00731F8E" w:rsidRDefault="004C0A79" w:rsidP="004C0A79">
      <w:pPr>
        <w:pStyle w:val="GvdeMetni"/>
        <w:spacing w:before="44"/>
        <w:rPr>
          <w:rFonts w:cs="Times New Roman"/>
          <w:i/>
          <w:szCs w:val="22"/>
        </w:rPr>
      </w:pPr>
    </w:p>
    <w:p w14:paraId="1651F939"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 xml:space="preserve">Transmission: Transport of natural gas carried out by gas pipeline network other than upstream lines specific to production and distribution networks, or transport of natural gas with LNG transport vehicles except for the transport of liquefied natural gas (LNG) within the scope of export license. </w:t>
      </w:r>
    </w:p>
    <w:p w14:paraId="61D2CAC9" w14:textId="77777777" w:rsidR="004C0A79" w:rsidRPr="00731F8E" w:rsidRDefault="004C0A79" w:rsidP="004C0A79">
      <w:pPr>
        <w:pStyle w:val="GvdeMetni"/>
        <w:spacing w:before="37" w:line="276" w:lineRule="auto"/>
        <w:ind w:left="1556" w:right="136"/>
        <w:rPr>
          <w:rFonts w:cs="Times New Roman"/>
          <w:szCs w:val="22"/>
        </w:rPr>
      </w:pPr>
      <w:r w:rsidRPr="00731F8E">
        <w:rPr>
          <w:rFonts w:cs="Times New Roman"/>
          <w:szCs w:val="22"/>
        </w:rPr>
        <w:t xml:space="preserve">Import company: The legal entity engaged in the activities of importing natural gas in the form of LNG, compressed natural gas (CNG) or gas, </w:t>
      </w:r>
    </w:p>
    <w:p w14:paraId="6EBA5B02"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 xml:space="preserve">Production: Within the scope of the Turkish Petroleum Law dated 30/5/2013 and numbered 6491, natural gas extracted from underground deposits in Türkiye, cleaned and purified, transported to the transmission lines and/or distribution network by upstream pipelines, </w:t>
      </w:r>
    </w:p>
    <w:p w14:paraId="7E423B55"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 xml:space="preserve">p) Organized wholesale natural gas market (OTSP): The markets regulated by the Board, in which the purchase-sale and balancing transactions of natural gas are carried out by the licensees using the natural gas system, and the natural gas markets requiring future physical delivery and other natural gas market transactions determined by the Board, </w:t>
      </w:r>
    </w:p>
    <w:p w14:paraId="4DEB2364"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 xml:space="preserve">Last resort supply: Provision of gas supply by licensees authorized within the framework of the method determined by the Board to consumers who cannot be supplied natural gas despite having the right to become an eligible consumer or due to reasons such as the bankruptcy of the companies supplying natural gas to consumers during the contract period, cancellation of their licenses and/or failure to fulfill their liabilities within the framework of the organized wholesale natural gas market. </w:t>
      </w:r>
    </w:p>
    <w:p w14:paraId="50B98260" w14:textId="77777777" w:rsidR="004C0A79" w:rsidRPr="00731F8E" w:rsidRDefault="004C0A79" w:rsidP="004C0A79">
      <w:pPr>
        <w:pStyle w:val="GvdeMetni"/>
        <w:spacing w:before="37"/>
        <w:rPr>
          <w:rFonts w:cs="Times New Roman"/>
          <w:szCs w:val="22"/>
        </w:rPr>
      </w:pPr>
    </w:p>
    <w:p w14:paraId="77CB8EEA"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fourth paragraph of Article 9 has been amended as follows.</w:t>
      </w:r>
    </w:p>
    <w:p w14:paraId="57369261" w14:textId="77777777" w:rsidR="004C0A79" w:rsidRPr="00731F8E" w:rsidRDefault="004C0A79" w:rsidP="004C0A79">
      <w:pPr>
        <w:pStyle w:val="GvdeMetni"/>
        <w:spacing w:before="63"/>
        <w:rPr>
          <w:rFonts w:cs="Times New Roman"/>
          <w:i/>
          <w:szCs w:val="22"/>
        </w:rPr>
      </w:pPr>
    </w:p>
    <w:p w14:paraId="639A7851"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"However, before announcing the application regarding the site where the underground natural gas storage activity will be carried out, the approval of the General Directorate of Mining and Petroleum Affairs is obtained in terms of the oil exploration and operation license rights and oil activities granted in accordance with the Law No. 6491. If the location subject to the announcement corresponds to an area where crude oil or natural gas is produced, the applications made for this area will be rejected by the decision of the Board and the announcement will not be made. According to the Law No. 6491, if the legal entity holding the operating license applies to the Authority following the approval of the General Directorate of Mining and Petroleum Affairs to use the underground natural gas reservoir where natural gas is produced for storage purposes, the relevant part of the operating license shall be converted into a storage license, provided that it meets the conditions for obtaining a storage license, and the remaining part shall be made open to application."</w:t>
      </w:r>
    </w:p>
    <w:p w14:paraId="3806968A" w14:textId="77777777" w:rsidR="004C0A79" w:rsidRPr="00731F8E" w:rsidRDefault="004C0A79" w:rsidP="004C0A79">
      <w:pPr>
        <w:pStyle w:val="GvdeMetni"/>
        <w:spacing w:before="39"/>
        <w:rPr>
          <w:rFonts w:cs="Times New Roman"/>
          <w:szCs w:val="22"/>
        </w:rPr>
      </w:pPr>
    </w:p>
    <w:p w14:paraId="6FCA012D"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first paragraph of Article 11 has been amended as follows.</w:t>
      </w:r>
    </w:p>
    <w:p w14:paraId="339BFB68" w14:textId="77777777" w:rsidR="004C0A79" w:rsidRPr="00731F8E" w:rsidRDefault="004C0A79" w:rsidP="004C0A79">
      <w:pPr>
        <w:pStyle w:val="GvdeMetni"/>
        <w:spacing w:before="60"/>
        <w:rPr>
          <w:rFonts w:cs="Times New Roman"/>
          <w:i/>
          <w:szCs w:val="22"/>
        </w:rPr>
      </w:pPr>
    </w:p>
    <w:p w14:paraId="02089987" w14:textId="77777777" w:rsidR="004C0A79" w:rsidRPr="00731F8E" w:rsidRDefault="004C0A79" w:rsidP="004C0A79">
      <w:pPr>
        <w:pStyle w:val="GvdeMetni"/>
        <w:spacing w:line="276" w:lineRule="auto"/>
        <w:ind w:left="1555" w:right="132"/>
        <w:rPr>
          <w:rFonts w:cs="Times New Roman"/>
          <w:szCs w:val="22"/>
        </w:rPr>
      </w:pPr>
      <w:r w:rsidRPr="00731F8E">
        <w:rPr>
          <w:rFonts w:cs="Times New Roman"/>
          <w:szCs w:val="22"/>
        </w:rPr>
        <w:t>The Authority shall respond to the application of the legal entities operating in the natural gas market to the Authority for obtaining a license within a maximum of sixty days from the date of application. This period is applied as thirty days for import (spot) licenses."</w:t>
      </w:r>
    </w:p>
    <w:p w14:paraId="1EF6943B" w14:textId="77777777" w:rsidR="004C0A79" w:rsidRPr="00731F8E" w:rsidRDefault="004C0A79" w:rsidP="004C0A79">
      <w:pPr>
        <w:pStyle w:val="GvdeMetni"/>
        <w:spacing w:before="41"/>
        <w:rPr>
          <w:rFonts w:cs="Times New Roman"/>
          <w:szCs w:val="22"/>
        </w:rPr>
      </w:pPr>
    </w:p>
    <w:p w14:paraId="74A15A26"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fourth paragraph of Article 15 has been amended as follows.</w:t>
      </w:r>
    </w:p>
    <w:p w14:paraId="6D0C55EB" w14:textId="77777777" w:rsidR="004C0A79" w:rsidRPr="00731F8E" w:rsidRDefault="004C0A79" w:rsidP="004C0A79">
      <w:pPr>
        <w:pStyle w:val="GvdeMetni"/>
        <w:spacing w:before="60"/>
        <w:rPr>
          <w:rFonts w:cs="Times New Roman"/>
          <w:i/>
          <w:szCs w:val="22"/>
        </w:rPr>
      </w:pPr>
    </w:p>
    <w:p w14:paraId="0D490ACA" w14:textId="77777777" w:rsidR="004C0A79" w:rsidRPr="00731F8E" w:rsidRDefault="004C0A79" w:rsidP="004C0A79">
      <w:pPr>
        <w:pStyle w:val="GvdeMetni"/>
        <w:spacing w:line="276" w:lineRule="auto"/>
        <w:ind w:left="1556" w:right="131"/>
        <w:rPr>
          <w:rFonts w:cs="Times New Roman"/>
          <w:szCs w:val="22"/>
        </w:rPr>
      </w:pPr>
      <w:r w:rsidRPr="00731F8E">
        <w:rPr>
          <w:rFonts w:cs="Times New Roman"/>
          <w:szCs w:val="22"/>
        </w:rPr>
        <w:t>“The renewal procedures of the licenses granted for import, export, storage, distribution and pipeline transmission activities are carried out by the Board; Renewal procedures of licenses issued for wholesale, wholesale (AutoLNG), compressed natural gas (CNG) and transmission (LNG) activities are carried out by the Authority.</w:t>
      </w:r>
    </w:p>
    <w:p w14:paraId="462FA8F2" w14:textId="77777777" w:rsidR="004C0A79" w:rsidRPr="00731F8E" w:rsidRDefault="004C0A79" w:rsidP="004C0A79">
      <w:pPr>
        <w:pStyle w:val="GvdeMetni"/>
        <w:spacing w:before="37" w:line="276" w:lineRule="auto"/>
        <w:ind w:left="1556" w:right="133"/>
        <w:rPr>
          <w:rFonts w:cs="Times New Roman"/>
          <w:szCs w:val="22"/>
        </w:rPr>
      </w:pPr>
      <w:r w:rsidRPr="00731F8E">
        <w:rPr>
          <w:rFonts w:cs="Times New Roman"/>
          <w:szCs w:val="22"/>
        </w:rPr>
        <w:t>Written application for license renewal shall be finalized within ninety days. In the application, a document showing the current capital amount of the licensee company is submitted. If the application is approved by the Board/Authority, the document indicating that the license renewal fee has been deposited into the account of the Authority and, if insufficient, the document showing that the capital of the licensee has been increased to the minimum capital in the amount specified in the relevant legislation for the current year shall be submitted to the Authority within ninety days from the date of written notification. This period shall in any case not exceed the expiry date of the license period. The legal entity fulfilling its obligations within the period shall be granted a new license based on the relevant Board Decision/Approval of the Presidential Authority."</w:t>
      </w:r>
    </w:p>
    <w:p w14:paraId="2D712348" w14:textId="77777777" w:rsidR="004C0A79" w:rsidRPr="00731F8E" w:rsidRDefault="004C0A79" w:rsidP="004C0A79">
      <w:pPr>
        <w:pStyle w:val="GvdeMetni"/>
        <w:spacing w:before="40"/>
        <w:rPr>
          <w:rFonts w:cs="Times New Roman"/>
          <w:szCs w:val="22"/>
        </w:rPr>
      </w:pPr>
    </w:p>
    <w:p w14:paraId="6863530D" w14:textId="77777777" w:rsidR="004C0A79" w:rsidRPr="00731F8E" w:rsidRDefault="004C0A79" w:rsidP="00A86526">
      <w:pPr>
        <w:pStyle w:val="ListeParagraf"/>
        <w:widowControl w:val="0"/>
        <w:numPr>
          <w:ilvl w:val="4"/>
          <w:numId w:val="52"/>
        </w:numPr>
        <w:tabs>
          <w:tab w:val="left" w:pos="1556"/>
        </w:tabs>
        <w:autoSpaceDE w:val="0"/>
        <w:autoSpaceDN w:val="0"/>
        <w:spacing w:before="1" w:after="0" w:line="259" w:lineRule="auto"/>
        <w:ind w:right="135"/>
        <w:contextualSpacing w:val="0"/>
        <w:jc w:val="left"/>
        <w:rPr>
          <w:rFonts w:ascii="Times New Roman" w:hAnsi="Times New Roman"/>
        </w:rPr>
      </w:pPr>
      <w:r w:rsidRPr="00731F8E">
        <w:rPr>
          <w:rFonts w:ascii="Times New Roman" w:hAnsi="Times New Roman"/>
        </w:rPr>
        <w:t>The first paragraph of Article 19 has been amended as follows and the following paragraph has been added to the same article after the eighth paragraph.</w:t>
      </w:r>
    </w:p>
    <w:p w14:paraId="45760804" w14:textId="77777777" w:rsidR="004C0A79" w:rsidRPr="00731F8E" w:rsidRDefault="004C0A79" w:rsidP="004C0A79">
      <w:pPr>
        <w:pStyle w:val="GvdeMetni"/>
        <w:spacing w:before="39"/>
        <w:rPr>
          <w:rFonts w:cs="Times New Roman"/>
          <w:i/>
          <w:szCs w:val="22"/>
        </w:rPr>
      </w:pPr>
    </w:p>
    <w:p w14:paraId="5C1E69AD"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“The importing company carries out the activities of importing LNG, compressed natural gas (CNG) or natural gas in the form of gas from abroad for the purpose of domestic sales or direct sales abroad. Importer companies have to obtain a separate license for each import connection they make and can purchase natural gas from production companies, wholesale companies and each other.”</w:t>
      </w:r>
    </w:p>
    <w:p w14:paraId="15C90517"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"The amount corresponding to the ratio of the imported spot pipe gas amount determined by the Board in the relevant procedures and principles is sold in OTSP within the period determined in the relevant procedures and principles. Guarantee can be obtained from license holders who will apply for a request in order to reserve the capacity, use the capacity and/or guarantee the fulfillment of sales obligations in OTSP within the framework of the Procedures and Principles determined by the Board regarding spot pipe gas imports."</w:t>
      </w:r>
    </w:p>
    <w:p w14:paraId="5BD504C4" w14:textId="77777777" w:rsidR="004C0A79" w:rsidRPr="00731F8E" w:rsidRDefault="004C0A79" w:rsidP="004C0A79">
      <w:pPr>
        <w:pStyle w:val="GvdeMetni"/>
        <w:spacing w:before="39"/>
        <w:rPr>
          <w:rFonts w:cs="Times New Roman"/>
          <w:szCs w:val="22"/>
        </w:rPr>
      </w:pPr>
    </w:p>
    <w:p w14:paraId="1624C300"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sixth paragraph of Article 21 has been amended as follows.</w:t>
      </w:r>
    </w:p>
    <w:p w14:paraId="1B598AC7" w14:textId="77777777" w:rsidR="004C0A79" w:rsidRPr="00731F8E" w:rsidRDefault="004C0A79" w:rsidP="004C0A79">
      <w:pPr>
        <w:pStyle w:val="GvdeMetni"/>
        <w:spacing w:before="60"/>
        <w:rPr>
          <w:rFonts w:cs="Times New Roman"/>
          <w:i/>
          <w:szCs w:val="22"/>
        </w:rPr>
      </w:pPr>
    </w:p>
    <w:p w14:paraId="552DBB79"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“The transmission license (LNG) holder carries liquefied natural gas (LNG) within the scope of its license by means of LNG transportation in Turkish territorial waters and/or within the borders of Turkey. The transmission licensee (LNG) is responsible for carrying out the LNG filling, transportation and delivery activities within the scope of the license within the framework of the procedures and principles specified in the relevant legislation and for planning, projecting, constructing or supplying and operating the facilities according to the stipulated standards by means of transportation for this activity. No system user may transmit LNG without obtaining a transmission license (LNG). Except for the obligation to obtain a transmission license, these provisions also apply to exporting companies that have been included in the license of information on LNG transportation activity, provided that they do not carry out domestic delivery activities."</w:t>
      </w:r>
    </w:p>
    <w:p w14:paraId="567E0039" w14:textId="77777777" w:rsidR="004C0A79" w:rsidRPr="00731F8E" w:rsidRDefault="004C0A79" w:rsidP="004C0A79">
      <w:pPr>
        <w:pStyle w:val="GvdeMetni"/>
        <w:spacing w:before="41"/>
        <w:rPr>
          <w:rFonts w:cs="Times New Roman"/>
          <w:szCs w:val="22"/>
        </w:rPr>
      </w:pPr>
    </w:p>
    <w:p w14:paraId="3ADB80C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Article 24 has been amended as follows.</w:t>
      </w:r>
    </w:p>
    <w:p w14:paraId="11E8CFC7" w14:textId="77777777" w:rsidR="004C0A79" w:rsidRPr="00731F8E" w:rsidRDefault="004C0A79" w:rsidP="004C0A79">
      <w:pPr>
        <w:pStyle w:val="GvdeMetni"/>
        <w:spacing w:before="60"/>
        <w:rPr>
          <w:rFonts w:cs="Times New Roman"/>
          <w:i/>
          <w:szCs w:val="22"/>
        </w:rPr>
      </w:pPr>
    </w:p>
    <w:p w14:paraId="2B77CB94" w14:textId="77777777" w:rsidR="004C0A79" w:rsidRPr="00731F8E" w:rsidRDefault="004C0A79" w:rsidP="004C0A79">
      <w:pPr>
        <w:pStyle w:val="GvdeMetni"/>
        <w:spacing w:line="276" w:lineRule="auto"/>
        <w:ind w:left="1555" w:right="134"/>
        <w:rPr>
          <w:rFonts w:cs="Times New Roman"/>
          <w:szCs w:val="22"/>
        </w:rPr>
      </w:pPr>
      <w:r w:rsidRPr="00731F8E">
        <w:rPr>
          <w:rFonts w:cs="Times New Roman"/>
          <w:szCs w:val="22"/>
        </w:rPr>
        <w:t>“Article 24- According to Law No. 6491, if companies with an operating license apply to the Authority following the approval of the General Directorate of Mining and Petroleum Affairs to use the underground natural gas deposit from which they produce natural gas for storage purposes, if deemed appropriate by the Board, the relevant section of the operating license shall be converted into a storage license.</w:t>
      </w:r>
    </w:p>
    <w:p w14:paraId="2DC9AEC7" w14:textId="77777777" w:rsidR="004C0A79" w:rsidRPr="00731F8E" w:rsidRDefault="004C0A79" w:rsidP="004C0A79">
      <w:pPr>
        <w:pStyle w:val="GvdeMetni"/>
        <w:spacing w:before="37" w:line="276" w:lineRule="auto"/>
        <w:ind w:left="1556" w:right="132"/>
        <w:rPr>
          <w:rFonts w:cs="Times New Roman"/>
          <w:szCs w:val="22"/>
        </w:rPr>
      </w:pPr>
      <w:r w:rsidRPr="00731F8E">
        <w:rPr>
          <w:rFonts w:cs="Times New Roman"/>
          <w:szCs w:val="22"/>
        </w:rPr>
        <w:t xml:space="preserve">However, the production company should document with its application to the Authority that it is eligible for </w:t>
      </w:r>
      <w:r w:rsidRPr="00731F8E">
        <w:rPr>
          <w:rFonts w:cs="Times New Roman"/>
          <w:szCs w:val="22"/>
        </w:rPr>
        <w:lastRenderedPageBreak/>
        <w:t xml:space="preserve">the storage license. If the company starts storage activities, it shall carry out the same as a separate activity by keeping the accounts respectively. </w:t>
      </w:r>
    </w:p>
    <w:p w14:paraId="2D42E31C" w14:textId="77777777" w:rsidR="004C0A79" w:rsidRPr="00731F8E" w:rsidRDefault="004C0A79" w:rsidP="004C0A79">
      <w:pPr>
        <w:pStyle w:val="GvdeMetni"/>
        <w:spacing w:before="42"/>
        <w:rPr>
          <w:rFonts w:cs="Times New Roman"/>
          <w:szCs w:val="22"/>
        </w:rPr>
      </w:pPr>
    </w:p>
    <w:p w14:paraId="7A0F6257"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first and fourth paragraphs of Article 26 have been amended as follows.</w:t>
      </w:r>
    </w:p>
    <w:p w14:paraId="3B3C9426" w14:textId="77777777" w:rsidR="004C0A79" w:rsidRPr="00731F8E" w:rsidRDefault="004C0A79" w:rsidP="004C0A79">
      <w:pPr>
        <w:pStyle w:val="GvdeMetni"/>
        <w:spacing w:before="60"/>
        <w:rPr>
          <w:rFonts w:cs="Times New Roman"/>
          <w:i/>
          <w:szCs w:val="22"/>
        </w:rPr>
      </w:pPr>
    </w:p>
    <w:p w14:paraId="1E0C490D"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 xml:space="preserve">"Natural gas exploration and production activities are carried out in accordance with Law No. 6491. Exploration and operation licenses are issued by the General Directorate of Petroleum Affairs. Production activity is not regarded as market activity. </w:t>
      </w:r>
    </w:p>
    <w:p w14:paraId="585B49FE" w14:textId="77777777" w:rsidR="004C0A79" w:rsidRPr="00731F8E" w:rsidRDefault="004C0A79" w:rsidP="004C0A79">
      <w:pPr>
        <w:pStyle w:val="GvdeMetni"/>
        <w:spacing w:line="276" w:lineRule="auto"/>
        <w:ind w:left="1556" w:right="130"/>
        <w:rPr>
          <w:rFonts w:cs="Times New Roman"/>
          <w:szCs w:val="22"/>
        </w:rPr>
      </w:pPr>
      <w:r w:rsidRPr="00731F8E">
        <w:rPr>
          <w:rFonts w:cs="Times New Roman"/>
          <w:szCs w:val="22"/>
        </w:rPr>
        <w:t>The generated natural gas shall be transported according to the transportation and delivery contracts to be made with the transmission companies. In case the generation center is far from the connected system, the transmission of the generated gas by direct line without the requirement of creating a connected system and its sale to eligible consumers can be made by the production companies. However, such matter depends on the decision of the Board to be given by taking into consideration the economical and technical conditions. Provided that it is decided by the Board that the transmission of the produced natural gas through the transmission network is not technically and economically appropriate and the wholesale company performing the generation fulfills its obligations, it is primarily purchased by the natural gas distribution company generated by connecting to the distribution network by the generation company. The Board determines the natural gas price to be purchased in this context when necessary. In addition, in the event that the production capacity of the natural gas produced by the production companies is less than the amount specified in clause (1) of paragraph (a) of Article 8, they may sell the produced natural gas to other consumers without performing urban distribution activities. The rights of production companies in existing facilities related to transmission and storage are reserved. The exercise of this right is subject to the provisions of clauses (c) and (d) of paragraph (4) of Article 4 of the Law."</w:t>
      </w:r>
    </w:p>
    <w:p w14:paraId="4132800C" w14:textId="77777777" w:rsidR="004C0A79" w:rsidRPr="00731F8E" w:rsidRDefault="004C0A79" w:rsidP="004C0A79">
      <w:pPr>
        <w:pStyle w:val="GvdeMetni"/>
        <w:spacing w:before="40"/>
        <w:rPr>
          <w:rFonts w:cs="Times New Roman"/>
          <w:szCs w:val="22"/>
        </w:rPr>
      </w:pPr>
    </w:p>
    <w:p w14:paraId="49671FF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following paragraph has been added to Article 29.</w:t>
      </w:r>
    </w:p>
    <w:p w14:paraId="1442AEF0" w14:textId="77777777" w:rsidR="004C0A79" w:rsidRPr="00731F8E" w:rsidRDefault="004C0A79" w:rsidP="004C0A79">
      <w:pPr>
        <w:pStyle w:val="GvdeMetni"/>
        <w:spacing w:before="61"/>
        <w:rPr>
          <w:rFonts w:cs="Times New Roman"/>
          <w:i/>
          <w:szCs w:val="22"/>
        </w:rPr>
      </w:pPr>
    </w:p>
    <w:p w14:paraId="5D3DDCFE" w14:textId="77777777" w:rsidR="004C0A79" w:rsidRPr="00731F8E" w:rsidRDefault="004C0A79" w:rsidP="004C0A79">
      <w:pPr>
        <w:pStyle w:val="GvdeMetni"/>
        <w:spacing w:line="276" w:lineRule="auto"/>
        <w:ind w:left="1556" w:right="135"/>
        <w:rPr>
          <w:rFonts w:cs="Times New Roman"/>
          <w:szCs w:val="22"/>
        </w:rPr>
      </w:pPr>
      <w:r w:rsidRPr="00731F8E">
        <w:rPr>
          <w:rFonts w:cs="Times New Roman"/>
          <w:szCs w:val="22"/>
        </w:rPr>
        <w:t>"CNG delivery can be carried out by legal entities holding CNG transmission and distribution licenses to the facilities where CNG fueled vehicles are produced, in order to ensure that the said vehicles can be tested and delivered to the delivery point."</w:t>
      </w:r>
    </w:p>
    <w:p w14:paraId="2953D1C5" w14:textId="77777777" w:rsidR="004C0A79" w:rsidRPr="00731F8E" w:rsidRDefault="004C0A79" w:rsidP="004C0A79">
      <w:pPr>
        <w:pStyle w:val="GvdeMetni"/>
        <w:spacing w:before="40"/>
        <w:rPr>
          <w:rFonts w:cs="Times New Roman"/>
          <w:szCs w:val="22"/>
        </w:rPr>
      </w:pPr>
    </w:p>
    <w:p w14:paraId="0FA32FB6" w14:textId="77777777" w:rsidR="004C0A79" w:rsidRPr="00731F8E" w:rsidRDefault="004C0A79" w:rsidP="00A86526">
      <w:pPr>
        <w:pStyle w:val="ListeParagraf"/>
        <w:widowControl w:val="0"/>
        <w:numPr>
          <w:ilvl w:val="4"/>
          <w:numId w:val="52"/>
        </w:numPr>
        <w:tabs>
          <w:tab w:val="left" w:pos="1556"/>
        </w:tabs>
        <w:autoSpaceDE w:val="0"/>
        <w:autoSpaceDN w:val="0"/>
        <w:spacing w:before="1" w:after="0" w:line="240" w:lineRule="auto"/>
        <w:contextualSpacing w:val="0"/>
        <w:jc w:val="left"/>
        <w:rPr>
          <w:rFonts w:ascii="Times New Roman" w:hAnsi="Times New Roman"/>
        </w:rPr>
      </w:pPr>
      <w:r w:rsidRPr="00731F8E">
        <w:rPr>
          <w:rFonts w:ascii="Times New Roman" w:hAnsi="Times New Roman"/>
        </w:rPr>
        <w:t>The following paragraph has been added to Article 30.</w:t>
      </w:r>
    </w:p>
    <w:p w14:paraId="026A14FD" w14:textId="77777777" w:rsidR="004C0A79" w:rsidRPr="00731F8E" w:rsidRDefault="004C0A79" w:rsidP="004C0A79">
      <w:pPr>
        <w:pStyle w:val="GvdeMetni"/>
        <w:spacing w:before="60"/>
        <w:rPr>
          <w:rFonts w:cs="Times New Roman"/>
          <w:i/>
          <w:szCs w:val="22"/>
        </w:rPr>
      </w:pPr>
    </w:p>
    <w:p w14:paraId="3AB3E668"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Legal entities wishing to export LNG may carry out LNG transportation activities provided that they are included in the export licenses and do not carry out domestic delivery activities. Upon the request of the export license holder, the statement that LNG transportation can be carried out is added to the special provisions of the export license, provided that it does not carry out domestic delivery activities and complies with all obligations arising from the relevant and other legislation. In this case, a letter of undertaking is obtained from the applicant that the means of transport will be operated in accordance with the relevant standards and obligations arising from other legislation. License holders who deliver LNG to the export license holder are obliged to check that their transportation vehicles have the necessary documents within the scope of relevant and other legislation.”</w:t>
      </w:r>
    </w:p>
    <w:p w14:paraId="229AFBFA" w14:textId="77777777" w:rsidR="004C0A79" w:rsidRPr="00731F8E" w:rsidRDefault="004C0A79" w:rsidP="004C0A79">
      <w:pPr>
        <w:pStyle w:val="GvdeMetni"/>
        <w:spacing w:before="39"/>
        <w:rPr>
          <w:rFonts w:cs="Times New Roman"/>
          <w:szCs w:val="22"/>
        </w:rPr>
      </w:pPr>
    </w:p>
    <w:p w14:paraId="2EC16848" w14:textId="77777777" w:rsidR="004C0A79" w:rsidRPr="00731F8E" w:rsidRDefault="004C0A79" w:rsidP="00A86526">
      <w:pPr>
        <w:pStyle w:val="ListeParagraf"/>
        <w:widowControl w:val="0"/>
        <w:numPr>
          <w:ilvl w:val="4"/>
          <w:numId w:val="52"/>
        </w:numPr>
        <w:tabs>
          <w:tab w:val="left" w:pos="1555"/>
        </w:tabs>
        <w:autoSpaceDE w:val="0"/>
        <w:autoSpaceDN w:val="0"/>
        <w:spacing w:before="1" w:after="0" w:line="240" w:lineRule="auto"/>
        <w:ind w:left="1555" w:hanging="359"/>
        <w:contextualSpacing w:val="0"/>
        <w:jc w:val="left"/>
        <w:rPr>
          <w:rFonts w:ascii="Times New Roman" w:hAnsi="Times New Roman"/>
        </w:rPr>
      </w:pPr>
      <w:r w:rsidRPr="00731F8E">
        <w:rPr>
          <w:rFonts w:ascii="Times New Roman" w:hAnsi="Times New Roman"/>
        </w:rPr>
        <w:t>The following clause has been added to the first paragraph of Article 31.</w:t>
      </w:r>
    </w:p>
    <w:p w14:paraId="4CCA706A" w14:textId="77777777" w:rsidR="004C0A79" w:rsidRPr="00731F8E" w:rsidRDefault="004C0A79" w:rsidP="004C0A79">
      <w:pPr>
        <w:pStyle w:val="GvdeMetni"/>
        <w:spacing w:before="62"/>
        <w:rPr>
          <w:rFonts w:cs="Times New Roman"/>
          <w:i/>
          <w:szCs w:val="22"/>
        </w:rPr>
      </w:pPr>
    </w:p>
    <w:p w14:paraId="0D477FAF"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 xml:space="preserve">"n) The Board may authorize one or more licensees as the final source supplier to provide gas to consumers who cannot be supplied with natural gas or have the right to be an eligible consumer due to reasons such as bankruptcy, cancellation of their licenses and/or default as a result of failure to fulfill their obligations within the framework of OTSP within the contract period. The last resource supplier and the procedures and principles for determining the last resource supply price shall be determined by the Board. </w:t>
      </w:r>
    </w:p>
    <w:p w14:paraId="0AFA02A4" w14:textId="77777777" w:rsidR="004C0A79" w:rsidRPr="00731F8E" w:rsidRDefault="004C0A79" w:rsidP="004C0A79">
      <w:pPr>
        <w:pStyle w:val="GvdeMetni"/>
        <w:spacing w:before="40"/>
        <w:rPr>
          <w:rFonts w:cs="Times New Roman"/>
          <w:szCs w:val="22"/>
        </w:rPr>
      </w:pPr>
    </w:p>
    <w:p w14:paraId="34440B8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 The second paragraph of Article 34 has been amended as follows.</w:t>
      </w:r>
    </w:p>
    <w:p w14:paraId="317BB5A7" w14:textId="77777777" w:rsidR="004C0A79" w:rsidRPr="00731F8E" w:rsidRDefault="004C0A79" w:rsidP="004C0A79">
      <w:pPr>
        <w:pStyle w:val="GvdeMetni"/>
        <w:spacing w:before="60"/>
        <w:rPr>
          <w:rFonts w:cs="Times New Roman"/>
          <w:i/>
          <w:szCs w:val="22"/>
        </w:rPr>
      </w:pPr>
    </w:p>
    <w:p w14:paraId="71F49F8E" w14:textId="77777777" w:rsidR="004C0A79" w:rsidRPr="00731F8E" w:rsidRDefault="004C0A79" w:rsidP="004C0A79">
      <w:pPr>
        <w:pStyle w:val="GvdeMetni"/>
        <w:spacing w:line="276" w:lineRule="auto"/>
        <w:ind w:left="1556" w:right="136"/>
        <w:rPr>
          <w:rFonts w:cs="Times New Roman"/>
          <w:szCs w:val="22"/>
        </w:rPr>
      </w:pPr>
      <w:r w:rsidRPr="00731F8E">
        <w:rPr>
          <w:rFonts w:cs="Times New Roman"/>
          <w:szCs w:val="22"/>
        </w:rPr>
        <w:t>"In this context, legal entities holding transmission, distribution, CNG, wholesale (OTOLNG) and storage licenses shall cover their facilities with an "asset all risk "insurance covering risks such as natural disasters, fire and accidents."</w:t>
      </w:r>
    </w:p>
    <w:p w14:paraId="509A0D43" w14:textId="77777777" w:rsidR="004C0A79" w:rsidRPr="00731F8E" w:rsidRDefault="004C0A79" w:rsidP="004C0A79">
      <w:pPr>
        <w:pStyle w:val="GvdeMetni"/>
        <w:spacing w:before="41"/>
        <w:rPr>
          <w:rFonts w:cs="Times New Roman"/>
          <w:szCs w:val="22"/>
        </w:rPr>
      </w:pPr>
    </w:p>
    <w:p w14:paraId="40FB94CA" w14:textId="77777777" w:rsidR="004C0A79" w:rsidRPr="00731F8E" w:rsidRDefault="004C0A79" w:rsidP="00A86526">
      <w:pPr>
        <w:pStyle w:val="ListeParagraf"/>
        <w:widowControl w:val="0"/>
        <w:numPr>
          <w:ilvl w:val="4"/>
          <w:numId w:val="52"/>
        </w:numPr>
        <w:tabs>
          <w:tab w:val="left" w:pos="1556"/>
        </w:tabs>
        <w:autoSpaceDE w:val="0"/>
        <w:autoSpaceDN w:val="0"/>
        <w:spacing w:after="0" w:line="259" w:lineRule="auto"/>
        <w:ind w:right="134"/>
        <w:contextualSpacing w:val="0"/>
        <w:jc w:val="left"/>
        <w:rPr>
          <w:rFonts w:ascii="Times New Roman" w:hAnsi="Times New Roman"/>
        </w:rPr>
      </w:pPr>
      <w:r w:rsidRPr="00731F8E">
        <w:rPr>
          <w:rFonts w:ascii="Times New Roman" w:hAnsi="Times New Roman"/>
        </w:rPr>
        <w:t xml:space="preserve">The following paragraphs have been added to Article 42 after the tenth paragraph, and the </w:t>
      </w:r>
      <w:r w:rsidRPr="00731F8E">
        <w:rPr>
          <w:rFonts w:ascii="Times New Roman" w:hAnsi="Times New Roman"/>
        </w:rPr>
        <w:lastRenderedPageBreak/>
        <w:t>eighth and current eleventh paragraphs have been amended as follows.</w:t>
      </w:r>
    </w:p>
    <w:p w14:paraId="0E87CDDF" w14:textId="77777777" w:rsidR="004C0A79" w:rsidRPr="00731F8E" w:rsidRDefault="004C0A79" w:rsidP="004C0A79">
      <w:pPr>
        <w:pStyle w:val="GvdeMetni"/>
        <w:spacing w:before="39"/>
        <w:rPr>
          <w:rFonts w:cs="Times New Roman"/>
          <w:i/>
          <w:szCs w:val="22"/>
        </w:rPr>
      </w:pPr>
    </w:p>
    <w:p w14:paraId="0AF1983E" w14:textId="77777777" w:rsidR="004C0A79" w:rsidRPr="00731F8E" w:rsidRDefault="004C0A79" w:rsidP="004C0A79">
      <w:pPr>
        <w:pStyle w:val="GvdeMetni"/>
        <w:spacing w:line="276" w:lineRule="auto"/>
        <w:ind w:left="1556" w:right="132"/>
        <w:rPr>
          <w:rFonts w:cs="Times New Roman"/>
          <w:szCs w:val="22"/>
        </w:rPr>
      </w:pPr>
      <w:r w:rsidRPr="00731F8E">
        <w:rPr>
          <w:rFonts w:cs="Times New Roman"/>
          <w:szCs w:val="22"/>
        </w:rPr>
        <w:t>"Public offering or stock exchange trading of the shares of the licensee legal entity and/or direct or indirect legal entity partners of the licensee legal entity is not subject to the approval of the Board unless the share ratio of any natural or legal entity in the direct or indirect partnership structure of the licensee legal entity decreases below ten percent. Approval of the Board is required if the direct or indirect share ratio of any partner in the licensee legal entity will fall below ten percent as a result of the initial public offering transaction or the increase in the proportion of the shares offered to the public.</w:t>
      </w:r>
    </w:p>
    <w:p w14:paraId="716A26C9" w14:textId="77777777" w:rsidR="004C0A79" w:rsidRPr="00731F8E" w:rsidRDefault="004C0A79" w:rsidP="004C0A79">
      <w:pPr>
        <w:pStyle w:val="GvdeMetni"/>
        <w:ind w:left="1556"/>
        <w:rPr>
          <w:rFonts w:cs="Times New Roman"/>
          <w:szCs w:val="22"/>
        </w:rPr>
      </w:pPr>
      <w:r w:rsidRPr="00731F8E">
        <w:rPr>
          <w:rFonts w:cs="Times New Roman"/>
          <w:szCs w:val="22"/>
        </w:rPr>
        <w:t>The shares of the licensee legal entity to be offered to the public or traded on the stock exchange is possible under the following conditions;</w:t>
      </w:r>
    </w:p>
    <w:p w14:paraId="105EE9EE" w14:textId="77777777" w:rsidR="004C0A79" w:rsidRPr="00C1292D" w:rsidRDefault="004C0A79" w:rsidP="00A86526">
      <w:pPr>
        <w:pStyle w:val="P68B1DB1-ListParagraph2"/>
        <w:numPr>
          <w:ilvl w:val="5"/>
          <w:numId w:val="52"/>
        </w:numPr>
        <w:tabs>
          <w:tab w:val="left" w:pos="1785"/>
        </w:tabs>
        <w:spacing w:before="41"/>
        <w:ind w:left="1785" w:hanging="229"/>
        <w:rPr>
          <w:rFonts w:ascii="Times New Roman" w:hAnsi="Times New Roman" w:cs="Times New Roman"/>
          <w:b w:val="0"/>
          <w:szCs w:val="22"/>
        </w:rPr>
      </w:pPr>
      <w:r w:rsidRPr="00C1292D">
        <w:rPr>
          <w:rFonts w:ascii="Times New Roman" w:hAnsi="Times New Roman" w:cs="Times New Roman"/>
          <w:b w:val="0"/>
          <w:szCs w:val="22"/>
        </w:rPr>
        <w:t>All of its shares continue to be registered,</w:t>
      </w:r>
    </w:p>
    <w:p w14:paraId="2440FB25" w14:textId="77777777" w:rsidR="004C0A79" w:rsidRPr="00C1292D" w:rsidRDefault="004C0A79" w:rsidP="00A86526">
      <w:pPr>
        <w:pStyle w:val="P68B1DB1-ListParagraph2"/>
        <w:numPr>
          <w:ilvl w:val="5"/>
          <w:numId w:val="52"/>
        </w:numPr>
        <w:tabs>
          <w:tab w:val="left" w:pos="1785"/>
        </w:tabs>
        <w:spacing w:before="41"/>
        <w:ind w:left="1785" w:hanging="229"/>
        <w:rPr>
          <w:rFonts w:ascii="Times New Roman" w:hAnsi="Times New Roman" w:cs="Times New Roman"/>
          <w:b w:val="0"/>
          <w:szCs w:val="22"/>
        </w:rPr>
      </w:pPr>
      <w:r w:rsidRPr="00C1292D">
        <w:rPr>
          <w:rFonts w:ascii="Times New Roman" w:hAnsi="Times New Roman" w:cs="Times New Roman"/>
          <w:b w:val="0"/>
          <w:szCs w:val="22"/>
        </w:rPr>
        <w:t>The ratio of publicly offered shares to total shares should not exceed forty-nine percent,</w:t>
      </w:r>
    </w:p>
    <w:p w14:paraId="6BEF904F" w14:textId="77777777" w:rsidR="004C0A79" w:rsidRPr="00C1292D" w:rsidRDefault="004C0A79" w:rsidP="00A86526">
      <w:pPr>
        <w:pStyle w:val="P68B1DB1-ListParagraph2"/>
        <w:numPr>
          <w:ilvl w:val="5"/>
          <w:numId w:val="52"/>
        </w:numPr>
        <w:tabs>
          <w:tab w:val="left" w:pos="1811"/>
        </w:tabs>
        <w:spacing w:before="38" w:line="276" w:lineRule="auto"/>
        <w:ind w:right="135" w:firstLine="0"/>
        <w:rPr>
          <w:rFonts w:ascii="Times New Roman" w:hAnsi="Times New Roman" w:cs="Times New Roman"/>
          <w:b w:val="0"/>
          <w:szCs w:val="22"/>
        </w:rPr>
      </w:pPr>
      <w:r w:rsidRPr="00C1292D">
        <w:rPr>
          <w:rFonts w:ascii="Times New Roman" w:hAnsi="Times New Roman" w:cs="Times New Roman"/>
          <w:b w:val="0"/>
          <w:szCs w:val="22"/>
        </w:rPr>
        <w:t>Failure to violate the prohibitions and restrictions of participation specified in the law and secondary legislation and to submit the letter of undertaking in ANNEX-5 to the Authority in this context,</w:t>
      </w:r>
    </w:p>
    <w:p w14:paraId="608006AE"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ç) Inclusion of the provision "The regulations of the Capital Markets Board and the Energy Market Regulatory Board shall be complied with in terms of the registered shares of the company offered to the public or traded on the stock exchange." in the articles of association,</w:t>
      </w:r>
    </w:p>
    <w:p w14:paraId="2A8D3547" w14:textId="77777777" w:rsidR="004C0A79" w:rsidRPr="00731F8E" w:rsidRDefault="004C0A79" w:rsidP="004C0A79">
      <w:pPr>
        <w:pStyle w:val="GvdeMetni"/>
        <w:spacing w:line="276" w:lineRule="auto"/>
        <w:ind w:left="1555" w:right="131"/>
        <w:rPr>
          <w:rFonts w:cs="Times New Roman"/>
          <w:szCs w:val="22"/>
        </w:rPr>
      </w:pPr>
      <w:r w:rsidRPr="00731F8E">
        <w:rPr>
          <w:rFonts w:cs="Times New Roman"/>
          <w:szCs w:val="22"/>
        </w:rPr>
        <w:t>Within one month from the realization of the public offering of its shares, the license holder shall apply to the Authority for a license amendment together with the information and documents showing the latest partnership structure and the letter of undertaking within the scope of clause (c) and the document showing the amendment of the articles of association specified in clause (ç) of this paragraph. In the public offering transactions of the direct or indirect legal entity partners of the licensed legal entity, the license holder shall inform the Authority within the same period, together with the information and documents showing the latest partnership structure of the relevant legal entity.</w:t>
      </w:r>
    </w:p>
    <w:p w14:paraId="0641A622" w14:textId="77777777" w:rsidR="004C0A79" w:rsidRPr="00731F8E" w:rsidRDefault="004C0A79" w:rsidP="004C0A79">
      <w:pPr>
        <w:pStyle w:val="GvdeMetni"/>
        <w:spacing w:line="276" w:lineRule="auto"/>
        <w:ind w:left="1556" w:right="134"/>
        <w:rPr>
          <w:rFonts w:cs="Times New Roman"/>
          <w:szCs w:val="22"/>
        </w:rPr>
      </w:pPr>
      <w:r w:rsidRPr="00731F8E">
        <w:rPr>
          <w:rFonts w:cs="Times New Roman"/>
          <w:szCs w:val="22"/>
        </w:rPr>
        <w:t>The shares traded on the stock exchange cannot be acquired by another licensed company operating in the natural gas market, contrary to the limitation and prohibition of participation specified in the Law and secondary legislation, and if acquired, the issue is considered within the scope of violation of the relevant legislation."</w:t>
      </w:r>
    </w:p>
    <w:p w14:paraId="1F8F28D1"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"The obligations imposed by this article are included in the articles of association and related licenses of the license holder legal entities, except for the generation companies that have exploration and operation licenses according to the Law No. 6491 and carry out production activities as branches of their centers abroad in Türkiye."</w:t>
      </w:r>
    </w:p>
    <w:p w14:paraId="521D91D2" w14:textId="77777777" w:rsidR="004C0A79" w:rsidRPr="00731F8E" w:rsidRDefault="004C0A79" w:rsidP="004C0A79">
      <w:pPr>
        <w:pStyle w:val="GvdeMetni"/>
        <w:spacing w:line="276" w:lineRule="auto"/>
        <w:ind w:left="1556" w:right="134"/>
        <w:rPr>
          <w:rFonts w:cs="Times New Roman"/>
          <w:szCs w:val="22"/>
        </w:rPr>
      </w:pPr>
      <w:r w:rsidRPr="00731F8E">
        <w:rPr>
          <w:rFonts w:cs="Times New Roman"/>
          <w:szCs w:val="22"/>
        </w:rPr>
        <w:t>"The obligations imposed by this article shall be applied by excluding the shares of license holder legal entities and direct and indirect legal entity partners traded on the stock exchange."</w:t>
      </w:r>
    </w:p>
    <w:p w14:paraId="53701275" w14:textId="77777777" w:rsidR="004C0A79" w:rsidRPr="00731F8E" w:rsidRDefault="004C0A79" w:rsidP="004C0A79">
      <w:pPr>
        <w:pStyle w:val="GvdeMetni"/>
        <w:spacing w:before="37"/>
        <w:rPr>
          <w:rFonts w:cs="Times New Roman"/>
          <w:szCs w:val="22"/>
        </w:rPr>
      </w:pPr>
    </w:p>
    <w:p w14:paraId="0D81054C" w14:textId="77777777" w:rsidR="004C0A79" w:rsidRPr="00731F8E" w:rsidRDefault="004C0A79" w:rsidP="00A86526">
      <w:pPr>
        <w:pStyle w:val="ListeParagraf"/>
        <w:widowControl w:val="0"/>
        <w:numPr>
          <w:ilvl w:val="4"/>
          <w:numId w:val="52"/>
        </w:numPr>
        <w:tabs>
          <w:tab w:val="left" w:pos="1556"/>
        </w:tabs>
        <w:autoSpaceDE w:val="0"/>
        <w:autoSpaceDN w:val="0"/>
        <w:spacing w:before="1" w:after="0" w:line="240" w:lineRule="auto"/>
        <w:contextualSpacing w:val="0"/>
        <w:jc w:val="left"/>
        <w:rPr>
          <w:rFonts w:ascii="Times New Roman" w:hAnsi="Times New Roman"/>
        </w:rPr>
      </w:pPr>
      <w:r w:rsidRPr="00731F8E">
        <w:rPr>
          <w:rFonts w:ascii="Times New Roman" w:hAnsi="Times New Roman"/>
        </w:rPr>
        <w:t>Note 4 of ANNEX-3 is amended as follows.</w:t>
      </w:r>
    </w:p>
    <w:p w14:paraId="29B4F294" w14:textId="77777777" w:rsidR="004C0A79" w:rsidRPr="00731F8E" w:rsidRDefault="004C0A79" w:rsidP="004C0A79">
      <w:pPr>
        <w:pStyle w:val="GvdeMetni"/>
        <w:spacing w:before="62"/>
        <w:rPr>
          <w:rFonts w:cs="Times New Roman"/>
          <w:i/>
          <w:szCs w:val="22"/>
        </w:rPr>
      </w:pPr>
    </w:p>
    <w:p w14:paraId="1DCAD390" w14:textId="77777777" w:rsidR="004C0A79" w:rsidRPr="00731F8E" w:rsidRDefault="004C0A79" w:rsidP="004C0A79">
      <w:pPr>
        <w:pStyle w:val="GvdeMetni"/>
        <w:spacing w:line="276" w:lineRule="auto"/>
        <w:ind w:left="1556" w:right="133"/>
        <w:rPr>
          <w:rFonts w:cs="Times New Roman"/>
          <w:szCs w:val="22"/>
        </w:rPr>
      </w:pPr>
      <w:r w:rsidRPr="00731F8E">
        <w:rPr>
          <w:rFonts w:cs="Times New Roman"/>
          <w:szCs w:val="22"/>
        </w:rPr>
        <w:t>"4- In the wholesale license applications of production companies that have exploration and operation licenses according to the Law No. 6491 and carry out production activities as branches of their centers abroad in Türkiye, the information and documents stipulated in Articles 5 and 7 and clause (b) of Article 4 of this Annex are not requested."</w:t>
      </w:r>
    </w:p>
    <w:p w14:paraId="0922ECD8" w14:textId="77777777" w:rsidR="004C0A79" w:rsidRPr="00731F8E" w:rsidRDefault="004C0A79" w:rsidP="004C0A79">
      <w:pPr>
        <w:pStyle w:val="GvdeMetni"/>
        <w:spacing w:before="39"/>
        <w:rPr>
          <w:rFonts w:cs="Times New Roman"/>
          <w:szCs w:val="22"/>
        </w:rPr>
      </w:pPr>
    </w:p>
    <w:p w14:paraId="1BE4D06B"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hanging="359"/>
        <w:contextualSpacing w:val="0"/>
        <w:jc w:val="left"/>
        <w:rPr>
          <w:rFonts w:ascii="Times New Roman" w:hAnsi="Times New Roman"/>
        </w:rPr>
      </w:pPr>
      <w:r w:rsidRPr="00731F8E">
        <w:rPr>
          <w:rFonts w:ascii="Times New Roman" w:hAnsi="Times New Roman"/>
        </w:rPr>
        <w:t>The third paragraph of ANNEX-4 has been amended as follows.</w:t>
      </w:r>
    </w:p>
    <w:p w14:paraId="341C6A52" w14:textId="77777777" w:rsidR="004C0A79" w:rsidRPr="00731F8E" w:rsidRDefault="004C0A79" w:rsidP="004C0A79">
      <w:pPr>
        <w:pStyle w:val="GvdeMetni"/>
        <w:spacing w:before="63"/>
        <w:rPr>
          <w:rFonts w:cs="Times New Roman"/>
          <w:i/>
          <w:szCs w:val="22"/>
        </w:rPr>
      </w:pPr>
    </w:p>
    <w:p w14:paraId="41279046" w14:textId="77777777" w:rsidR="004C0A79" w:rsidRPr="00731F8E" w:rsidRDefault="004C0A79" w:rsidP="004C0A79">
      <w:pPr>
        <w:pStyle w:val="GvdeMetni"/>
        <w:spacing w:line="276" w:lineRule="auto"/>
        <w:ind w:left="1555" w:right="133"/>
        <w:rPr>
          <w:rFonts w:cs="Times New Roman"/>
          <w:szCs w:val="22"/>
        </w:rPr>
      </w:pPr>
      <w:r w:rsidRPr="00731F8E">
        <w:rPr>
          <w:rFonts w:cs="Times New Roman"/>
          <w:szCs w:val="22"/>
        </w:rPr>
        <w:t>"According to the Law No. 6491, clauses (b) and (g) of the first paragraph of this Annex shall not apply to production companies that have exploration and operation licenses and carry out production activities as branches of their centers abroad in Türkiye. However, these companies are obliged to submit to the Energy Market Regulatory Authority a list showing the names and addresses of their current shareholders of 5% or more as of 31 December each year, starting from the date of grant of the license."</w:t>
      </w:r>
    </w:p>
    <w:p w14:paraId="25D6A805" w14:textId="77777777" w:rsidR="004C0A79" w:rsidRPr="00731F8E" w:rsidRDefault="004C0A79" w:rsidP="004C0A79">
      <w:pPr>
        <w:pStyle w:val="GvdeMetni"/>
        <w:spacing w:before="36"/>
        <w:rPr>
          <w:rFonts w:cs="Times New Roman"/>
          <w:szCs w:val="22"/>
        </w:rPr>
      </w:pPr>
    </w:p>
    <w:p w14:paraId="36F89272" w14:textId="77777777" w:rsidR="004C0A79" w:rsidRPr="00731F8E" w:rsidRDefault="004C0A79" w:rsidP="00A86526">
      <w:pPr>
        <w:pStyle w:val="ListeParagraf"/>
        <w:widowControl w:val="0"/>
        <w:numPr>
          <w:ilvl w:val="4"/>
          <w:numId w:val="52"/>
        </w:numPr>
        <w:tabs>
          <w:tab w:val="left" w:pos="1555"/>
        </w:tabs>
        <w:autoSpaceDE w:val="0"/>
        <w:autoSpaceDN w:val="0"/>
        <w:spacing w:after="0" w:line="240" w:lineRule="auto"/>
        <w:ind w:left="1555"/>
        <w:contextualSpacing w:val="0"/>
        <w:jc w:val="left"/>
        <w:rPr>
          <w:rFonts w:ascii="Times New Roman" w:hAnsi="Times New Roman"/>
        </w:rPr>
      </w:pPr>
      <w:r w:rsidRPr="00731F8E">
        <w:rPr>
          <w:rFonts w:ascii="Times New Roman" w:hAnsi="Times New Roman"/>
        </w:rPr>
        <w:t>The attached ANNEX-5 has been added.</w:t>
      </w:r>
    </w:p>
    <w:p w14:paraId="5D83F328" w14:textId="1ADCCAE5" w:rsidR="004C0A79" w:rsidRDefault="004C0A79" w:rsidP="004C0A79">
      <w:pPr>
        <w:tabs>
          <w:tab w:val="left" w:pos="856"/>
        </w:tabs>
        <w:spacing w:before="4"/>
        <w:ind w:right="133"/>
        <w:rPr>
          <w:rFonts w:ascii="Times New Roman" w:hAnsi="Times New Roman"/>
        </w:rPr>
      </w:pPr>
    </w:p>
    <w:p w14:paraId="236075CE" w14:textId="77777777" w:rsidR="00C1292D" w:rsidRPr="00731F8E" w:rsidRDefault="00C1292D" w:rsidP="004C0A79">
      <w:pPr>
        <w:tabs>
          <w:tab w:val="left" w:pos="856"/>
        </w:tabs>
        <w:spacing w:before="4"/>
        <w:ind w:right="133"/>
        <w:rPr>
          <w:rFonts w:ascii="Times New Roman" w:hAnsi="Times New Roman"/>
        </w:rPr>
      </w:pPr>
    </w:p>
    <w:p w14:paraId="2A142E35" w14:textId="77777777" w:rsidR="004C0A79" w:rsidRPr="00731F8E" w:rsidRDefault="004C0A79" w:rsidP="00A86526">
      <w:pPr>
        <w:pStyle w:val="Balk1"/>
        <w:keepNext w:val="0"/>
        <w:keepLines w:val="0"/>
        <w:widowControl w:val="0"/>
        <w:numPr>
          <w:ilvl w:val="2"/>
          <w:numId w:val="94"/>
        </w:numPr>
        <w:tabs>
          <w:tab w:val="left" w:pos="869"/>
        </w:tabs>
        <w:autoSpaceDE w:val="0"/>
        <w:autoSpaceDN w:val="0"/>
        <w:spacing w:before="38" w:after="0" w:line="240" w:lineRule="auto"/>
        <w:ind w:hanging="751"/>
        <w:jc w:val="left"/>
        <w:rPr>
          <w:rFonts w:ascii="Times New Roman" w:hAnsi="Times New Roman" w:cs="Times New Roman"/>
          <w:szCs w:val="22"/>
        </w:rPr>
      </w:pPr>
      <w:bookmarkStart w:id="44" w:name="2.3.3______Tebliğler"/>
      <w:bookmarkEnd w:id="44"/>
      <w:r w:rsidRPr="00731F8E">
        <w:rPr>
          <w:rFonts w:ascii="Times New Roman" w:hAnsi="Times New Roman" w:cs="Times New Roman"/>
          <w:szCs w:val="22"/>
        </w:rPr>
        <w:lastRenderedPageBreak/>
        <w:t xml:space="preserve">Communiqués </w:t>
      </w:r>
    </w:p>
    <w:p w14:paraId="633D7793" w14:textId="77777777" w:rsidR="004C0A79" w:rsidRPr="00731F8E" w:rsidRDefault="004C0A79" w:rsidP="004C0A79">
      <w:pPr>
        <w:pStyle w:val="GvdeMetni"/>
        <w:spacing w:before="12"/>
        <w:rPr>
          <w:rFonts w:cs="Times New Roman"/>
          <w:b/>
          <w:i/>
          <w:szCs w:val="22"/>
        </w:rPr>
      </w:pPr>
    </w:p>
    <w:p w14:paraId="482137D1" w14:textId="77777777" w:rsidR="004C0A79" w:rsidRPr="00731F8E" w:rsidRDefault="004C0A79" w:rsidP="004C0A79">
      <w:pPr>
        <w:spacing w:before="1"/>
        <w:ind w:left="118"/>
        <w:rPr>
          <w:rFonts w:ascii="Times New Roman" w:hAnsi="Times New Roman"/>
        </w:rPr>
      </w:pPr>
      <w:r w:rsidRPr="00731F8E">
        <w:rPr>
          <w:rFonts w:ascii="Times New Roman" w:hAnsi="Times New Roman"/>
        </w:rPr>
        <w:t>In 2022, the following Communiqué studies were carried out in the natural gas market:</w:t>
      </w:r>
    </w:p>
    <w:p w14:paraId="3D67189B" w14:textId="77777777" w:rsidR="004C0A79" w:rsidRPr="00731F8E" w:rsidRDefault="004C0A79" w:rsidP="004C0A79">
      <w:pPr>
        <w:pStyle w:val="GvdeMetni"/>
        <w:spacing w:before="80"/>
        <w:rPr>
          <w:rFonts w:cs="Times New Roman"/>
          <w:i/>
          <w:szCs w:val="22"/>
        </w:rPr>
      </w:pPr>
    </w:p>
    <w:p w14:paraId="3727B752" w14:textId="77777777" w:rsidR="004C0A79" w:rsidRPr="00731F8E" w:rsidRDefault="004C0A79" w:rsidP="00A86526">
      <w:pPr>
        <w:pStyle w:val="ListeParagraf"/>
        <w:widowControl w:val="0"/>
        <w:numPr>
          <w:ilvl w:val="3"/>
          <w:numId w:val="94"/>
        </w:numPr>
        <w:tabs>
          <w:tab w:val="left" w:pos="838"/>
        </w:tabs>
        <w:autoSpaceDE w:val="0"/>
        <w:autoSpaceDN w:val="0"/>
        <w:spacing w:after="0"/>
        <w:ind w:right="120" w:hanging="360"/>
        <w:contextualSpacing w:val="0"/>
        <w:rPr>
          <w:rFonts w:ascii="Times New Roman" w:hAnsi="Times New Roman"/>
        </w:rPr>
      </w:pPr>
      <w:r w:rsidRPr="00731F8E">
        <w:rPr>
          <w:rFonts w:ascii="Times New Roman" w:hAnsi="Times New Roman"/>
        </w:rPr>
        <w:t>24/11/24/11/ of the administrative fines published in the Official Gazette dated 28.12.2022 and numbered 32057, the purpose of which is regulated in Article 9 of the Natural Gas Market Law numbered 4646 dated 18/4/2001 (Law on Amendments to the Electricity Market Law and the Natural Gas Market) dated 28.12.2022 upon determining the revaluation rate for 2022 by increasing it by 122.93% (one hundred twenty-two point ninety-three), which was determined as the revaluation rate for 2022 in the General Communiqué on Tax Procedure Law (Sequence No: 542) published in the Official Gazette dated 2022 and numbered 32023 and Administrative fines to be applied in 2023 were determined by Communiqué No. 32057.</w:t>
      </w:r>
    </w:p>
    <w:p w14:paraId="09B0836F" w14:textId="77777777" w:rsidR="004C0A79" w:rsidRPr="00731F8E" w:rsidRDefault="004C0A79" w:rsidP="00A86526">
      <w:pPr>
        <w:pStyle w:val="Balk1"/>
        <w:keepNext w:val="0"/>
        <w:keepLines w:val="0"/>
        <w:widowControl w:val="0"/>
        <w:numPr>
          <w:ilvl w:val="2"/>
          <w:numId w:val="94"/>
        </w:numPr>
        <w:tabs>
          <w:tab w:val="left" w:pos="871"/>
        </w:tabs>
        <w:autoSpaceDE w:val="0"/>
        <w:autoSpaceDN w:val="0"/>
        <w:spacing w:before="199" w:after="0" w:line="240" w:lineRule="auto"/>
        <w:ind w:left="871" w:hanging="753"/>
        <w:jc w:val="left"/>
        <w:rPr>
          <w:rFonts w:ascii="Times New Roman" w:hAnsi="Times New Roman" w:cs="Times New Roman"/>
          <w:szCs w:val="22"/>
        </w:rPr>
      </w:pPr>
      <w:bookmarkStart w:id="45" w:name="2.3.4______Kurul_Kararları"/>
      <w:bookmarkEnd w:id="45"/>
      <w:r w:rsidRPr="00731F8E">
        <w:rPr>
          <w:rFonts w:ascii="Times New Roman" w:hAnsi="Times New Roman" w:cs="Times New Roman"/>
          <w:szCs w:val="22"/>
        </w:rPr>
        <w:t>Board Decisions</w:t>
      </w:r>
    </w:p>
    <w:p w14:paraId="53AEE71B" w14:textId="77777777" w:rsidR="004C0A79" w:rsidRPr="00731F8E" w:rsidRDefault="004C0A79" w:rsidP="004C0A79">
      <w:pPr>
        <w:pStyle w:val="GvdeMetni"/>
        <w:spacing w:before="12"/>
        <w:rPr>
          <w:rFonts w:cs="Times New Roman"/>
          <w:b/>
          <w:i/>
          <w:szCs w:val="22"/>
        </w:rPr>
      </w:pPr>
    </w:p>
    <w:p w14:paraId="77E4CFF8" w14:textId="77777777" w:rsidR="004C0A79" w:rsidRPr="00731F8E" w:rsidRDefault="004C0A79" w:rsidP="004C0A79">
      <w:pPr>
        <w:ind w:left="118"/>
        <w:rPr>
          <w:rFonts w:ascii="Times New Roman" w:hAnsi="Times New Roman"/>
        </w:rPr>
      </w:pPr>
      <w:r w:rsidRPr="00731F8E">
        <w:rPr>
          <w:rFonts w:ascii="Times New Roman" w:hAnsi="Times New Roman"/>
        </w:rPr>
        <w:t>In 2022, the following Board Decisions were issued as a regulatory action in the natural gas market:</w:t>
      </w:r>
    </w:p>
    <w:p w14:paraId="200B6325" w14:textId="77777777" w:rsidR="004C0A79" w:rsidRPr="00731F8E" w:rsidRDefault="004C0A79" w:rsidP="004C0A79">
      <w:pPr>
        <w:pStyle w:val="GvdeMetni"/>
        <w:spacing w:before="80"/>
        <w:rPr>
          <w:rFonts w:cs="Times New Roman"/>
          <w:i/>
          <w:szCs w:val="22"/>
        </w:rPr>
      </w:pPr>
    </w:p>
    <w:p w14:paraId="6FE73444" w14:textId="77777777" w:rsidR="004C0A79" w:rsidRPr="00731F8E" w:rsidRDefault="004C0A79" w:rsidP="00A86526">
      <w:pPr>
        <w:pStyle w:val="ListeParagraf"/>
        <w:widowControl w:val="0"/>
        <w:numPr>
          <w:ilvl w:val="3"/>
          <w:numId w:val="94"/>
        </w:numPr>
        <w:tabs>
          <w:tab w:val="left" w:pos="837"/>
        </w:tabs>
        <w:autoSpaceDE w:val="0"/>
        <w:autoSpaceDN w:val="0"/>
        <w:spacing w:after="0" w:line="273" w:lineRule="auto"/>
        <w:ind w:left="837" w:right="121" w:hanging="360"/>
        <w:contextualSpacing w:val="0"/>
        <w:rPr>
          <w:rFonts w:ascii="Times New Roman" w:hAnsi="Times New Roman"/>
        </w:rPr>
      </w:pPr>
      <w:r w:rsidRPr="00731F8E">
        <w:rPr>
          <w:rFonts w:ascii="Times New Roman" w:hAnsi="Times New Roman"/>
        </w:rPr>
        <w:t>• With the Board Decision dated 27.01.2022 and numbered 10747 published in the Official Gazette dated 27.01.2022 and numbered 31733, the fourth paragraph of clause (a), second paragraph of clause (b), paragraph (e) of the fourth paragraph of Article 4 of the Natural Gas Market Law numbered 4646. In accordance with clause (6), second clause of clause (e) of article 7 and Temporary article 2 and articles 19, 25 and 26 of the Natural Gas Market License Regulation, the national natural gas consumption forecast for 2022 is 9155 kcal/m3 of natural gas it was decided to determine it as 60,044,873,569 Sm3 (638,877,454,771 kWh) based on the upper calorific value.</w:t>
      </w:r>
    </w:p>
    <w:p w14:paraId="13CD0CE4" w14:textId="77777777" w:rsidR="004C0A79" w:rsidRPr="00731F8E" w:rsidRDefault="004C0A79" w:rsidP="004C0A79">
      <w:pPr>
        <w:spacing w:before="8"/>
        <w:ind w:left="837" w:right="118"/>
        <w:rPr>
          <w:rFonts w:ascii="Times New Roman" w:hAnsi="Times New Roman"/>
        </w:rPr>
      </w:pPr>
      <w:r w:rsidRPr="00731F8E">
        <w:rPr>
          <w:rFonts w:ascii="Times New Roman" w:hAnsi="Times New Roman"/>
        </w:rPr>
        <w:t>The national natural gas consumption forecast and national natural gas consumption realizations made by the Authority by years are shown in Table 2.2.</w:t>
      </w:r>
    </w:p>
    <w:p w14:paraId="3C7447CB" w14:textId="77777777" w:rsidR="004C0A79" w:rsidRPr="00731F8E" w:rsidRDefault="004C0A79" w:rsidP="004C0A79">
      <w:pPr>
        <w:pStyle w:val="Balk1"/>
        <w:spacing w:before="201" w:after="42"/>
        <w:ind w:left="1114"/>
        <w:rPr>
          <w:rFonts w:ascii="Times New Roman" w:hAnsi="Times New Roman" w:cs="Times New Roman"/>
          <w:szCs w:val="22"/>
        </w:rPr>
      </w:pPr>
      <w:bookmarkStart w:id="46" w:name="Tablo_2.2:_Yıllara_Göre_Doğal_Gaz_Tüketi"/>
      <w:bookmarkEnd w:id="46"/>
      <w:r w:rsidRPr="00731F8E">
        <w:rPr>
          <w:rFonts w:ascii="Times New Roman" w:hAnsi="Times New Roman" w:cs="Times New Roman"/>
          <w:szCs w:val="22"/>
        </w:rPr>
        <w:t>Table 2.2: Natural Gas Consumption Forecast and Realization Data by Years (2005-2022)</w:t>
      </w:r>
    </w:p>
    <w:tbl>
      <w:tblPr>
        <w:tblStyle w:val="TableNormal"/>
        <w:tblW w:w="0" w:type="auto"/>
        <w:tblInd w:w="11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994"/>
        <w:gridCol w:w="2268"/>
        <w:gridCol w:w="2126"/>
        <w:gridCol w:w="2409"/>
      </w:tblGrid>
      <w:tr w:rsidR="004C0A79" w:rsidRPr="00731F8E" w14:paraId="06B24261" w14:textId="77777777" w:rsidTr="004C0A79">
        <w:trPr>
          <w:trHeight w:val="268"/>
        </w:trPr>
        <w:tc>
          <w:tcPr>
            <w:tcW w:w="994" w:type="dxa"/>
            <w:vMerge w:val="restart"/>
            <w:shd w:val="clear" w:color="auto" w:fill="6E9ECA"/>
          </w:tcPr>
          <w:p w14:paraId="53F2FCBA" w14:textId="77777777" w:rsidR="004C0A79" w:rsidRPr="00731F8E" w:rsidRDefault="004C0A79" w:rsidP="004C0A79">
            <w:pPr>
              <w:pStyle w:val="P68B1DB1-TableParagraph1"/>
              <w:spacing w:before="138"/>
              <w:ind w:left="266"/>
              <w:jc w:val="left"/>
              <w:rPr>
                <w:rFonts w:ascii="Times New Roman" w:hAnsi="Times New Roman" w:cs="Times New Roman"/>
                <w:sz w:val="22"/>
                <w:szCs w:val="22"/>
              </w:rPr>
            </w:pPr>
            <w:r w:rsidRPr="00731F8E">
              <w:rPr>
                <w:rFonts w:ascii="Times New Roman" w:hAnsi="Times New Roman" w:cs="Times New Roman"/>
                <w:sz w:val="22"/>
                <w:szCs w:val="22"/>
              </w:rPr>
              <w:t>Years</w:t>
            </w:r>
          </w:p>
        </w:tc>
        <w:tc>
          <w:tcPr>
            <w:tcW w:w="2268" w:type="dxa"/>
            <w:shd w:val="clear" w:color="auto" w:fill="6E9ECA"/>
          </w:tcPr>
          <w:p w14:paraId="2BD65E70" w14:textId="77777777" w:rsidR="004C0A79" w:rsidRPr="00731F8E" w:rsidRDefault="004C0A79" w:rsidP="004C0A79">
            <w:pPr>
              <w:pStyle w:val="P68B1DB1-TableParagraph1"/>
              <w:spacing w:line="248" w:lineRule="exact"/>
              <w:ind w:left="791"/>
              <w:jc w:val="left"/>
              <w:rPr>
                <w:rFonts w:ascii="Times New Roman" w:hAnsi="Times New Roman" w:cs="Times New Roman"/>
                <w:sz w:val="22"/>
                <w:szCs w:val="22"/>
              </w:rPr>
            </w:pPr>
            <w:r w:rsidRPr="00731F8E">
              <w:rPr>
                <w:rFonts w:ascii="Times New Roman" w:hAnsi="Times New Roman" w:cs="Times New Roman"/>
                <w:sz w:val="22"/>
                <w:szCs w:val="22"/>
              </w:rPr>
              <w:t>Estimate</w:t>
            </w:r>
          </w:p>
        </w:tc>
        <w:tc>
          <w:tcPr>
            <w:tcW w:w="2126" w:type="dxa"/>
            <w:shd w:val="clear" w:color="auto" w:fill="6E9ECA"/>
          </w:tcPr>
          <w:p w14:paraId="59F1B39F" w14:textId="77777777" w:rsidR="004C0A79" w:rsidRPr="00731F8E" w:rsidRDefault="004C0A79" w:rsidP="004C0A79">
            <w:pPr>
              <w:pStyle w:val="P68B1DB1-TableParagraph1"/>
              <w:spacing w:line="248" w:lineRule="exact"/>
              <w:ind w:left="472"/>
              <w:jc w:val="left"/>
              <w:rPr>
                <w:rFonts w:ascii="Times New Roman" w:hAnsi="Times New Roman" w:cs="Times New Roman"/>
                <w:sz w:val="22"/>
                <w:szCs w:val="22"/>
              </w:rPr>
            </w:pPr>
            <w:r w:rsidRPr="00731F8E">
              <w:rPr>
                <w:rFonts w:ascii="Times New Roman" w:hAnsi="Times New Roman" w:cs="Times New Roman"/>
                <w:sz w:val="22"/>
                <w:szCs w:val="22"/>
              </w:rPr>
              <w:t>Realization</w:t>
            </w:r>
          </w:p>
        </w:tc>
        <w:tc>
          <w:tcPr>
            <w:tcW w:w="2409" w:type="dxa"/>
            <w:vMerge w:val="restart"/>
            <w:shd w:val="clear" w:color="auto" w:fill="6E9ECA"/>
          </w:tcPr>
          <w:p w14:paraId="2884B8CC" w14:textId="77777777" w:rsidR="004C0A79" w:rsidRPr="00731F8E" w:rsidRDefault="004C0A79" w:rsidP="004C0A79">
            <w:pPr>
              <w:pStyle w:val="P68B1DB1-TableParagraph1"/>
              <w:spacing w:line="270" w:lineRule="atLeast"/>
              <w:ind w:left="652" w:right="97" w:hanging="538"/>
              <w:jc w:val="left"/>
              <w:rPr>
                <w:rFonts w:ascii="Times New Roman" w:hAnsi="Times New Roman" w:cs="Times New Roman"/>
                <w:sz w:val="22"/>
                <w:szCs w:val="22"/>
              </w:rPr>
            </w:pPr>
            <w:r w:rsidRPr="00731F8E">
              <w:rPr>
                <w:rFonts w:ascii="Times New Roman" w:hAnsi="Times New Roman" w:cs="Times New Roman"/>
                <w:sz w:val="22"/>
                <w:szCs w:val="22"/>
              </w:rPr>
              <w:t>Forecast and Realization Deviation (%)</w:t>
            </w:r>
          </w:p>
        </w:tc>
      </w:tr>
      <w:tr w:rsidR="004C0A79" w:rsidRPr="00731F8E" w14:paraId="6C11D3EF" w14:textId="77777777" w:rsidTr="004C0A79">
        <w:trPr>
          <w:trHeight w:val="268"/>
        </w:trPr>
        <w:tc>
          <w:tcPr>
            <w:tcW w:w="994" w:type="dxa"/>
            <w:vMerge/>
            <w:tcBorders>
              <w:top w:val="nil"/>
            </w:tcBorders>
            <w:shd w:val="clear" w:color="auto" w:fill="6E9ECA"/>
          </w:tcPr>
          <w:p w14:paraId="7FA935A9" w14:textId="77777777" w:rsidR="004C0A79" w:rsidRPr="00731F8E" w:rsidRDefault="004C0A79" w:rsidP="004C0A79">
            <w:pPr>
              <w:rPr>
                <w:rFonts w:ascii="Times New Roman" w:hAnsi="Times New Roman"/>
                <w:szCs w:val="22"/>
              </w:rPr>
            </w:pPr>
          </w:p>
        </w:tc>
        <w:tc>
          <w:tcPr>
            <w:tcW w:w="2268" w:type="dxa"/>
            <w:shd w:val="clear" w:color="auto" w:fill="6E9ECA"/>
          </w:tcPr>
          <w:p w14:paraId="197C9DF7" w14:textId="77777777" w:rsidR="004C0A79" w:rsidRPr="00731F8E" w:rsidRDefault="004C0A79" w:rsidP="004C0A79">
            <w:pPr>
              <w:pStyle w:val="P68B1DB1-TableParagraph1"/>
              <w:spacing w:line="248" w:lineRule="exact"/>
              <w:ind w:left="5"/>
              <w:rPr>
                <w:rFonts w:ascii="Times New Roman" w:hAnsi="Times New Roman" w:cs="Times New Roman"/>
                <w:sz w:val="22"/>
                <w:szCs w:val="22"/>
              </w:rPr>
            </w:pPr>
            <w:r w:rsidRPr="00731F8E">
              <w:rPr>
                <w:rFonts w:ascii="Times New Roman" w:hAnsi="Times New Roman" w:cs="Times New Roman"/>
                <w:sz w:val="22"/>
                <w:szCs w:val="22"/>
              </w:rPr>
              <w:t xml:space="preserve">Sm3 </w:t>
            </w:r>
          </w:p>
        </w:tc>
        <w:tc>
          <w:tcPr>
            <w:tcW w:w="2126" w:type="dxa"/>
            <w:shd w:val="clear" w:color="auto" w:fill="6E9ECA"/>
          </w:tcPr>
          <w:p w14:paraId="5CC4D316" w14:textId="77777777" w:rsidR="004C0A79" w:rsidRPr="00731F8E" w:rsidRDefault="004C0A79" w:rsidP="004C0A79">
            <w:pPr>
              <w:pStyle w:val="P68B1DB1-TableParagraph1"/>
              <w:spacing w:line="248" w:lineRule="exact"/>
              <w:ind w:left="3"/>
              <w:rPr>
                <w:rFonts w:ascii="Times New Roman" w:hAnsi="Times New Roman" w:cs="Times New Roman"/>
                <w:sz w:val="22"/>
                <w:szCs w:val="22"/>
              </w:rPr>
            </w:pPr>
            <w:r w:rsidRPr="00731F8E">
              <w:rPr>
                <w:rFonts w:ascii="Times New Roman" w:hAnsi="Times New Roman" w:cs="Times New Roman"/>
                <w:sz w:val="22"/>
                <w:szCs w:val="22"/>
              </w:rPr>
              <w:t xml:space="preserve">Sm3 </w:t>
            </w:r>
          </w:p>
        </w:tc>
        <w:tc>
          <w:tcPr>
            <w:tcW w:w="2409" w:type="dxa"/>
            <w:vMerge/>
            <w:tcBorders>
              <w:top w:val="nil"/>
            </w:tcBorders>
            <w:shd w:val="clear" w:color="auto" w:fill="6E9ECA"/>
          </w:tcPr>
          <w:p w14:paraId="05E2E257" w14:textId="77777777" w:rsidR="004C0A79" w:rsidRPr="00731F8E" w:rsidRDefault="004C0A79" w:rsidP="004C0A79">
            <w:pPr>
              <w:rPr>
                <w:rFonts w:ascii="Times New Roman" w:hAnsi="Times New Roman"/>
                <w:szCs w:val="22"/>
              </w:rPr>
            </w:pPr>
          </w:p>
        </w:tc>
      </w:tr>
      <w:tr w:rsidR="004C0A79" w:rsidRPr="00731F8E" w14:paraId="2BC4FDAD" w14:textId="77777777" w:rsidTr="004C0A79">
        <w:trPr>
          <w:trHeight w:val="268"/>
        </w:trPr>
        <w:tc>
          <w:tcPr>
            <w:tcW w:w="994" w:type="dxa"/>
          </w:tcPr>
          <w:p w14:paraId="02FC57BD"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2005</w:t>
            </w:r>
          </w:p>
        </w:tc>
        <w:tc>
          <w:tcPr>
            <w:tcW w:w="2268" w:type="dxa"/>
          </w:tcPr>
          <w:p w14:paraId="25BE8DF5"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25.800.000.000</w:t>
            </w:r>
          </w:p>
        </w:tc>
        <w:tc>
          <w:tcPr>
            <w:tcW w:w="2126" w:type="dxa"/>
          </w:tcPr>
          <w:p w14:paraId="1A58AE80"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27.348.213.942</w:t>
            </w:r>
          </w:p>
        </w:tc>
        <w:tc>
          <w:tcPr>
            <w:tcW w:w="2409" w:type="dxa"/>
          </w:tcPr>
          <w:p w14:paraId="572B1B59"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6,00</w:t>
            </w:r>
          </w:p>
        </w:tc>
      </w:tr>
      <w:tr w:rsidR="004C0A79" w:rsidRPr="00731F8E" w14:paraId="020B469D" w14:textId="77777777" w:rsidTr="004C0A79">
        <w:trPr>
          <w:trHeight w:val="268"/>
        </w:trPr>
        <w:tc>
          <w:tcPr>
            <w:tcW w:w="994" w:type="dxa"/>
          </w:tcPr>
          <w:p w14:paraId="3F448F3E"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2006</w:t>
            </w:r>
          </w:p>
        </w:tc>
        <w:tc>
          <w:tcPr>
            <w:tcW w:w="2268" w:type="dxa"/>
          </w:tcPr>
          <w:p w14:paraId="44381C9C"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30.100.000.000</w:t>
            </w:r>
          </w:p>
        </w:tc>
        <w:tc>
          <w:tcPr>
            <w:tcW w:w="2126" w:type="dxa"/>
          </w:tcPr>
          <w:p w14:paraId="37AE5368"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30.982.063.980</w:t>
            </w:r>
          </w:p>
        </w:tc>
        <w:tc>
          <w:tcPr>
            <w:tcW w:w="2409" w:type="dxa"/>
          </w:tcPr>
          <w:p w14:paraId="35C2823E"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2.93</w:t>
            </w:r>
          </w:p>
        </w:tc>
      </w:tr>
      <w:tr w:rsidR="004C0A79" w:rsidRPr="00731F8E" w14:paraId="656BFE6E" w14:textId="77777777" w:rsidTr="004C0A79">
        <w:trPr>
          <w:trHeight w:val="268"/>
        </w:trPr>
        <w:tc>
          <w:tcPr>
            <w:tcW w:w="994" w:type="dxa"/>
          </w:tcPr>
          <w:p w14:paraId="05A0B075"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2007</w:t>
            </w:r>
          </w:p>
        </w:tc>
        <w:tc>
          <w:tcPr>
            <w:tcW w:w="2268" w:type="dxa"/>
          </w:tcPr>
          <w:p w14:paraId="009E2D8F"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36.200.000.000</w:t>
            </w:r>
          </w:p>
        </w:tc>
        <w:tc>
          <w:tcPr>
            <w:tcW w:w="2126" w:type="dxa"/>
          </w:tcPr>
          <w:p w14:paraId="4F468222"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35.394.878.230</w:t>
            </w:r>
          </w:p>
        </w:tc>
        <w:tc>
          <w:tcPr>
            <w:tcW w:w="2409" w:type="dxa"/>
          </w:tcPr>
          <w:p w14:paraId="5EFB2FF7"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-2.22</w:t>
            </w:r>
          </w:p>
        </w:tc>
      </w:tr>
      <w:tr w:rsidR="004C0A79" w:rsidRPr="00731F8E" w14:paraId="4AA411A4" w14:textId="77777777" w:rsidTr="004C0A79">
        <w:trPr>
          <w:trHeight w:val="268"/>
        </w:trPr>
        <w:tc>
          <w:tcPr>
            <w:tcW w:w="994" w:type="dxa"/>
          </w:tcPr>
          <w:p w14:paraId="7B0CAAC8"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2008</w:t>
            </w:r>
          </w:p>
        </w:tc>
        <w:tc>
          <w:tcPr>
            <w:tcW w:w="2268" w:type="dxa"/>
          </w:tcPr>
          <w:p w14:paraId="3000BF48"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37.500.000.000</w:t>
            </w:r>
          </w:p>
        </w:tc>
        <w:tc>
          <w:tcPr>
            <w:tcW w:w="2126" w:type="dxa"/>
          </w:tcPr>
          <w:p w14:paraId="27B6F41D"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36.865.051.313</w:t>
            </w:r>
          </w:p>
        </w:tc>
        <w:tc>
          <w:tcPr>
            <w:tcW w:w="2409" w:type="dxa"/>
          </w:tcPr>
          <w:p w14:paraId="30BFD6E6"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-1,69</w:t>
            </w:r>
          </w:p>
        </w:tc>
      </w:tr>
      <w:tr w:rsidR="004C0A79" w:rsidRPr="00731F8E" w14:paraId="0A33F872" w14:textId="77777777" w:rsidTr="004C0A79">
        <w:trPr>
          <w:trHeight w:val="268"/>
        </w:trPr>
        <w:tc>
          <w:tcPr>
            <w:tcW w:w="994" w:type="dxa"/>
          </w:tcPr>
          <w:p w14:paraId="1345A37D"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2009</w:t>
            </w:r>
          </w:p>
        </w:tc>
        <w:tc>
          <w:tcPr>
            <w:tcW w:w="2268" w:type="dxa"/>
          </w:tcPr>
          <w:p w14:paraId="719D9CE4"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35.000.000.000</w:t>
            </w:r>
          </w:p>
        </w:tc>
        <w:tc>
          <w:tcPr>
            <w:tcW w:w="2126" w:type="dxa"/>
          </w:tcPr>
          <w:p w14:paraId="4698D6A8"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35.218.839.390</w:t>
            </w:r>
          </w:p>
        </w:tc>
        <w:tc>
          <w:tcPr>
            <w:tcW w:w="2409" w:type="dxa"/>
          </w:tcPr>
          <w:p w14:paraId="706FC05F"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0,63</w:t>
            </w:r>
          </w:p>
        </w:tc>
      </w:tr>
      <w:tr w:rsidR="004C0A79" w:rsidRPr="00731F8E" w14:paraId="26F2177F" w14:textId="77777777" w:rsidTr="004C0A79">
        <w:trPr>
          <w:trHeight w:val="268"/>
        </w:trPr>
        <w:tc>
          <w:tcPr>
            <w:tcW w:w="994" w:type="dxa"/>
          </w:tcPr>
          <w:p w14:paraId="06CEF1AD"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2010</w:t>
            </w:r>
          </w:p>
        </w:tc>
        <w:tc>
          <w:tcPr>
            <w:tcW w:w="2268" w:type="dxa"/>
          </w:tcPr>
          <w:p w14:paraId="4C1A3F88"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37.000.000.000</w:t>
            </w:r>
          </w:p>
        </w:tc>
        <w:tc>
          <w:tcPr>
            <w:tcW w:w="2126" w:type="dxa"/>
          </w:tcPr>
          <w:p w14:paraId="26041B66"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37.411.118.370</w:t>
            </w:r>
          </w:p>
        </w:tc>
        <w:tc>
          <w:tcPr>
            <w:tcW w:w="2409" w:type="dxa"/>
          </w:tcPr>
          <w:p w14:paraId="069BED7A"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1,11</w:t>
            </w:r>
          </w:p>
        </w:tc>
      </w:tr>
      <w:tr w:rsidR="004C0A79" w:rsidRPr="00731F8E" w14:paraId="4FC86E7F" w14:textId="77777777" w:rsidTr="004C0A79">
        <w:trPr>
          <w:trHeight w:val="268"/>
        </w:trPr>
        <w:tc>
          <w:tcPr>
            <w:tcW w:w="994" w:type="dxa"/>
          </w:tcPr>
          <w:p w14:paraId="307C2320"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2011</w:t>
            </w:r>
          </w:p>
        </w:tc>
        <w:tc>
          <w:tcPr>
            <w:tcW w:w="2268" w:type="dxa"/>
          </w:tcPr>
          <w:p w14:paraId="255C611D"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39.000.000.000</w:t>
            </w:r>
          </w:p>
        </w:tc>
        <w:tc>
          <w:tcPr>
            <w:tcW w:w="2126" w:type="dxa"/>
          </w:tcPr>
          <w:p w14:paraId="64064AE2"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43.697.409.192</w:t>
            </w:r>
          </w:p>
        </w:tc>
        <w:tc>
          <w:tcPr>
            <w:tcW w:w="2409" w:type="dxa"/>
          </w:tcPr>
          <w:p w14:paraId="6073A687" w14:textId="77777777" w:rsidR="004C0A79" w:rsidRPr="00731F8E" w:rsidRDefault="004C0A79" w:rsidP="004C0A79">
            <w:pPr>
              <w:pStyle w:val="TableParagraph"/>
              <w:spacing w:line="248" w:lineRule="exact"/>
              <w:ind w:left="15"/>
              <w:rPr>
                <w:rFonts w:ascii="Times New Roman" w:hAnsi="Times New Roman" w:cs="Times New Roman"/>
                <w:szCs w:val="22"/>
              </w:rPr>
            </w:pPr>
            <w:r w:rsidRPr="00731F8E">
              <w:rPr>
                <w:rFonts w:ascii="Times New Roman" w:hAnsi="Times New Roman" w:cs="Times New Roman"/>
                <w:szCs w:val="22"/>
              </w:rPr>
              <w:t>12.04</w:t>
            </w:r>
          </w:p>
        </w:tc>
      </w:tr>
      <w:tr w:rsidR="004C0A79" w:rsidRPr="00731F8E" w14:paraId="5003FABB" w14:textId="77777777" w:rsidTr="004C0A79">
        <w:trPr>
          <w:trHeight w:val="268"/>
        </w:trPr>
        <w:tc>
          <w:tcPr>
            <w:tcW w:w="994" w:type="dxa"/>
          </w:tcPr>
          <w:p w14:paraId="5743D5BA"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2012</w:t>
            </w:r>
          </w:p>
        </w:tc>
        <w:tc>
          <w:tcPr>
            <w:tcW w:w="2268" w:type="dxa"/>
          </w:tcPr>
          <w:p w14:paraId="606B275F"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48.500.000.000</w:t>
            </w:r>
          </w:p>
        </w:tc>
        <w:tc>
          <w:tcPr>
            <w:tcW w:w="2126" w:type="dxa"/>
          </w:tcPr>
          <w:p w14:paraId="09D24972"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45.241.762.899</w:t>
            </w:r>
          </w:p>
        </w:tc>
        <w:tc>
          <w:tcPr>
            <w:tcW w:w="2409" w:type="dxa"/>
          </w:tcPr>
          <w:p w14:paraId="63585D66"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-6,72</w:t>
            </w:r>
          </w:p>
        </w:tc>
      </w:tr>
      <w:tr w:rsidR="004C0A79" w:rsidRPr="00731F8E" w14:paraId="4BF7437C" w14:textId="77777777" w:rsidTr="004C0A79">
        <w:trPr>
          <w:trHeight w:val="268"/>
        </w:trPr>
        <w:tc>
          <w:tcPr>
            <w:tcW w:w="994" w:type="dxa"/>
          </w:tcPr>
          <w:p w14:paraId="43B6A842"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2013</w:t>
            </w:r>
          </w:p>
        </w:tc>
        <w:tc>
          <w:tcPr>
            <w:tcW w:w="2268" w:type="dxa"/>
          </w:tcPr>
          <w:p w14:paraId="5161BB06"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47.600.000.000</w:t>
            </w:r>
          </w:p>
        </w:tc>
        <w:tc>
          <w:tcPr>
            <w:tcW w:w="2126" w:type="dxa"/>
          </w:tcPr>
          <w:p w14:paraId="2D50C739"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45.582.044.872</w:t>
            </w:r>
          </w:p>
        </w:tc>
        <w:tc>
          <w:tcPr>
            <w:tcW w:w="2409" w:type="dxa"/>
          </w:tcPr>
          <w:p w14:paraId="0EF79AB8"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-4.24</w:t>
            </w:r>
          </w:p>
        </w:tc>
      </w:tr>
      <w:tr w:rsidR="004C0A79" w:rsidRPr="00731F8E" w14:paraId="7BD841FA" w14:textId="77777777" w:rsidTr="004C0A79">
        <w:trPr>
          <w:trHeight w:val="268"/>
        </w:trPr>
        <w:tc>
          <w:tcPr>
            <w:tcW w:w="994" w:type="dxa"/>
          </w:tcPr>
          <w:p w14:paraId="67E4C030"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2014</w:t>
            </w:r>
          </w:p>
        </w:tc>
        <w:tc>
          <w:tcPr>
            <w:tcW w:w="2268" w:type="dxa"/>
          </w:tcPr>
          <w:p w14:paraId="4DADF0F7"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46.500.000.000</w:t>
            </w:r>
          </w:p>
        </w:tc>
        <w:tc>
          <w:tcPr>
            <w:tcW w:w="2126" w:type="dxa"/>
          </w:tcPr>
          <w:p w14:paraId="2502136A"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48.717.179.257</w:t>
            </w:r>
          </w:p>
        </w:tc>
        <w:tc>
          <w:tcPr>
            <w:tcW w:w="2409" w:type="dxa"/>
          </w:tcPr>
          <w:p w14:paraId="5BAFA19F"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4,77</w:t>
            </w:r>
          </w:p>
        </w:tc>
      </w:tr>
      <w:tr w:rsidR="004C0A79" w:rsidRPr="00731F8E" w14:paraId="15AAA8DE" w14:textId="77777777" w:rsidTr="004C0A79">
        <w:trPr>
          <w:trHeight w:val="268"/>
        </w:trPr>
        <w:tc>
          <w:tcPr>
            <w:tcW w:w="994" w:type="dxa"/>
          </w:tcPr>
          <w:p w14:paraId="3267FF45"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2015</w:t>
            </w:r>
          </w:p>
        </w:tc>
        <w:tc>
          <w:tcPr>
            <w:tcW w:w="2268" w:type="dxa"/>
          </w:tcPr>
          <w:p w14:paraId="5AB8BFD3"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50.862.943.531</w:t>
            </w:r>
          </w:p>
        </w:tc>
        <w:tc>
          <w:tcPr>
            <w:tcW w:w="2126" w:type="dxa"/>
          </w:tcPr>
          <w:p w14:paraId="7CA3DF9C"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47.999.276.834</w:t>
            </w:r>
          </w:p>
        </w:tc>
        <w:tc>
          <w:tcPr>
            <w:tcW w:w="2409" w:type="dxa"/>
          </w:tcPr>
          <w:p w14:paraId="35C65B55"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-5,63</w:t>
            </w:r>
          </w:p>
        </w:tc>
      </w:tr>
      <w:tr w:rsidR="004C0A79" w:rsidRPr="00731F8E" w14:paraId="79E17A6A" w14:textId="77777777" w:rsidTr="004C0A79">
        <w:trPr>
          <w:trHeight w:val="270"/>
        </w:trPr>
        <w:tc>
          <w:tcPr>
            <w:tcW w:w="994" w:type="dxa"/>
          </w:tcPr>
          <w:p w14:paraId="4F1D1015" w14:textId="77777777" w:rsidR="004C0A79" w:rsidRPr="00731F8E" w:rsidRDefault="004C0A79" w:rsidP="004C0A79">
            <w:pPr>
              <w:pStyle w:val="P68B1DB1-TableParagraph2"/>
              <w:spacing w:before="1" w:line="249" w:lineRule="exact"/>
              <w:ind w:left="16"/>
              <w:rPr>
                <w:rFonts w:ascii="Times New Roman" w:hAnsi="Times New Roman" w:cs="Times New Roman"/>
                <w:szCs w:val="22"/>
              </w:rPr>
            </w:pPr>
            <w:r w:rsidRPr="00731F8E">
              <w:rPr>
                <w:rFonts w:ascii="Times New Roman" w:hAnsi="Times New Roman" w:cs="Times New Roman"/>
                <w:szCs w:val="22"/>
              </w:rPr>
              <w:t>2016</w:t>
            </w:r>
          </w:p>
        </w:tc>
        <w:tc>
          <w:tcPr>
            <w:tcW w:w="2268" w:type="dxa"/>
          </w:tcPr>
          <w:p w14:paraId="28FEE1C1" w14:textId="77777777" w:rsidR="004C0A79" w:rsidRPr="00731F8E" w:rsidRDefault="004C0A79" w:rsidP="004C0A79">
            <w:pPr>
              <w:pStyle w:val="TableParagraph"/>
              <w:spacing w:before="1" w:line="249" w:lineRule="exact"/>
              <w:ind w:left="803"/>
              <w:rPr>
                <w:rFonts w:ascii="Times New Roman" w:hAnsi="Times New Roman" w:cs="Times New Roman"/>
                <w:szCs w:val="22"/>
              </w:rPr>
            </w:pPr>
            <w:r w:rsidRPr="00731F8E">
              <w:rPr>
                <w:rFonts w:ascii="Times New Roman" w:hAnsi="Times New Roman" w:cs="Times New Roman"/>
                <w:szCs w:val="22"/>
              </w:rPr>
              <w:t>49.562.579.420</w:t>
            </w:r>
          </w:p>
        </w:tc>
        <w:tc>
          <w:tcPr>
            <w:tcW w:w="2126" w:type="dxa"/>
          </w:tcPr>
          <w:p w14:paraId="552760B6" w14:textId="77777777" w:rsidR="004C0A79" w:rsidRPr="00731F8E" w:rsidRDefault="004C0A79" w:rsidP="004C0A79">
            <w:pPr>
              <w:pStyle w:val="TableParagraph"/>
              <w:spacing w:before="1" w:line="249" w:lineRule="exact"/>
              <w:ind w:right="55"/>
              <w:jc w:val="right"/>
              <w:rPr>
                <w:rFonts w:ascii="Times New Roman" w:hAnsi="Times New Roman" w:cs="Times New Roman"/>
                <w:szCs w:val="22"/>
              </w:rPr>
            </w:pPr>
            <w:r w:rsidRPr="00731F8E">
              <w:rPr>
                <w:rFonts w:ascii="Times New Roman" w:hAnsi="Times New Roman" w:cs="Times New Roman"/>
                <w:szCs w:val="22"/>
              </w:rPr>
              <w:t>46.480.780.189</w:t>
            </w:r>
          </w:p>
        </w:tc>
        <w:tc>
          <w:tcPr>
            <w:tcW w:w="2409" w:type="dxa"/>
          </w:tcPr>
          <w:p w14:paraId="62B5F76A" w14:textId="77777777" w:rsidR="004C0A79" w:rsidRPr="00731F8E" w:rsidRDefault="004C0A79" w:rsidP="004C0A79">
            <w:pPr>
              <w:pStyle w:val="TableParagraph"/>
              <w:spacing w:before="1" w:line="249" w:lineRule="exact"/>
              <w:ind w:left="15" w:right="5"/>
              <w:rPr>
                <w:rFonts w:ascii="Times New Roman" w:hAnsi="Times New Roman" w:cs="Times New Roman"/>
                <w:szCs w:val="22"/>
              </w:rPr>
            </w:pPr>
            <w:r w:rsidRPr="00731F8E">
              <w:rPr>
                <w:rFonts w:ascii="Times New Roman" w:hAnsi="Times New Roman" w:cs="Times New Roman"/>
                <w:szCs w:val="22"/>
              </w:rPr>
              <w:t>–6.22</w:t>
            </w:r>
          </w:p>
        </w:tc>
      </w:tr>
      <w:tr w:rsidR="004C0A79" w:rsidRPr="00731F8E" w14:paraId="19ED9596" w14:textId="77777777" w:rsidTr="004C0A79">
        <w:trPr>
          <w:trHeight w:val="268"/>
        </w:trPr>
        <w:tc>
          <w:tcPr>
            <w:tcW w:w="994" w:type="dxa"/>
          </w:tcPr>
          <w:p w14:paraId="5A223DB3"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2017</w:t>
            </w:r>
          </w:p>
        </w:tc>
        <w:tc>
          <w:tcPr>
            <w:tcW w:w="2268" w:type="dxa"/>
          </w:tcPr>
          <w:p w14:paraId="6EA5EC58"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46.029.977.218</w:t>
            </w:r>
          </w:p>
        </w:tc>
        <w:tc>
          <w:tcPr>
            <w:tcW w:w="2126" w:type="dxa"/>
          </w:tcPr>
          <w:p w14:paraId="6E68D085"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53.857.136.920</w:t>
            </w:r>
          </w:p>
        </w:tc>
        <w:tc>
          <w:tcPr>
            <w:tcW w:w="2409" w:type="dxa"/>
          </w:tcPr>
          <w:p w14:paraId="46147587" w14:textId="77777777" w:rsidR="004C0A79" w:rsidRPr="00731F8E" w:rsidRDefault="004C0A79" w:rsidP="004C0A79">
            <w:pPr>
              <w:pStyle w:val="TableParagraph"/>
              <w:spacing w:line="248" w:lineRule="exact"/>
              <w:ind w:left="15" w:right="1"/>
              <w:rPr>
                <w:rFonts w:ascii="Times New Roman" w:hAnsi="Times New Roman" w:cs="Times New Roman"/>
                <w:szCs w:val="22"/>
              </w:rPr>
            </w:pPr>
            <w:r w:rsidRPr="00731F8E">
              <w:rPr>
                <w:rFonts w:ascii="Times New Roman" w:hAnsi="Times New Roman" w:cs="Times New Roman"/>
                <w:szCs w:val="22"/>
              </w:rPr>
              <w:t>17.00</w:t>
            </w:r>
          </w:p>
        </w:tc>
      </w:tr>
      <w:tr w:rsidR="004C0A79" w:rsidRPr="00731F8E" w14:paraId="7864A39A" w14:textId="77777777" w:rsidTr="004C0A79">
        <w:trPr>
          <w:trHeight w:val="268"/>
        </w:trPr>
        <w:tc>
          <w:tcPr>
            <w:tcW w:w="994" w:type="dxa"/>
          </w:tcPr>
          <w:p w14:paraId="4A90514A"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2018</w:t>
            </w:r>
          </w:p>
        </w:tc>
        <w:tc>
          <w:tcPr>
            <w:tcW w:w="2268" w:type="dxa"/>
          </w:tcPr>
          <w:p w14:paraId="1D8B6DC2"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54.523.999.692</w:t>
            </w:r>
          </w:p>
        </w:tc>
        <w:tc>
          <w:tcPr>
            <w:tcW w:w="2126" w:type="dxa"/>
          </w:tcPr>
          <w:p w14:paraId="08FE7835"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49.328.933.112</w:t>
            </w:r>
          </w:p>
        </w:tc>
        <w:tc>
          <w:tcPr>
            <w:tcW w:w="2409" w:type="dxa"/>
          </w:tcPr>
          <w:p w14:paraId="25563CBB"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-9,52</w:t>
            </w:r>
          </w:p>
        </w:tc>
      </w:tr>
      <w:tr w:rsidR="004C0A79" w:rsidRPr="00731F8E" w14:paraId="770A36B5" w14:textId="77777777" w:rsidTr="004C0A79">
        <w:trPr>
          <w:trHeight w:val="268"/>
        </w:trPr>
        <w:tc>
          <w:tcPr>
            <w:tcW w:w="994" w:type="dxa"/>
          </w:tcPr>
          <w:p w14:paraId="47E54AB3"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2019</w:t>
            </w:r>
          </w:p>
        </w:tc>
        <w:tc>
          <w:tcPr>
            <w:tcW w:w="2268" w:type="dxa"/>
          </w:tcPr>
          <w:p w14:paraId="426F8354"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52.133.229.503</w:t>
            </w:r>
          </w:p>
        </w:tc>
        <w:tc>
          <w:tcPr>
            <w:tcW w:w="2126" w:type="dxa"/>
          </w:tcPr>
          <w:p w14:paraId="4B0E003C"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45.285.498.420</w:t>
            </w:r>
          </w:p>
        </w:tc>
        <w:tc>
          <w:tcPr>
            <w:tcW w:w="2409" w:type="dxa"/>
          </w:tcPr>
          <w:p w14:paraId="732BEC03" w14:textId="77777777" w:rsidR="004C0A79" w:rsidRPr="00731F8E" w:rsidRDefault="004C0A79" w:rsidP="004C0A79">
            <w:pPr>
              <w:pStyle w:val="TableParagraph"/>
              <w:spacing w:line="248" w:lineRule="exact"/>
              <w:ind w:left="15" w:right="4"/>
              <w:rPr>
                <w:rFonts w:ascii="Times New Roman" w:hAnsi="Times New Roman" w:cs="Times New Roman"/>
                <w:szCs w:val="22"/>
              </w:rPr>
            </w:pPr>
            <w:r w:rsidRPr="00731F8E">
              <w:rPr>
                <w:rFonts w:ascii="Times New Roman" w:hAnsi="Times New Roman" w:cs="Times New Roman"/>
                <w:szCs w:val="22"/>
              </w:rPr>
              <w:t>-13.1</w:t>
            </w:r>
          </w:p>
        </w:tc>
      </w:tr>
      <w:tr w:rsidR="004C0A79" w:rsidRPr="00731F8E" w14:paraId="4C98B01E" w14:textId="77777777" w:rsidTr="004C0A79">
        <w:trPr>
          <w:trHeight w:val="268"/>
        </w:trPr>
        <w:tc>
          <w:tcPr>
            <w:tcW w:w="994" w:type="dxa"/>
          </w:tcPr>
          <w:p w14:paraId="5DE1B543"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2020</w:t>
            </w:r>
          </w:p>
        </w:tc>
        <w:tc>
          <w:tcPr>
            <w:tcW w:w="2268" w:type="dxa"/>
          </w:tcPr>
          <w:p w14:paraId="36F3C0C1"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52.019.230.516</w:t>
            </w:r>
          </w:p>
        </w:tc>
        <w:tc>
          <w:tcPr>
            <w:tcW w:w="2126" w:type="dxa"/>
          </w:tcPr>
          <w:p w14:paraId="403677CB"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48.261.352.140</w:t>
            </w:r>
          </w:p>
        </w:tc>
        <w:tc>
          <w:tcPr>
            <w:tcW w:w="2409" w:type="dxa"/>
          </w:tcPr>
          <w:p w14:paraId="049E6BC2" w14:textId="77777777" w:rsidR="004C0A79" w:rsidRPr="00731F8E" w:rsidRDefault="004C0A79" w:rsidP="004C0A79">
            <w:pPr>
              <w:pStyle w:val="TableParagraph"/>
              <w:spacing w:line="248" w:lineRule="exact"/>
              <w:ind w:left="15" w:right="5"/>
              <w:rPr>
                <w:rFonts w:ascii="Times New Roman" w:hAnsi="Times New Roman" w:cs="Times New Roman"/>
                <w:szCs w:val="22"/>
              </w:rPr>
            </w:pPr>
            <w:r w:rsidRPr="00731F8E">
              <w:rPr>
                <w:rFonts w:ascii="Times New Roman" w:hAnsi="Times New Roman" w:cs="Times New Roman"/>
                <w:szCs w:val="22"/>
              </w:rPr>
              <w:t>-7,22</w:t>
            </w:r>
          </w:p>
        </w:tc>
      </w:tr>
      <w:tr w:rsidR="004C0A79" w:rsidRPr="00731F8E" w14:paraId="152CCBF5" w14:textId="77777777" w:rsidTr="004C0A79">
        <w:trPr>
          <w:trHeight w:val="268"/>
        </w:trPr>
        <w:tc>
          <w:tcPr>
            <w:tcW w:w="994" w:type="dxa"/>
          </w:tcPr>
          <w:p w14:paraId="18A9430C" w14:textId="77777777" w:rsidR="004C0A79" w:rsidRPr="00731F8E" w:rsidRDefault="004C0A79" w:rsidP="004C0A79">
            <w:pPr>
              <w:pStyle w:val="P68B1DB1-TableParagraph2"/>
              <w:spacing w:line="248" w:lineRule="exact"/>
              <w:ind w:left="16" w:right="1"/>
              <w:rPr>
                <w:rFonts w:ascii="Times New Roman" w:hAnsi="Times New Roman" w:cs="Times New Roman"/>
                <w:szCs w:val="22"/>
              </w:rPr>
            </w:pPr>
            <w:r w:rsidRPr="00731F8E">
              <w:rPr>
                <w:rFonts w:ascii="Times New Roman" w:hAnsi="Times New Roman" w:cs="Times New Roman"/>
                <w:szCs w:val="22"/>
              </w:rPr>
              <w:t>2021</w:t>
            </w:r>
          </w:p>
        </w:tc>
        <w:tc>
          <w:tcPr>
            <w:tcW w:w="2268" w:type="dxa"/>
          </w:tcPr>
          <w:p w14:paraId="307DD629" w14:textId="77777777" w:rsidR="004C0A79" w:rsidRPr="00731F8E" w:rsidRDefault="004C0A79" w:rsidP="004C0A79">
            <w:pPr>
              <w:pStyle w:val="TableParagraph"/>
              <w:spacing w:line="248" w:lineRule="exact"/>
              <w:ind w:left="803"/>
              <w:rPr>
                <w:rFonts w:ascii="Times New Roman" w:hAnsi="Times New Roman" w:cs="Times New Roman"/>
                <w:szCs w:val="22"/>
              </w:rPr>
            </w:pPr>
            <w:r w:rsidRPr="00731F8E">
              <w:rPr>
                <w:rFonts w:ascii="Times New Roman" w:hAnsi="Times New Roman" w:cs="Times New Roman"/>
                <w:szCs w:val="22"/>
              </w:rPr>
              <w:t>50.864.761.766</w:t>
            </w:r>
          </w:p>
        </w:tc>
        <w:tc>
          <w:tcPr>
            <w:tcW w:w="2126" w:type="dxa"/>
          </w:tcPr>
          <w:p w14:paraId="668DC293"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59.827.054.387</w:t>
            </w:r>
          </w:p>
        </w:tc>
        <w:tc>
          <w:tcPr>
            <w:tcW w:w="2409" w:type="dxa"/>
          </w:tcPr>
          <w:p w14:paraId="676E7FE1" w14:textId="77777777" w:rsidR="004C0A79" w:rsidRPr="00731F8E" w:rsidRDefault="004C0A79" w:rsidP="004C0A79">
            <w:pPr>
              <w:pStyle w:val="TableParagraph"/>
              <w:spacing w:line="248" w:lineRule="exact"/>
              <w:ind w:left="15" w:right="1"/>
              <w:rPr>
                <w:rFonts w:ascii="Times New Roman" w:hAnsi="Times New Roman" w:cs="Times New Roman"/>
                <w:szCs w:val="22"/>
              </w:rPr>
            </w:pPr>
            <w:r w:rsidRPr="00731F8E">
              <w:rPr>
                <w:rFonts w:ascii="Times New Roman" w:hAnsi="Times New Roman" w:cs="Times New Roman"/>
                <w:szCs w:val="22"/>
              </w:rPr>
              <w:t>17.62</w:t>
            </w:r>
          </w:p>
        </w:tc>
      </w:tr>
      <w:tr w:rsidR="004C0A79" w:rsidRPr="00731F8E" w14:paraId="47DEA6AA" w14:textId="77777777" w:rsidTr="004C0A79">
        <w:trPr>
          <w:trHeight w:val="268"/>
        </w:trPr>
        <w:tc>
          <w:tcPr>
            <w:tcW w:w="994" w:type="dxa"/>
          </w:tcPr>
          <w:p w14:paraId="72993B16" w14:textId="77777777" w:rsidR="004C0A79" w:rsidRPr="00731F8E" w:rsidRDefault="004C0A79" w:rsidP="004C0A79">
            <w:pPr>
              <w:pStyle w:val="P68B1DB1-TableParagraph2"/>
              <w:spacing w:line="248" w:lineRule="exact"/>
              <w:ind w:left="16"/>
              <w:rPr>
                <w:rFonts w:ascii="Times New Roman" w:hAnsi="Times New Roman" w:cs="Times New Roman"/>
                <w:szCs w:val="22"/>
              </w:rPr>
            </w:pPr>
            <w:r w:rsidRPr="00731F8E">
              <w:rPr>
                <w:rFonts w:ascii="Times New Roman" w:hAnsi="Times New Roman" w:cs="Times New Roman"/>
                <w:szCs w:val="22"/>
              </w:rPr>
              <w:t>2022</w:t>
            </w:r>
          </w:p>
        </w:tc>
        <w:tc>
          <w:tcPr>
            <w:tcW w:w="2268" w:type="dxa"/>
          </w:tcPr>
          <w:p w14:paraId="7B7CA6F6" w14:textId="77777777" w:rsidR="004C0A79" w:rsidRPr="00731F8E" w:rsidRDefault="004C0A79" w:rsidP="004C0A79">
            <w:pPr>
              <w:pStyle w:val="TableParagraph"/>
              <w:spacing w:line="248" w:lineRule="exact"/>
              <w:ind w:left="755"/>
              <w:rPr>
                <w:rFonts w:ascii="Times New Roman" w:hAnsi="Times New Roman" w:cs="Times New Roman"/>
                <w:szCs w:val="22"/>
              </w:rPr>
            </w:pPr>
            <w:r w:rsidRPr="00731F8E">
              <w:rPr>
                <w:rFonts w:ascii="Times New Roman" w:hAnsi="Times New Roman" w:cs="Times New Roman"/>
                <w:szCs w:val="22"/>
              </w:rPr>
              <w:t>60.044. 873.569</w:t>
            </w:r>
          </w:p>
        </w:tc>
        <w:tc>
          <w:tcPr>
            <w:tcW w:w="2126" w:type="dxa"/>
          </w:tcPr>
          <w:p w14:paraId="781E21D3" w14:textId="77777777" w:rsidR="004C0A79" w:rsidRPr="00731F8E" w:rsidRDefault="004C0A79" w:rsidP="004C0A79">
            <w:pPr>
              <w:pStyle w:val="TableParagraph"/>
              <w:spacing w:line="248" w:lineRule="exact"/>
              <w:ind w:right="55"/>
              <w:jc w:val="right"/>
              <w:rPr>
                <w:rFonts w:ascii="Times New Roman" w:hAnsi="Times New Roman" w:cs="Times New Roman"/>
                <w:szCs w:val="22"/>
              </w:rPr>
            </w:pPr>
            <w:r w:rsidRPr="00731F8E">
              <w:rPr>
                <w:rFonts w:ascii="Times New Roman" w:hAnsi="Times New Roman" w:cs="Times New Roman"/>
                <w:szCs w:val="22"/>
              </w:rPr>
              <w:t>53.521.059.863</w:t>
            </w:r>
          </w:p>
        </w:tc>
        <w:tc>
          <w:tcPr>
            <w:tcW w:w="2409" w:type="dxa"/>
          </w:tcPr>
          <w:p w14:paraId="3704A299" w14:textId="77777777" w:rsidR="004C0A79" w:rsidRPr="00731F8E" w:rsidRDefault="004C0A79" w:rsidP="004C0A79">
            <w:pPr>
              <w:pStyle w:val="TableParagraph"/>
              <w:spacing w:line="248" w:lineRule="exact"/>
              <w:ind w:left="15"/>
              <w:rPr>
                <w:rFonts w:ascii="Times New Roman" w:hAnsi="Times New Roman" w:cs="Times New Roman"/>
                <w:szCs w:val="22"/>
              </w:rPr>
            </w:pPr>
            <w:r w:rsidRPr="00731F8E">
              <w:rPr>
                <w:rFonts w:ascii="Times New Roman" w:hAnsi="Times New Roman" w:cs="Times New Roman"/>
                <w:szCs w:val="22"/>
              </w:rPr>
              <w:t>-10.86</w:t>
            </w:r>
          </w:p>
        </w:tc>
      </w:tr>
    </w:tbl>
    <w:p w14:paraId="43ACB4DA" w14:textId="77777777" w:rsidR="004C0A79" w:rsidRPr="00731F8E" w:rsidRDefault="004C0A79" w:rsidP="004C0A79">
      <w:pPr>
        <w:spacing w:line="248" w:lineRule="exact"/>
        <w:rPr>
          <w:rFonts w:ascii="Times New Roman" w:hAnsi="Times New Roman"/>
        </w:rPr>
        <w:sectPr w:rsidR="004C0A79" w:rsidRPr="00731F8E" w:rsidSect="004C0A79">
          <w:pgSz w:w="11910" w:h="16840"/>
          <w:pgMar w:top="1560" w:right="440" w:bottom="280" w:left="1300" w:header="720" w:footer="720" w:gutter="0"/>
          <w:cols w:space="720"/>
        </w:sectPr>
      </w:pPr>
    </w:p>
    <w:p w14:paraId="53A2FB04" w14:textId="77777777" w:rsidR="004C0A79" w:rsidRPr="00731F8E" w:rsidRDefault="004C0A79" w:rsidP="00A86526">
      <w:pPr>
        <w:pStyle w:val="ListeParagraf"/>
        <w:widowControl w:val="0"/>
        <w:numPr>
          <w:ilvl w:val="3"/>
          <w:numId w:val="94"/>
        </w:numPr>
        <w:tabs>
          <w:tab w:val="left" w:pos="836"/>
          <w:tab w:val="left" w:pos="838"/>
        </w:tabs>
        <w:autoSpaceDE w:val="0"/>
        <w:autoSpaceDN w:val="0"/>
        <w:spacing w:before="88" w:after="0" w:line="259" w:lineRule="auto"/>
        <w:ind w:right="121"/>
        <w:contextualSpacing w:val="0"/>
        <w:rPr>
          <w:rFonts w:ascii="Times New Roman" w:hAnsi="Times New Roman"/>
        </w:rPr>
      </w:pPr>
      <w:r w:rsidRPr="00731F8E">
        <w:rPr>
          <w:rFonts w:ascii="Times New Roman" w:hAnsi="Times New Roman"/>
        </w:rPr>
        <w:lastRenderedPageBreak/>
        <w:t xml:space="preserve">With the Board Decision dated 27.01.2022 and numbered 10745 published in the Official Gazette dated 28.01.2022 and numbered 31733, the Transmission Network Minimum Stock Amount has been determined as 360.298.645 Stdm3 until a new decision is taken on the subject to </w:t>
      </w:r>
      <w:r w:rsidRPr="00731F8E">
        <w:rPr>
          <w:rFonts w:ascii="Times New Roman" w:hAnsi="Times New Roman"/>
          <w:b/>
        </w:rPr>
        <w:t xml:space="preserve"> </w:t>
      </w:r>
      <w:r w:rsidRPr="00731F8E">
        <w:rPr>
          <w:rFonts w:ascii="Times New Roman" w:hAnsi="Times New Roman"/>
        </w:rPr>
        <w:t>be implemented from 2022 Gas Year.</w:t>
      </w:r>
    </w:p>
    <w:p w14:paraId="2E84B0E8" w14:textId="77777777" w:rsidR="004C0A79" w:rsidRPr="00731F8E" w:rsidRDefault="004C0A79" w:rsidP="004C0A79">
      <w:pPr>
        <w:pStyle w:val="GvdeMetni"/>
        <w:spacing w:before="40"/>
        <w:rPr>
          <w:rFonts w:cs="Times New Roman"/>
          <w:i/>
          <w:szCs w:val="22"/>
        </w:rPr>
      </w:pPr>
    </w:p>
    <w:p w14:paraId="33836FB3" w14:textId="77777777" w:rsidR="004C0A79" w:rsidRPr="00731F8E" w:rsidRDefault="004C0A79" w:rsidP="00A86526">
      <w:pPr>
        <w:pStyle w:val="ListeParagraf"/>
        <w:widowControl w:val="0"/>
        <w:numPr>
          <w:ilvl w:val="3"/>
          <w:numId w:val="94"/>
        </w:numPr>
        <w:tabs>
          <w:tab w:val="left" w:pos="836"/>
          <w:tab w:val="left" w:pos="838"/>
        </w:tabs>
        <w:autoSpaceDE w:val="0"/>
        <w:autoSpaceDN w:val="0"/>
        <w:spacing w:after="0" w:line="259" w:lineRule="auto"/>
        <w:ind w:right="121"/>
        <w:contextualSpacing w:val="0"/>
        <w:rPr>
          <w:rFonts w:ascii="Times New Roman" w:hAnsi="Times New Roman"/>
        </w:rPr>
      </w:pPr>
      <w:r w:rsidRPr="00731F8E">
        <w:rPr>
          <w:rFonts w:ascii="Times New Roman" w:hAnsi="Times New Roman"/>
        </w:rPr>
        <w:t xml:space="preserve">With the Board Decision dated 27.01.2022 and numbered 10747 published in the Official Gazette dated 28.01.2022 and numbered 31733, it was decided to determine the national natural gas consumption forecast for 2022 as 60.044.873.569 </w:t>
      </w:r>
      <w:r w:rsidRPr="00731F8E">
        <w:rPr>
          <w:rFonts w:ascii="Times New Roman" w:hAnsi="Times New Roman"/>
          <w:b/>
        </w:rPr>
        <w:t xml:space="preserve">Sm3 (638.877.454.771 kWh) </w:t>
      </w:r>
      <w:r w:rsidRPr="00731F8E">
        <w:rPr>
          <w:rFonts w:ascii="Times New Roman" w:hAnsi="Times New Roman"/>
        </w:rPr>
        <w:t>based on the upper thermal value of natural gas 9155 kcal/m3.</w:t>
      </w:r>
    </w:p>
    <w:p w14:paraId="54610170" w14:textId="77777777" w:rsidR="004C0A79" w:rsidRPr="00731F8E" w:rsidRDefault="004C0A79" w:rsidP="004C0A79">
      <w:pPr>
        <w:pStyle w:val="GvdeMetni"/>
        <w:spacing w:before="37"/>
        <w:rPr>
          <w:rFonts w:cs="Times New Roman"/>
          <w:i/>
          <w:szCs w:val="22"/>
        </w:rPr>
      </w:pPr>
    </w:p>
    <w:p w14:paraId="2881169B" w14:textId="77777777" w:rsidR="004C0A79" w:rsidRPr="00731F8E" w:rsidRDefault="004C0A79" w:rsidP="00A86526">
      <w:pPr>
        <w:pStyle w:val="ListeParagraf"/>
        <w:widowControl w:val="0"/>
        <w:numPr>
          <w:ilvl w:val="3"/>
          <w:numId w:val="94"/>
        </w:numPr>
        <w:tabs>
          <w:tab w:val="left" w:pos="838"/>
        </w:tabs>
        <w:autoSpaceDE w:val="0"/>
        <w:autoSpaceDN w:val="0"/>
        <w:spacing w:before="1" w:after="0" w:line="259" w:lineRule="auto"/>
        <w:ind w:right="119" w:hanging="360"/>
        <w:contextualSpacing w:val="0"/>
        <w:rPr>
          <w:rFonts w:ascii="Times New Roman" w:hAnsi="Times New Roman"/>
        </w:rPr>
      </w:pPr>
      <w:r w:rsidRPr="00731F8E">
        <w:rPr>
          <w:rFonts w:ascii="Times New Roman" w:hAnsi="Times New Roman"/>
        </w:rPr>
        <w:t>With the Board Decision dated 17.02.2022 and numbered 10796, published in the Official Gazette dated 19.02.2022 and numbered 31755, and entered into force by being published in the Official Gazette dated 4 September 2020 and numbered 31254, dated 23/09/2020 "Regarding the Assignment of BOTAŞ General Directorate for the Purpose of Delivering Natural Gas to the Districts" Based on the "Presidential Decree No. 4928 dated 28/12/2021", which entered into force by being published in the Official Gazette No. 31704 dated December 29, 2021, with the 5th article of the "Presidential Decree No. 2953" The "Procedures and Principles Concerning the Amendment to the</w:t>
      </w:r>
      <w:r w:rsidRPr="00731F8E">
        <w:rPr>
          <w:rFonts w:ascii="Times New Roman" w:hAnsi="Times New Roman"/>
          <w:b/>
        </w:rPr>
        <w:t xml:space="preserve"> Procedures and Principles Regarding the Implementation of the Presidential Decree No. 2953, Dated 23/09/2020, Taken for the Purpose of Delivering Natural Gas to the Districts" prepared and </w:t>
      </w:r>
      <w:r w:rsidRPr="00731F8E">
        <w:rPr>
          <w:rFonts w:ascii="Times New Roman" w:hAnsi="Times New Roman"/>
        </w:rPr>
        <w:t xml:space="preserve">attached has been accepted.&amp; </w:t>
      </w:r>
    </w:p>
    <w:p w14:paraId="7B4D07E1" w14:textId="77777777" w:rsidR="004C0A79" w:rsidRPr="00731F8E" w:rsidRDefault="004C0A79" w:rsidP="004C0A79">
      <w:pPr>
        <w:pStyle w:val="GvdeMetni"/>
        <w:spacing w:before="39"/>
        <w:rPr>
          <w:rFonts w:cs="Times New Roman"/>
          <w:i/>
          <w:szCs w:val="22"/>
        </w:rPr>
      </w:pPr>
    </w:p>
    <w:p w14:paraId="55343F31" w14:textId="77777777" w:rsidR="004C0A79" w:rsidRPr="00731F8E" w:rsidRDefault="004C0A79" w:rsidP="00A86526">
      <w:pPr>
        <w:pStyle w:val="ListeParagraf"/>
        <w:widowControl w:val="0"/>
        <w:numPr>
          <w:ilvl w:val="3"/>
          <w:numId w:val="94"/>
        </w:numPr>
        <w:tabs>
          <w:tab w:val="left" w:pos="838"/>
        </w:tabs>
        <w:autoSpaceDE w:val="0"/>
        <w:autoSpaceDN w:val="0"/>
        <w:spacing w:after="0" w:line="259" w:lineRule="auto"/>
        <w:ind w:right="120" w:hanging="360"/>
        <w:contextualSpacing w:val="0"/>
        <w:rPr>
          <w:rFonts w:ascii="Times New Roman" w:hAnsi="Times New Roman"/>
        </w:rPr>
      </w:pPr>
      <w:r w:rsidRPr="00731F8E">
        <w:rPr>
          <w:rFonts w:ascii="Times New Roman" w:hAnsi="Times New Roman"/>
        </w:rPr>
        <w:t xml:space="preserve">With the Board Decision dated 10.03.2022 and numbered 10834 published in the Official Gazette dated 12.03.2022 and numbered 31776, the </w:t>
      </w:r>
      <w:r w:rsidRPr="00731F8E">
        <w:rPr>
          <w:rFonts w:ascii="Times New Roman" w:hAnsi="Times New Roman"/>
          <w:b/>
        </w:rPr>
        <w:t xml:space="preserve">"Procedures and Principles for Amending the Procedures and Principles for Supporting the Research, Development and Innovation Activities of Electricity and Natural Gas Distribution Companies" regarding the amendment of the Board Decision dated 26.03.2020 and </w:t>
      </w:r>
      <w:r w:rsidRPr="00731F8E">
        <w:rPr>
          <w:rFonts w:ascii="Times New Roman" w:hAnsi="Times New Roman"/>
        </w:rPr>
        <w:t>numbered 9268 were accepted.</w:t>
      </w:r>
    </w:p>
    <w:p w14:paraId="50692FC3" w14:textId="77777777" w:rsidR="004C0A79" w:rsidRPr="00731F8E" w:rsidRDefault="004C0A79" w:rsidP="004C0A79">
      <w:pPr>
        <w:pStyle w:val="GvdeMetni"/>
        <w:spacing w:before="38"/>
        <w:rPr>
          <w:rFonts w:cs="Times New Roman"/>
          <w:i/>
          <w:szCs w:val="22"/>
        </w:rPr>
      </w:pPr>
    </w:p>
    <w:p w14:paraId="6E5A3A6E" w14:textId="77777777" w:rsidR="004C0A79" w:rsidRPr="00731F8E" w:rsidRDefault="004C0A79" w:rsidP="00A86526">
      <w:pPr>
        <w:pStyle w:val="ListeParagraf"/>
        <w:widowControl w:val="0"/>
        <w:numPr>
          <w:ilvl w:val="3"/>
          <w:numId w:val="94"/>
        </w:numPr>
        <w:tabs>
          <w:tab w:val="left" w:pos="836"/>
          <w:tab w:val="left" w:pos="838"/>
        </w:tabs>
        <w:autoSpaceDE w:val="0"/>
        <w:autoSpaceDN w:val="0"/>
        <w:spacing w:after="0" w:line="259" w:lineRule="auto"/>
        <w:ind w:right="120"/>
        <w:contextualSpacing w:val="0"/>
        <w:rPr>
          <w:rFonts w:ascii="Times New Roman" w:hAnsi="Times New Roman"/>
        </w:rPr>
      </w:pPr>
      <w:r w:rsidRPr="00731F8E">
        <w:rPr>
          <w:rFonts w:ascii="Times New Roman" w:hAnsi="Times New Roman"/>
        </w:rPr>
        <w:t xml:space="preserve">With the Board Decision dated 17.03.2022 and numbered 10861 published in the Official Gazette dated 19.03.2022 and numbered 31783, the </w:t>
      </w:r>
      <w:r w:rsidRPr="00731F8E">
        <w:rPr>
          <w:rFonts w:ascii="Times New Roman" w:hAnsi="Times New Roman"/>
          <w:b/>
        </w:rPr>
        <w:t xml:space="preserve">"Decision on Amendment to the Procedures and Principles of Tariff Calculation for Underground Natural Gas Storage Companies" </w:t>
      </w:r>
      <w:r w:rsidRPr="00731F8E">
        <w:rPr>
          <w:rFonts w:ascii="Times New Roman" w:hAnsi="Times New Roman"/>
        </w:rPr>
        <w:t>was adopted.</w:t>
      </w:r>
    </w:p>
    <w:p w14:paraId="16809210" w14:textId="77777777" w:rsidR="004C0A79" w:rsidRPr="00731F8E" w:rsidRDefault="004C0A79" w:rsidP="004C0A79">
      <w:pPr>
        <w:pStyle w:val="GvdeMetni"/>
        <w:spacing w:before="39"/>
        <w:rPr>
          <w:rFonts w:cs="Times New Roman"/>
          <w:i/>
          <w:szCs w:val="22"/>
        </w:rPr>
      </w:pPr>
    </w:p>
    <w:p w14:paraId="5D702C47" w14:textId="77777777" w:rsidR="004C0A79" w:rsidRPr="00731F8E" w:rsidRDefault="004C0A79" w:rsidP="00A86526">
      <w:pPr>
        <w:pStyle w:val="ListeParagraf"/>
        <w:widowControl w:val="0"/>
        <w:numPr>
          <w:ilvl w:val="3"/>
          <w:numId w:val="94"/>
        </w:numPr>
        <w:tabs>
          <w:tab w:val="left" w:pos="837"/>
          <w:tab w:val="left" w:pos="839"/>
        </w:tabs>
        <w:autoSpaceDE w:val="0"/>
        <w:autoSpaceDN w:val="0"/>
        <w:spacing w:before="1" w:after="0" w:line="259" w:lineRule="auto"/>
        <w:ind w:left="839" w:right="120"/>
        <w:contextualSpacing w:val="0"/>
        <w:rPr>
          <w:rFonts w:ascii="Times New Roman" w:hAnsi="Times New Roman"/>
        </w:rPr>
      </w:pPr>
      <w:r w:rsidRPr="00731F8E">
        <w:rPr>
          <w:rFonts w:ascii="Times New Roman" w:hAnsi="Times New Roman"/>
        </w:rPr>
        <w:t>Within the framework of the "</w:t>
      </w:r>
      <w:r w:rsidRPr="00731F8E">
        <w:rPr>
          <w:rFonts w:ascii="Times New Roman" w:hAnsi="Times New Roman"/>
          <w:b/>
        </w:rPr>
        <w:t xml:space="preserve">Tariff Calculation Procedures and Principles for Underground Natural Gas Storage Companies" adopted by the Board Decision dated 23.03.2017 and numbered 6990 with the Board Decision dated 24.03.2022 and numbered 10878 published in the Official Gazette dated 26.03.2022 and numbered 31790, it was decided to determine the annual income requirements for </w:t>
      </w:r>
      <w:r w:rsidRPr="00731F8E">
        <w:rPr>
          <w:rFonts w:ascii="Times New Roman" w:hAnsi="Times New Roman"/>
        </w:rPr>
        <w:t>the storage tariffs for the 2022-2023 tariff implementation period of the Silivri Underground Natural Gas Storage Facility (BOTAŞ Silivri Storage Facility) dated 01.09.2016 and numbered DEP/6457-3/402 owned by Petrol Taşıma Anonim Şirketi.</w:t>
      </w:r>
    </w:p>
    <w:p w14:paraId="335F9009" w14:textId="77777777" w:rsidR="004C0A79" w:rsidRPr="00731F8E" w:rsidRDefault="004C0A79" w:rsidP="004C0A79">
      <w:pPr>
        <w:pStyle w:val="GvdeMetni"/>
        <w:spacing w:before="38"/>
        <w:rPr>
          <w:rFonts w:cs="Times New Roman"/>
          <w:i/>
          <w:szCs w:val="22"/>
        </w:rPr>
      </w:pPr>
    </w:p>
    <w:p w14:paraId="742586DA" w14:textId="77777777" w:rsidR="004C0A79" w:rsidRPr="00731F8E" w:rsidRDefault="004C0A79" w:rsidP="00A86526">
      <w:pPr>
        <w:pStyle w:val="ListeParagraf"/>
        <w:widowControl w:val="0"/>
        <w:numPr>
          <w:ilvl w:val="3"/>
          <w:numId w:val="94"/>
        </w:numPr>
        <w:tabs>
          <w:tab w:val="left" w:pos="839"/>
        </w:tabs>
        <w:autoSpaceDE w:val="0"/>
        <w:autoSpaceDN w:val="0"/>
        <w:spacing w:after="0" w:line="259" w:lineRule="auto"/>
        <w:ind w:left="839" w:right="120" w:hanging="360"/>
        <w:contextualSpacing w:val="0"/>
        <w:rPr>
          <w:rFonts w:ascii="Times New Roman" w:hAnsi="Times New Roman"/>
        </w:rPr>
      </w:pPr>
      <w:r w:rsidRPr="00731F8E">
        <w:rPr>
          <w:rFonts w:ascii="Times New Roman" w:hAnsi="Times New Roman"/>
        </w:rPr>
        <w:t>Pipelines within the framework of "</w:t>
      </w:r>
      <w:r w:rsidRPr="00731F8E">
        <w:rPr>
          <w:rFonts w:ascii="Times New Roman" w:hAnsi="Times New Roman"/>
          <w:b/>
        </w:rPr>
        <w:t xml:space="preserve">Tariff Calculation Procedures and Principles for Underground Natural Gas Storage Companies" adopted by the Board Decision dated 24.03.2022 and numbered 10879 published in the Official Gazette dated 26.03.2022 and numbered 31790 and the Board Decision dated 23.03.2017 and numbered 6990. Annual storage tariffs for </w:t>
      </w:r>
      <w:r w:rsidRPr="00731F8E">
        <w:rPr>
          <w:rFonts w:ascii="Times New Roman" w:hAnsi="Times New Roman"/>
        </w:rPr>
        <w:t>the 2022-2023 tariff application period of the Salt Lake Natural Gas Underground Storage Facility (BOTAŞ Salt Lake Storage Facility) owned by Petrol Taşıma Anonim Şirketi, with an underground storage license dated 27.06.2007 and numbered DEP/1238-6/155 A decision has been made to determine income requirements.</w:t>
      </w:r>
    </w:p>
    <w:p w14:paraId="5EB35460" w14:textId="77777777" w:rsidR="004C0A79" w:rsidRPr="00731F8E" w:rsidRDefault="004C0A79" w:rsidP="004C0A79">
      <w:pPr>
        <w:pStyle w:val="GvdeMetni"/>
        <w:spacing w:before="38"/>
        <w:rPr>
          <w:rFonts w:cs="Times New Roman"/>
          <w:i/>
          <w:szCs w:val="22"/>
        </w:rPr>
      </w:pPr>
    </w:p>
    <w:p w14:paraId="20B8D865" w14:textId="77777777" w:rsidR="004C0A79" w:rsidRPr="00731F8E" w:rsidRDefault="004C0A79" w:rsidP="004C0A79">
      <w:pPr>
        <w:pStyle w:val="GvdeMetni"/>
        <w:spacing w:before="39"/>
        <w:ind w:left="851" w:hanging="284"/>
        <w:rPr>
          <w:rFonts w:cs="Times New Roman"/>
          <w:i/>
          <w:szCs w:val="22"/>
        </w:rPr>
      </w:pPr>
      <w:r w:rsidRPr="00731F8E">
        <w:rPr>
          <w:rFonts w:cs="Times New Roman"/>
          <w:i/>
          <w:szCs w:val="22"/>
        </w:rPr>
        <w:t xml:space="preserve">•   </w:t>
      </w:r>
      <w:r w:rsidRPr="00A37998">
        <w:rPr>
          <w:rFonts w:cs="Times New Roman"/>
          <w:sz w:val="22"/>
          <w:szCs w:val="22"/>
        </w:rPr>
        <w:t xml:space="preserve">Within the framework of the </w:t>
      </w:r>
      <w:r w:rsidRPr="00A37998">
        <w:rPr>
          <w:rFonts w:cs="Times New Roman"/>
          <w:b/>
          <w:sz w:val="22"/>
          <w:szCs w:val="22"/>
        </w:rPr>
        <w:t>"Tariff Calculation Procedures and Principles for Underground Natural Gas Storage Companies"</w:t>
      </w:r>
      <w:r w:rsidRPr="00A37998">
        <w:rPr>
          <w:rFonts w:cs="Times New Roman"/>
          <w:sz w:val="22"/>
          <w:szCs w:val="22"/>
        </w:rPr>
        <w:t xml:space="preserve"> adopted by the Board Decision dated 24.03.2022 and numbered 10880 published in the Official Gazette dated 26.03.2022 and numbered 31790 and the Board Decision dated 23/03/2017 and numbered 6990 Salt Lake Natural Gas Underground Storage Facility with underground storage license numbered DEP/1238-6/155 dated 27.06.2007, owned by Petroleum Transportation Inc. </w:t>
      </w:r>
      <w:r w:rsidRPr="00A37998">
        <w:rPr>
          <w:rFonts w:cs="Times New Roman"/>
          <w:sz w:val="22"/>
          <w:szCs w:val="22"/>
        </w:rPr>
        <w:lastRenderedPageBreak/>
        <w:t>with Pipelines, and DEP/6457-3/402 dated 01/09/2016. It has been decided to approve the attached Method Notification regarding the 2022-2023 tariff application period of the Silivri Underground Natural Gas Storage Facility with underground storage license no.</w:t>
      </w:r>
    </w:p>
    <w:p w14:paraId="6E525548" w14:textId="77777777" w:rsidR="004C0A79" w:rsidRPr="00731F8E" w:rsidRDefault="004C0A79" w:rsidP="004C0A79">
      <w:pPr>
        <w:pStyle w:val="GvdeMetni"/>
        <w:spacing w:before="39"/>
        <w:rPr>
          <w:rFonts w:cs="Times New Roman"/>
          <w:i/>
          <w:szCs w:val="22"/>
        </w:rPr>
      </w:pPr>
    </w:p>
    <w:p w14:paraId="679EAD01" w14:textId="77777777" w:rsidR="004C0A79" w:rsidRPr="00731F8E" w:rsidRDefault="004C0A79" w:rsidP="004C0A79">
      <w:pPr>
        <w:pStyle w:val="GvdeMetni"/>
        <w:spacing w:before="39"/>
        <w:ind w:left="851" w:hanging="284"/>
        <w:rPr>
          <w:rFonts w:cs="Times New Roman"/>
          <w:b/>
          <w:i/>
          <w:szCs w:val="22"/>
        </w:rPr>
      </w:pPr>
      <w:r w:rsidRPr="00731F8E">
        <w:rPr>
          <w:rFonts w:cs="Times New Roman"/>
          <w:i/>
          <w:szCs w:val="22"/>
        </w:rPr>
        <w:t xml:space="preserve">•   </w:t>
      </w:r>
      <w:r w:rsidRPr="00A37998">
        <w:rPr>
          <w:rFonts w:cs="Times New Roman"/>
          <w:sz w:val="22"/>
          <w:szCs w:val="22"/>
        </w:rPr>
        <w:t xml:space="preserve">With the Board Decision dated 28.04.2022 and numbered 10950 published in the Official Gazette dated 30.04.2022 and numbered 31825, the following paragraph was added to the 4th article of </w:t>
      </w:r>
      <w:r w:rsidRPr="00A37998">
        <w:rPr>
          <w:rFonts w:cs="Times New Roman"/>
          <w:b/>
          <w:sz w:val="22"/>
          <w:szCs w:val="22"/>
        </w:rPr>
        <w:t>the Procedures and Principles Regarding Natural Gas Storage Obligations.</w:t>
      </w:r>
    </w:p>
    <w:p w14:paraId="4D5FF753" w14:textId="77777777" w:rsidR="004C0A79" w:rsidRPr="00731F8E" w:rsidRDefault="004C0A79" w:rsidP="004C0A79">
      <w:pPr>
        <w:pStyle w:val="GvdeMetni"/>
        <w:spacing w:before="62"/>
        <w:rPr>
          <w:rFonts w:cs="Times New Roman"/>
          <w:i/>
          <w:szCs w:val="22"/>
        </w:rPr>
      </w:pPr>
    </w:p>
    <w:p w14:paraId="759FFD92"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"(4) The Authority shall notify the storage obligation amounts of the legal entities importing natural gas through the pipeline within the scope of the long-term natural gas purchase and sale agreement, which is the storage obligation, to the legal entities holding the storage license by the end of November of each calendar year. In the event that the obligated legal entities have a capacity reservation made on their behalf to receive services in the relevant storage year, they are obliged to notify the amount of capacity reserved in the application they will make to receive services from another facility. "</w:t>
      </w:r>
    </w:p>
    <w:p w14:paraId="15CFC2C0" w14:textId="77777777" w:rsidR="004C0A79" w:rsidRPr="00731F8E" w:rsidRDefault="004C0A79" w:rsidP="004C0A79">
      <w:pPr>
        <w:pStyle w:val="GvdeMetni"/>
        <w:spacing w:before="37"/>
        <w:rPr>
          <w:rFonts w:cs="Times New Roman"/>
          <w:szCs w:val="22"/>
        </w:rPr>
      </w:pPr>
    </w:p>
    <w:p w14:paraId="5E6F0B34" w14:textId="77777777" w:rsidR="004C0A79" w:rsidRPr="00731F8E" w:rsidRDefault="004C0A79" w:rsidP="00A86526">
      <w:pPr>
        <w:pStyle w:val="ListeParagraf"/>
        <w:widowControl w:val="0"/>
        <w:numPr>
          <w:ilvl w:val="4"/>
          <w:numId w:val="94"/>
        </w:numPr>
        <w:tabs>
          <w:tab w:val="left" w:pos="1608"/>
        </w:tabs>
        <w:autoSpaceDE w:val="0"/>
        <w:autoSpaceDN w:val="0"/>
        <w:spacing w:before="1" w:after="0" w:line="240" w:lineRule="auto"/>
        <w:contextualSpacing w:val="0"/>
        <w:jc w:val="left"/>
        <w:rPr>
          <w:rFonts w:ascii="Times New Roman" w:hAnsi="Times New Roman"/>
        </w:rPr>
      </w:pPr>
      <w:r w:rsidRPr="00731F8E">
        <w:rPr>
          <w:rFonts w:ascii="Times New Roman" w:hAnsi="Times New Roman"/>
        </w:rPr>
        <w:t>The following provisional article has been added.</w:t>
      </w:r>
    </w:p>
    <w:p w14:paraId="650DA05B" w14:textId="77777777" w:rsidR="004C0A79" w:rsidRPr="00731F8E" w:rsidRDefault="004C0A79" w:rsidP="004C0A79">
      <w:pPr>
        <w:pStyle w:val="GvdeMetni"/>
        <w:spacing w:before="62"/>
        <w:rPr>
          <w:rFonts w:cs="Times New Roman"/>
          <w:i/>
          <w:szCs w:val="22"/>
        </w:rPr>
      </w:pPr>
    </w:p>
    <w:p w14:paraId="56CDB46D"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Provisional Article-1 To be valid for 30 (thirty) days from the date of entry into force of this article, the reservation priority specified in the first paragraph of Article 3 shall also apply to idle capacity applications. "</w:t>
      </w:r>
    </w:p>
    <w:p w14:paraId="2C8F8C9F" w14:textId="77777777" w:rsidR="004C0A79" w:rsidRPr="00731F8E" w:rsidRDefault="004C0A79" w:rsidP="004C0A79">
      <w:pPr>
        <w:pStyle w:val="GvdeMetni"/>
        <w:spacing w:before="39"/>
        <w:rPr>
          <w:rFonts w:cs="Times New Roman"/>
          <w:szCs w:val="22"/>
        </w:rPr>
      </w:pPr>
    </w:p>
    <w:p w14:paraId="1A126D21" w14:textId="77777777" w:rsidR="004C0A79" w:rsidRPr="00731F8E" w:rsidRDefault="004C0A79" w:rsidP="00A86526">
      <w:pPr>
        <w:pStyle w:val="ListeParagraf"/>
        <w:widowControl w:val="0"/>
        <w:numPr>
          <w:ilvl w:val="3"/>
          <w:numId w:val="94"/>
        </w:numPr>
        <w:tabs>
          <w:tab w:val="left" w:pos="835"/>
          <w:tab w:val="left" w:pos="837"/>
        </w:tabs>
        <w:autoSpaceDE w:val="0"/>
        <w:autoSpaceDN w:val="0"/>
        <w:spacing w:after="0" w:line="259" w:lineRule="auto"/>
        <w:ind w:left="837" w:right="121"/>
        <w:contextualSpacing w:val="0"/>
        <w:rPr>
          <w:rFonts w:ascii="Times New Roman" w:hAnsi="Times New Roman"/>
        </w:rPr>
      </w:pPr>
      <w:r w:rsidRPr="00731F8E">
        <w:rPr>
          <w:rFonts w:ascii="Times New Roman" w:hAnsi="Times New Roman"/>
        </w:rPr>
        <w:t xml:space="preserve">With the Board Decision dated 28.04.2022 and numbered 10957 published in the Official Gazette dated 30.04.2022 and numbered 31825, the following provisional article has been added to the </w:t>
      </w:r>
      <w:r w:rsidRPr="00731F8E">
        <w:rPr>
          <w:rFonts w:ascii="Times New Roman" w:hAnsi="Times New Roman"/>
          <w:b/>
        </w:rPr>
        <w:t xml:space="preserve">Procedures and Principles regarding Natural Gas Market Distribution Activity Investments </w:t>
      </w:r>
      <w:r w:rsidRPr="00731F8E">
        <w:rPr>
          <w:rFonts w:ascii="Times New Roman" w:hAnsi="Times New Roman"/>
        </w:rPr>
        <w:t>after Article 17.</w:t>
      </w:r>
    </w:p>
    <w:p w14:paraId="4FF15BC3" w14:textId="77777777" w:rsidR="004C0A79" w:rsidRPr="00731F8E" w:rsidRDefault="004C0A79" w:rsidP="004C0A79">
      <w:pPr>
        <w:pStyle w:val="GvdeMetni"/>
        <w:spacing w:before="39"/>
        <w:rPr>
          <w:rFonts w:cs="Times New Roman"/>
          <w:i/>
          <w:szCs w:val="22"/>
        </w:rPr>
      </w:pPr>
    </w:p>
    <w:p w14:paraId="795A1A55" w14:textId="77777777" w:rsidR="004C0A79" w:rsidRPr="00731F8E" w:rsidRDefault="004C0A79" w:rsidP="004C0A79">
      <w:pPr>
        <w:pStyle w:val="GvdeMetni"/>
        <w:ind w:left="1608"/>
        <w:rPr>
          <w:rFonts w:cs="Times New Roman"/>
          <w:szCs w:val="22"/>
        </w:rPr>
      </w:pPr>
      <w:r w:rsidRPr="00731F8E">
        <w:rPr>
          <w:rFonts w:cs="Times New Roman"/>
          <w:szCs w:val="22"/>
        </w:rPr>
        <w:t>"Periodically inspected meters</w:t>
      </w:r>
    </w:p>
    <w:p w14:paraId="10B12E8F" w14:textId="77777777" w:rsidR="004C0A79" w:rsidRPr="00731F8E" w:rsidRDefault="004C0A79" w:rsidP="004C0A79">
      <w:pPr>
        <w:pStyle w:val="GvdeMetni"/>
        <w:spacing w:before="41" w:line="276" w:lineRule="auto"/>
        <w:ind w:left="1608" w:right="120"/>
        <w:rPr>
          <w:rFonts w:cs="Times New Roman"/>
          <w:szCs w:val="22"/>
        </w:rPr>
      </w:pPr>
      <w:r w:rsidRPr="00731F8E">
        <w:rPr>
          <w:rFonts w:cs="Times New Roman"/>
          <w:szCs w:val="22"/>
        </w:rPr>
        <w:t>Provisional Article 1 - (1) In the event that the meters whose last periodic inspection was carried out before 1/1/2017 and at least 10 years have passed since the said periodic inspection are scrapped, the costs of the new meters subject to the change shall be considered as network investment expenditure.</w:t>
      </w:r>
    </w:p>
    <w:p w14:paraId="7853EB34" w14:textId="77777777" w:rsidR="004C0A79" w:rsidRPr="00731F8E" w:rsidRDefault="004C0A79" w:rsidP="004C0A79">
      <w:pPr>
        <w:pStyle w:val="GvdeMetni"/>
        <w:spacing w:before="39"/>
        <w:rPr>
          <w:rFonts w:cs="Times New Roman"/>
          <w:szCs w:val="22"/>
        </w:rPr>
      </w:pPr>
    </w:p>
    <w:p w14:paraId="46732021" w14:textId="77777777" w:rsidR="004C0A79" w:rsidRPr="00731F8E" w:rsidRDefault="004C0A79" w:rsidP="00A86526">
      <w:pPr>
        <w:pStyle w:val="ListeParagraf"/>
        <w:widowControl w:val="0"/>
        <w:numPr>
          <w:ilvl w:val="3"/>
          <w:numId w:val="94"/>
        </w:numPr>
        <w:tabs>
          <w:tab w:val="left" w:pos="836"/>
          <w:tab w:val="left" w:pos="838"/>
        </w:tabs>
        <w:autoSpaceDE w:val="0"/>
        <w:autoSpaceDN w:val="0"/>
        <w:spacing w:after="0" w:line="259" w:lineRule="auto"/>
        <w:ind w:right="120"/>
        <w:contextualSpacing w:val="0"/>
        <w:rPr>
          <w:rFonts w:ascii="Times New Roman" w:hAnsi="Times New Roman"/>
        </w:rPr>
      </w:pPr>
      <w:r w:rsidRPr="00731F8E">
        <w:rPr>
          <w:rFonts w:ascii="Times New Roman" w:hAnsi="Times New Roman"/>
        </w:rPr>
        <w:t xml:space="preserve">Within the scope of the </w:t>
      </w:r>
      <w:r w:rsidRPr="00731F8E">
        <w:rPr>
          <w:rFonts w:ascii="Times New Roman" w:hAnsi="Times New Roman"/>
          <w:b/>
        </w:rPr>
        <w:t xml:space="preserve">Procedures and Principles for Determining the Spot Pipe Gas Import Amount and Application Method published in the Official Gazette dated 19.09.2019 and </w:t>
      </w:r>
      <w:r w:rsidRPr="00731F8E">
        <w:rPr>
          <w:rFonts w:ascii="Times New Roman" w:hAnsi="Times New Roman"/>
        </w:rPr>
        <w:t>numbered 30893, the Board Decision dated 09.06.2022 and numbered 11010-5 was taken on issues such as the conversion of guarantees into cash, the obligation to provide storage inventory, the obligation to sell on the continuous trade platform and the use of spot capacity to be applied in the Third Quarter (Ç3) and July (A7) 2022/7 Demand Call text and the Demand Call texts to be announced afterwards.</w:t>
      </w:r>
    </w:p>
    <w:p w14:paraId="49A45DBE" w14:textId="77777777" w:rsidR="004C0A79" w:rsidRPr="00731F8E" w:rsidRDefault="004C0A79" w:rsidP="004C0A79">
      <w:pPr>
        <w:pStyle w:val="GvdeMetni"/>
        <w:spacing w:before="22"/>
        <w:rPr>
          <w:rFonts w:cs="Times New Roman"/>
          <w:i/>
          <w:szCs w:val="22"/>
        </w:rPr>
      </w:pPr>
    </w:p>
    <w:p w14:paraId="41AD0E00" w14:textId="77777777" w:rsidR="004C0A79" w:rsidRPr="00731F8E" w:rsidRDefault="004C0A79" w:rsidP="00A86526">
      <w:pPr>
        <w:pStyle w:val="ListeParagraf"/>
        <w:widowControl w:val="0"/>
        <w:numPr>
          <w:ilvl w:val="3"/>
          <w:numId w:val="94"/>
        </w:numPr>
        <w:tabs>
          <w:tab w:val="left" w:pos="836"/>
          <w:tab w:val="left" w:pos="838"/>
        </w:tabs>
        <w:autoSpaceDE w:val="0"/>
        <w:autoSpaceDN w:val="0"/>
        <w:spacing w:after="0" w:line="259" w:lineRule="auto"/>
        <w:ind w:right="119"/>
        <w:contextualSpacing w:val="0"/>
        <w:rPr>
          <w:rFonts w:ascii="Times New Roman" w:hAnsi="Times New Roman"/>
        </w:rPr>
      </w:pPr>
      <w:r w:rsidRPr="00731F8E">
        <w:rPr>
          <w:rFonts w:ascii="Times New Roman" w:hAnsi="Times New Roman"/>
        </w:rPr>
        <w:t>In accordance with the Board Decision dated 23.06.2022 and numbered 11038 published in the Official Gazette dated 29.06.2022 and numbered 31881 and the Tariff Calculation Procedures and Principles (Methodology) for Natural Gas Distribution Companies, the following decision has been taken to determine the operating expense component in the tariff calculations of natural gas distribution companies for the third tariff application period.</w:t>
      </w:r>
    </w:p>
    <w:p w14:paraId="4D547967" w14:textId="77777777" w:rsidR="004C0A79" w:rsidRPr="00731F8E" w:rsidRDefault="004C0A79" w:rsidP="004C0A79">
      <w:pPr>
        <w:pStyle w:val="GvdeMetni"/>
        <w:spacing w:line="276" w:lineRule="auto"/>
        <w:ind w:left="1608" w:right="120"/>
        <w:rPr>
          <w:rFonts w:cs="Times New Roman"/>
          <w:szCs w:val="22"/>
        </w:rPr>
      </w:pPr>
    </w:p>
    <w:p w14:paraId="3CC255DC" w14:textId="77777777" w:rsidR="004C0A79" w:rsidRPr="00731F8E" w:rsidRDefault="004C0A79" w:rsidP="004C0A79">
      <w:pPr>
        <w:pStyle w:val="GvdeMetni"/>
        <w:spacing w:line="276" w:lineRule="auto"/>
        <w:ind w:left="1608" w:right="120"/>
        <w:rPr>
          <w:rFonts w:cs="Times New Roman"/>
          <w:szCs w:val="22"/>
        </w:rPr>
      </w:pPr>
    </w:p>
    <w:p w14:paraId="0664B2EA"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ARTICLE 1- (1) In the calculation of the operating expense component, the operating expenses of the distribution companies in 2019, 2020 and 2021 (base period) are taken as basis.</w:t>
      </w:r>
    </w:p>
    <w:p w14:paraId="60307440" w14:textId="77777777" w:rsidR="004C0A79" w:rsidRPr="00731F8E" w:rsidRDefault="004C0A79" w:rsidP="004C0A79">
      <w:pPr>
        <w:pStyle w:val="GvdeMetni"/>
        <w:spacing w:line="276" w:lineRule="auto"/>
        <w:ind w:left="1608" w:right="120"/>
        <w:rPr>
          <w:rFonts w:cs="Times New Roman"/>
          <w:szCs w:val="22"/>
        </w:rPr>
      </w:pPr>
    </w:p>
    <w:p w14:paraId="3DE8B2C3"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(2) In the calculation of the operating expense component of the companies whose system usage fee application period specified in the tender specification will expire within the third tariff application period, the last three-year period, including the year when the system usage fee application period specified in the tender specification of the relevant distribution company expires, shall be considered as the base period.</w:t>
      </w:r>
    </w:p>
    <w:p w14:paraId="231EB1D1" w14:textId="77777777" w:rsidR="004C0A79" w:rsidRPr="00731F8E" w:rsidRDefault="004C0A79" w:rsidP="004C0A79">
      <w:pPr>
        <w:pStyle w:val="GvdeMetni"/>
        <w:spacing w:before="39"/>
        <w:rPr>
          <w:rFonts w:cs="Times New Roman"/>
          <w:szCs w:val="22"/>
        </w:rPr>
      </w:pPr>
    </w:p>
    <w:p w14:paraId="6B9863A2"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 xml:space="preserve">ARTICLE 2- (1) The updating process within the scope of the business expense component calculations is carried out by taking into account the consumer price index, which is the basis for the amounts included in the </w:t>
      </w:r>
      <w:r w:rsidRPr="00731F8E">
        <w:rPr>
          <w:rFonts w:cs="Times New Roman"/>
          <w:szCs w:val="22"/>
        </w:rPr>
        <w:lastRenderedPageBreak/>
        <w:t>income requirement calculations for the third tariff application period, and the consumer price index announced for June of the relevant year.</w:t>
      </w:r>
    </w:p>
    <w:p w14:paraId="50332D58" w14:textId="77777777" w:rsidR="004C0A79" w:rsidRPr="00731F8E" w:rsidRDefault="004C0A79" w:rsidP="004C0A79">
      <w:pPr>
        <w:pStyle w:val="GvdeMetni"/>
        <w:spacing w:before="41"/>
        <w:rPr>
          <w:rFonts w:cs="Times New Roman"/>
          <w:szCs w:val="22"/>
        </w:rPr>
      </w:pPr>
    </w:p>
    <w:p w14:paraId="565F6D99" w14:textId="77777777" w:rsidR="004C0A79" w:rsidRPr="00731F8E" w:rsidRDefault="004C0A79" w:rsidP="004C0A79">
      <w:pPr>
        <w:pStyle w:val="GvdeMetni"/>
        <w:spacing w:line="273" w:lineRule="auto"/>
        <w:ind w:left="1608" w:right="121"/>
        <w:rPr>
          <w:rFonts w:cs="Times New Roman"/>
          <w:szCs w:val="22"/>
        </w:rPr>
      </w:pPr>
      <w:r w:rsidRPr="00731F8E">
        <w:rPr>
          <w:rFonts w:cs="Times New Roman"/>
          <w:szCs w:val="22"/>
        </w:rPr>
        <w:t>(2) The updating process for technology expenses and vehicle rental expenses is carried out by taking into account the rate of change in the exchange rates in the relevant period.</w:t>
      </w:r>
    </w:p>
    <w:p w14:paraId="25FC5E40" w14:textId="77777777" w:rsidR="004C0A79" w:rsidRPr="00731F8E" w:rsidRDefault="004C0A79" w:rsidP="004C0A79">
      <w:pPr>
        <w:pStyle w:val="GvdeMetni"/>
        <w:spacing w:before="45"/>
        <w:rPr>
          <w:rFonts w:cs="Times New Roman"/>
          <w:szCs w:val="22"/>
        </w:rPr>
      </w:pPr>
    </w:p>
    <w:p w14:paraId="5DB884A8"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ARTICLE 3- (1) Personnel expenses included in the base operating expenses consisting of the sum of fixed and variable operating expense components and personnel expenses from the expenses accrued for external benefits and services shall be subject to redistribution by taking into account the sector-based proportionality of the said expenses.</w:t>
      </w:r>
    </w:p>
    <w:p w14:paraId="0AC5FED8" w14:textId="77777777" w:rsidR="004C0A79" w:rsidRPr="00731F8E" w:rsidRDefault="004C0A79" w:rsidP="004C0A79">
      <w:pPr>
        <w:pStyle w:val="GvdeMetni"/>
        <w:spacing w:before="39"/>
        <w:rPr>
          <w:rFonts w:cs="Times New Roman"/>
          <w:szCs w:val="22"/>
        </w:rPr>
      </w:pPr>
    </w:p>
    <w:p w14:paraId="68CE67D4" w14:textId="77777777" w:rsidR="004C0A79" w:rsidRPr="00731F8E" w:rsidRDefault="004C0A79" w:rsidP="00A86526">
      <w:pPr>
        <w:pStyle w:val="P68B1DB1-ListParagraph3"/>
        <w:numPr>
          <w:ilvl w:val="0"/>
          <w:numId w:val="93"/>
        </w:numPr>
        <w:tabs>
          <w:tab w:val="left" w:pos="1998"/>
        </w:tabs>
        <w:spacing w:line="276" w:lineRule="auto"/>
        <w:ind w:right="119" w:firstLine="0"/>
        <w:rPr>
          <w:rFonts w:ascii="Times New Roman" w:hAnsi="Times New Roman" w:cs="Times New Roman"/>
          <w:szCs w:val="22"/>
        </w:rPr>
      </w:pPr>
      <w:r w:rsidRPr="00731F8E">
        <w:rPr>
          <w:rFonts w:ascii="Times New Roman" w:hAnsi="Times New Roman" w:cs="Times New Roman"/>
          <w:szCs w:val="22"/>
        </w:rPr>
        <w:t>If the minimum wage increase in the base period is higher than the increase in the consumer price index in the base period, the labor cost increase effect for each distribution company is calculated by taking into account the average number of personnel of the distribution company and the minimum wage support provided to employers. The effect obtained as a result of the calculation is reflected in the base operating expense items with personnel expense character.</w:t>
      </w:r>
    </w:p>
    <w:p w14:paraId="5172152B" w14:textId="77777777" w:rsidR="004C0A79" w:rsidRPr="00731F8E" w:rsidRDefault="004C0A79" w:rsidP="004C0A79">
      <w:pPr>
        <w:pStyle w:val="GvdeMetni"/>
        <w:spacing w:before="40"/>
        <w:rPr>
          <w:rFonts w:cs="Times New Roman"/>
          <w:szCs w:val="22"/>
        </w:rPr>
      </w:pPr>
    </w:p>
    <w:p w14:paraId="20A2F4B4" w14:textId="77777777" w:rsidR="004C0A79" w:rsidRPr="00731F8E" w:rsidRDefault="004C0A79" w:rsidP="00A86526">
      <w:pPr>
        <w:pStyle w:val="P68B1DB1-ListParagraph3"/>
        <w:numPr>
          <w:ilvl w:val="0"/>
          <w:numId w:val="93"/>
        </w:numPr>
        <w:tabs>
          <w:tab w:val="left" w:pos="1925"/>
        </w:tabs>
        <w:spacing w:line="276" w:lineRule="auto"/>
        <w:ind w:right="122" w:firstLine="0"/>
        <w:rPr>
          <w:rFonts w:ascii="Times New Roman" w:hAnsi="Times New Roman" w:cs="Times New Roman"/>
          <w:szCs w:val="22"/>
        </w:rPr>
      </w:pPr>
      <w:r w:rsidRPr="00731F8E">
        <w:rPr>
          <w:rFonts w:ascii="Times New Roman" w:hAnsi="Times New Roman" w:cs="Times New Roman"/>
          <w:szCs w:val="22"/>
        </w:rPr>
        <w:t>Base operating expenses obtained as a result of the calculations in the first and second paragraphs are subjected to comparison on a cluster, comparison unit and year basis.</w:t>
      </w:r>
    </w:p>
    <w:p w14:paraId="26926E51" w14:textId="77777777" w:rsidR="004C0A79" w:rsidRPr="00731F8E" w:rsidRDefault="004C0A79" w:rsidP="004C0A79">
      <w:pPr>
        <w:pStyle w:val="GvdeMetni"/>
        <w:spacing w:before="40"/>
        <w:rPr>
          <w:rFonts w:cs="Times New Roman"/>
          <w:szCs w:val="22"/>
        </w:rPr>
      </w:pPr>
    </w:p>
    <w:p w14:paraId="5A9ED37E" w14:textId="77777777" w:rsidR="004C0A79" w:rsidRPr="00731F8E" w:rsidRDefault="004C0A79" w:rsidP="00A86526">
      <w:pPr>
        <w:pStyle w:val="P68B1DB1-ListParagraph3"/>
        <w:numPr>
          <w:ilvl w:val="0"/>
          <w:numId w:val="93"/>
        </w:numPr>
        <w:tabs>
          <w:tab w:val="left" w:pos="1901"/>
        </w:tabs>
        <w:ind w:left="1901" w:hanging="293"/>
        <w:rPr>
          <w:rFonts w:ascii="Times New Roman" w:hAnsi="Times New Roman" w:cs="Times New Roman"/>
          <w:szCs w:val="22"/>
        </w:rPr>
      </w:pPr>
      <w:r w:rsidRPr="00731F8E">
        <w:rPr>
          <w:rFonts w:ascii="Times New Roman" w:hAnsi="Times New Roman" w:cs="Times New Roman"/>
          <w:szCs w:val="22"/>
        </w:rPr>
        <w:t>Cluster analysis is carried out within the framework of the following principles..</w:t>
      </w:r>
    </w:p>
    <w:p w14:paraId="1A248036" w14:textId="77777777" w:rsidR="004C0A79" w:rsidRPr="00731F8E" w:rsidRDefault="004C0A79" w:rsidP="004C0A79">
      <w:pPr>
        <w:pStyle w:val="GvdeMetni"/>
        <w:spacing w:before="82"/>
        <w:rPr>
          <w:rFonts w:cs="Times New Roman"/>
          <w:szCs w:val="22"/>
        </w:rPr>
      </w:pPr>
    </w:p>
    <w:p w14:paraId="05575FA1" w14:textId="77777777" w:rsidR="004C0A79" w:rsidRPr="00731F8E" w:rsidRDefault="004C0A79" w:rsidP="00A86526">
      <w:pPr>
        <w:pStyle w:val="P68B1DB1-ListParagraph3"/>
        <w:numPr>
          <w:ilvl w:val="1"/>
          <w:numId w:val="93"/>
        </w:numPr>
        <w:tabs>
          <w:tab w:val="left" w:pos="1859"/>
        </w:tabs>
        <w:spacing w:line="273" w:lineRule="auto"/>
        <w:ind w:right="121" w:firstLine="0"/>
        <w:rPr>
          <w:rFonts w:ascii="Times New Roman" w:hAnsi="Times New Roman" w:cs="Times New Roman"/>
          <w:szCs w:val="22"/>
        </w:rPr>
      </w:pPr>
      <w:r w:rsidRPr="00731F8E">
        <w:rPr>
          <w:rFonts w:ascii="Times New Roman" w:hAnsi="Times New Roman" w:cs="Times New Roman"/>
          <w:szCs w:val="22"/>
        </w:rPr>
        <w:t>In clustering analysis, the number of customers served by the distribution companies, the length of the pipeline built, the number of existing stations and the number of districts served are used.</w:t>
      </w:r>
    </w:p>
    <w:p w14:paraId="03FC45F6" w14:textId="77777777" w:rsidR="004C0A79" w:rsidRPr="00731F8E" w:rsidRDefault="004C0A79" w:rsidP="004C0A79">
      <w:pPr>
        <w:pStyle w:val="GvdeMetni"/>
        <w:spacing w:before="45"/>
        <w:rPr>
          <w:rFonts w:cs="Times New Roman"/>
          <w:szCs w:val="22"/>
        </w:rPr>
      </w:pPr>
    </w:p>
    <w:p w14:paraId="001490C3" w14:textId="77777777" w:rsidR="004C0A79" w:rsidRPr="00731F8E" w:rsidRDefault="004C0A79" w:rsidP="00A86526">
      <w:pPr>
        <w:pStyle w:val="P68B1DB1-ListParagraph3"/>
        <w:numPr>
          <w:ilvl w:val="1"/>
          <w:numId w:val="93"/>
        </w:numPr>
        <w:tabs>
          <w:tab w:val="left" w:pos="1837"/>
        </w:tabs>
        <w:ind w:left="1837" w:hanging="229"/>
        <w:rPr>
          <w:rFonts w:ascii="Times New Roman" w:hAnsi="Times New Roman" w:cs="Times New Roman"/>
          <w:szCs w:val="22"/>
        </w:rPr>
      </w:pPr>
      <w:r w:rsidRPr="00731F8E">
        <w:rPr>
          <w:rFonts w:ascii="Times New Roman" w:hAnsi="Times New Roman" w:cs="Times New Roman"/>
          <w:szCs w:val="22"/>
        </w:rPr>
        <w:t>Cluster analysis is performed using non-stage analysis methods.</w:t>
      </w:r>
    </w:p>
    <w:p w14:paraId="30024AA1" w14:textId="77777777" w:rsidR="004C0A79" w:rsidRPr="00731F8E" w:rsidRDefault="004C0A79" w:rsidP="004C0A79">
      <w:pPr>
        <w:pStyle w:val="GvdeMetni"/>
        <w:spacing w:before="80"/>
        <w:rPr>
          <w:rFonts w:cs="Times New Roman"/>
          <w:szCs w:val="22"/>
        </w:rPr>
      </w:pPr>
    </w:p>
    <w:p w14:paraId="62F5C865" w14:textId="77777777" w:rsidR="004C0A79" w:rsidRPr="00731F8E" w:rsidRDefault="004C0A79" w:rsidP="00A86526">
      <w:pPr>
        <w:pStyle w:val="P68B1DB1-ListParagraph3"/>
        <w:numPr>
          <w:ilvl w:val="1"/>
          <w:numId w:val="93"/>
        </w:numPr>
        <w:tabs>
          <w:tab w:val="left" w:pos="1835"/>
        </w:tabs>
        <w:spacing w:line="276" w:lineRule="auto"/>
        <w:ind w:right="124" w:firstLine="0"/>
        <w:rPr>
          <w:rFonts w:ascii="Times New Roman" w:hAnsi="Times New Roman" w:cs="Times New Roman"/>
          <w:szCs w:val="22"/>
        </w:rPr>
      </w:pPr>
      <w:r w:rsidRPr="00731F8E">
        <w:rPr>
          <w:rFonts w:ascii="Times New Roman" w:hAnsi="Times New Roman" w:cs="Times New Roman"/>
          <w:szCs w:val="22"/>
        </w:rPr>
        <w:t>The clusters obtained as a result of cluster analysis are formed to include a number of distribution companies that will produce meaningful statistics.</w:t>
      </w:r>
    </w:p>
    <w:p w14:paraId="0A15C43B" w14:textId="77777777" w:rsidR="004C0A79" w:rsidRPr="00731F8E" w:rsidRDefault="004C0A79" w:rsidP="004C0A79">
      <w:pPr>
        <w:pStyle w:val="GvdeMetni"/>
        <w:spacing w:before="40"/>
        <w:rPr>
          <w:rFonts w:cs="Times New Roman"/>
          <w:szCs w:val="22"/>
        </w:rPr>
      </w:pPr>
    </w:p>
    <w:p w14:paraId="0015B061" w14:textId="77777777" w:rsidR="004C0A79" w:rsidRPr="00731F8E" w:rsidRDefault="004C0A79" w:rsidP="00A86526">
      <w:pPr>
        <w:pStyle w:val="P68B1DB1-ListParagraph3"/>
        <w:numPr>
          <w:ilvl w:val="0"/>
          <w:numId w:val="93"/>
        </w:numPr>
        <w:tabs>
          <w:tab w:val="left" w:pos="1908"/>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Benchmarking units are obtained by grouping the expenses that are related to each other, accepted to vary according to the same physical variables and/or recognized under the same accounts.</w:t>
      </w:r>
    </w:p>
    <w:p w14:paraId="5B1C1B67" w14:textId="77777777" w:rsidR="004C0A79" w:rsidRPr="00731F8E" w:rsidRDefault="004C0A79" w:rsidP="004C0A79">
      <w:pPr>
        <w:pStyle w:val="GvdeMetni"/>
        <w:spacing w:before="40"/>
        <w:rPr>
          <w:rFonts w:cs="Times New Roman"/>
          <w:szCs w:val="22"/>
        </w:rPr>
      </w:pPr>
    </w:p>
    <w:p w14:paraId="60543807" w14:textId="77777777" w:rsidR="004C0A79" w:rsidRPr="00731F8E" w:rsidRDefault="004C0A79" w:rsidP="00A86526">
      <w:pPr>
        <w:pStyle w:val="P68B1DB1-ListParagraph3"/>
        <w:numPr>
          <w:ilvl w:val="0"/>
          <w:numId w:val="93"/>
        </w:numPr>
        <w:tabs>
          <w:tab w:val="left" w:pos="1911"/>
        </w:tabs>
        <w:spacing w:before="1" w:line="273" w:lineRule="auto"/>
        <w:ind w:right="121" w:firstLine="0"/>
        <w:rPr>
          <w:rFonts w:ascii="Times New Roman" w:hAnsi="Times New Roman" w:cs="Times New Roman"/>
          <w:szCs w:val="22"/>
        </w:rPr>
      </w:pPr>
      <w:r w:rsidRPr="00731F8E">
        <w:rPr>
          <w:rFonts w:ascii="Times New Roman" w:hAnsi="Times New Roman" w:cs="Times New Roman"/>
          <w:szCs w:val="22"/>
        </w:rPr>
        <w:t>Comparison units are compared using one or more of the physical variables of the number of customers, the number of stations, the length of the pipeline and the number of districts.</w:t>
      </w:r>
    </w:p>
    <w:p w14:paraId="19F64474" w14:textId="77777777" w:rsidR="004C0A79" w:rsidRPr="00731F8E" w:rsidRDefault="004C0A79" w:rsidP="00A86526">
      <w:pPr>
        <w:pStyle w:val="P68B1DB1-ListParagraph3"/>
        <w:numPr>
          <w:ilvl w:val="0"/>
          <w:numId w:val="93"/>
        </w:numPr>
        <w:tabs>
          <w:tab w:val="left" w:pos="1952"/>
        </w:tabs>
        <w:spacing w:before="39" w:line="276" w:lineRule="auto"/>
        <w:ind w:right="121" w:firstLine="0"/>
        <w:rPr>
          <w:rFonts w:ascii="Times New Roman" w:hAnsi="Times New Roman" w:cs="Times New Roman"/>
          <w:szCs w:val="22"/>
        </w:rPr>
      </w:pPr>
      <w:r w:rsidRPr="00731F8E">
        <w:rPr>
          <w:rFonts w:ascii="Times New Roman" w:hAnsi="Times New Roman" w:cs="Times New Roman"/>
          <w:szCs w:val="22"/>
        </w:rPr>
        <w:t>The comparison process is carried out by dividing the comparison units by the associated physical variables. By applying statistical methods to these values, unit values representing each cluster are obtained on the basis of comparison unit and year.</w:t>
      </w:r>
    </w:p>
    <w:p w14:paraId="17ACDCCD" w14:textId="77777777" w:rsidR="004C0A79" w:rsidRPr="00731F8E" w:rsidRDefault="004C0A79" w:rsidP="004C0A79">
      <w:pPr>
        <w:pStyle w:val="GvdeMetni"/>
        <w:spacing w:before="41"/>
        <w:rPr>
          <w:rFonts w:cs="Times New Roman"/>
          <w:szCs w:val="22"/>
        </w:rPr>
      </w:pPr>
    </w:p>
    <w:p w14:paraId="5D9F62F6" w14:textId="77777777" w:rsidR="004C0A79" w:rsidRPr="00731F8E" w:rsidRDefault="004C0A79" w:rsidP="00A86526">
      <w:pPr>
        <w:pStyle w:val="P68B1DB1-ListParagraph3"/>
        <w:numPr>
          <w:ilvl w:val="0"/>
          <w:numId w:val="93"/>
        </w:numPr>
        <w:tabs>
          <w:tab w:val="left" w:pos="1937"/>
        </w:tabs>
        <w:spacing w:line="273" w:lineRule="auto"/>
        <w:ind w:right="121" w:firstLine="0"/>
        <w:rPr>
          <w:rFonts w:ascii="Times New Roman" w:hAnsi="Times New Roman" w:cs="Times New Roman"/>
          <w:szCs w:val="22"/>
        </w:rPr>
      </w:pPr>
      <w:r w:rsidRPr="00731F8E">
        <w:rPr>
          <w:rFonts w:ascii="Times New Roman" w:hAnsi="Times New Roman" w:cs="Times New Roman"/>
          <w:szCs w:val="22"/>
        </w:rPr>
        <w:t>The unit values calculated on a company basis are approximated to the unit values representing the relevant set by 20%.</w:t>
      </w:r>
    </w:p>
    <w:p w14:paraId="46A463F0" w14:textId="77777777" w:rsidR="004C0A79" w:rsidRPr="00731F8E" w:rsidRDefault="004C0A79" w:rsidP="004C0A79">
      <w:pPr>
        <w:pStyle w:val="GvdeMetni"/>
        <w:spacing w:before="45"/>
        <w:rPr>
          <w:rFonts w:cs="Times New Roman"/>
          <w:szCs w:val="22"/>
        </w:rPr>
      </w:pPr>
    </w:p>
    <w:p w14:paraId="2B9ACF99" w14:textId="77777777" w:rsidR="004C0A79" w:rsidRPr="00731F8E" w:rsidRDefault="004C0A79" w:rsidP="00A86526">
      <w:pPr>
        <w:pStyle w:val="P68B1DB1-ListParagraph3"/>
        <w:numPr>
          <w:ilvl w:val="0"/>
          <w:numId w:val="93"/>
        </w:numPr>
        <w:tabs>
          <w:tab w:val="left" w:pos="1911"/>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The rate of change to be taken as a basis for the relevant distribution company is calculated by comparing the new unit values obtained as a result of the approximation process and the unit values before the approximation process. In determining the need for change based on the comparison units related to more than one physical variable, the weight ratio is 34.12% for the pipeline length, 1.74% for the number of stations, 62.45% for the number of customers and 1.69% for the number of districts.</w:t>
      </w:r>
    </w:p>
    <w:p w14:paraId="6D1AD927" w14:textId="77777777" w:rsidR="004C0A79" w:rsidRPr="00731F8E" w:rsidRDefault="004C0A79" w:rsidP="004C0A79">
      <w:pPr>
        <w:pStyle w:val="GvdeMetni"/>
        <w:spacing w:before="40"/>
        <w:rPr>
          <w:rFonts w:cs="Times New Roman"/>
          <w:szCs w:val="22"/>
        </w:rPr>
      </w:pPr>
    </w:p>
    <w:p w14:paraId="3A098C54" w14:textId="77777777" w:rsidR="004C0A79" w:rsidRPr="00731F8E" w:rsidRDefault="004C0A79" w:rsidP="00A86526">
      <w:pPr>
        <w:pStyle w:val="P68B1DB1-ListParagraph3"/>
        <w:numPr>
          <w:ilvl w:val="0"/>
          <w:numId w:val="93"/>
        </w:numPr>
        <w:tabs>
          <w:tab w:val="left" w:pos="2015"/>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The change rates obtained as a result of the calculations made within the scope of the ninth paragraph and the expenses of the relevant comparison units of the distribution company are taken into account and the operating expenses after the comparison are reached.</w:t>
      </w:r>
    </w:p>
    <w:p w14:paraId="1B59405E" w14:textId="77777777" w:rsidR="004C0A79" w:rsidRPr="00731F8E" w:rsidRDefault="004C0A79" w:rsidP="004C0A79">
      <w:pPr>
        <w:pStyle w:val="GvdeMetni"/>
        <w:spacing w:before="38"/>
        <w:rPr>
          <w:rFonts w:cs="Times New Roman"/>
          <w:szCs w:val="22"/>
        </w:rPr>
      </w:pPr>
    </w:p>
    <w:p w14:paraId="4A07256C" w14:textId="77777777" w:rsidR="004C0A79" w:rsidRPr="00731F8E" w:rsidRDefault="004C0A79" w:rsidP="004C0A79">
      <w:pPr>
        <w:pStyle w:val="GvdeMetni"/>
        <w:spacing w:line="276" w:lineRule="auto"/>
        <w:ind w:left="1608" w:right="122"/>
        <w:rPr>
          <w:rFonts w:cs="Times New Roman"/>
          <w:szCs w:val="22"/>
        </w:rPr>
      </w:pPr>
      <w:r w:rsidRPr="00731F8E">
        <w:rPr>
          <w:rFonts w:cs="Times New Roman"/>
          <w:szCs w:val="22"/>
        </w:rPr>
        <w:t>ARTICLE 4- (1) For distribution companies that have added a city to the existing distribution region in the base period, the process of bringing an equal base for those that do not reflect the additional city effect from the base period years is applied. In the said transaction, the amount corresponding to the fixed effect rate specified in the first paragraph of Article 5 shall be taken into account.</w:t>
      </w:r>
    </w:p>
    <w:p w14:paraId="0F3380D2" w14:textId="77777777" w:rsidR="004C0A79" w:rsidRPr="00731F8E" w:rsidRDefault="004C0A79" w:rsidP="004C0A79">
      <w:pPr>
        <w:pStyle w:val="GvdeMetni"/>
        <w:spacing w:before="42"/>
        <w:rPr>
          <w:rFonts w:cs="Times New Roman"/>
          <w:szCs w:val="22"/>
        </w:rPr>
      </w:pPr>
    </w:p>
    <w:p w14:paraId="45E1B0EF" w14:textId="77777777" w:rsidR="004C0A79" w:rsidRPr="00731F8E" w:rsidRDefault="004C0A79" w:rsidP="004C0A79">
      <w:pPr>
        <w:pStyle w:val="GvdeMetni"/>
        <w:spacing w:line="276" w:lineRule="auto"/>
        <w:ind w:left="1608" w:right="119"/>
        <w:rPr>
          <w:rFonts w:cs="Times New Roman"/>
          <w:szCs w:val="22"/>
        </w:rPr>
      </w:pPr>
      <w:r w:rsidRPr="00731F8E">
        <w:rPr>
          <w:rFonts w:cs="Times New Roman"/>
          <w:szCs w:val="22"/>
        </w:rPr>
        <w:t>ARTICLE 5- (1) Operating expenses after the new comparison obtained after the correction process made within the scope of Article 4 are brought to an equal basis by taking into account the changes in the physical variables to which the relevant units are related, on the basis of comparison units. In the process of bringing the equal base, the fixed and variable effect rate is taken into account as 50%.</w:t>
      </w:r>
    </w:p>
    <w:p w14:paraId="7E4DA6F3" w14:textId="77777777" w:rsidR="004C0A79" w:rsidRPr="00731F8E" w:rsidRDefault="004C0A79" w:rsidP="004C0A79">
      <w:pPr>
        <w:pStyle w:val="GvdeMetni"/>
        <w:spacing w:before="39"/>
        <w:rPr>
          <w:rFonts w:cs="Times New Roman"/>
          <w:szCs w:val="22"/>
        </w:rPr>
      </w:pPr>
    </w:p>
    <w:p w14:paraId="040AA839" w14:textId="77777777" w:rsidR="004C0A79" w:rsidRPr="00731F8E" w:rsidRDefault="004C0A79" w:rsidP="00A86526">
      <w:pPr>
        <w:pStyle w:val="P68B1DB1-ListParagraph3"/>
        <w:numPr>
          <w:ilvl w:val="0"/>
          <w:numId w:val="92"/>
        </w:numPr>
        <w:tabs>
          <w:tab w:val="left" w:pos="1932"/>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In the peer-to-peer process for the variable part of the comparison unit amounts, the rates specified in the ninth paragraph of Article 3 are taken as a basis for the effect of physical variables.</w:t>
      </w:r>
    </w:p>
    <w:p w14:paraId="27E45492" w14:textId="77777777" w:rsidR="004C0A79" w:rsidRPr="00731F8E" w:rsidRDefault="004C0A79" w:rsidP="004C0A79">
      <w:pPr>
        <w:pStyle w:val="GvdeMetni"/>
        <w:spacing w:before="40"/>
        <w:rPr>
          <w:rFonts w:cs="Times New Roman"/>
          <w:szCs w:val="22"/>
        </w:rPr>
      </w:pPr>
    </w:p>
    <w:p w14:paraId="7D8D31E9" w14:textId="77777777" w:rsidR="004C0A79" w:rsidRPr="00731F8E" w:rsidRDefault="004C0A79" w:rsidP="00A86526">
      <w:pPr>
        <w:pStyle w:val="P68B1DB1-ListParagraph3"/>
        <w:numPr>
          <w:ilvl w:val="0"/>
          <w:numId w:val="92"/>
        </w:numPr>
        <w:tabs>
          <w:tab w:val="left" w:pos="1896"/>
        </w:tabs>
        <w:spacing w:line="276" w:lineRule="auto"/>
        <w:ind w:right="119" w:firstLine="0"/>
        <w:rPr>
          <w:rFonts w:ascii="Times New Roman" w:hAnsi="Times New Roman" w:cs="Times New Roman"/>
          <w:szCs w:val="22"/>
        </w:rPr>
      </w:pPr>
      <w:r w:rsidRPr="00731F8E">
        <w:rPr>
          <w:rFonts w:ascii="Times New Roman" w:hAnsi="Times New Roman" w:cs="Times New Roman"/>
          <w:szCs w:val="22"/>
        </w:rPr>
        <w:t>As a result of the peer-to-peer process, if the operating expense of the relevant year exceeds the average value of the base period, the operating expense after the comparison and the greater of the average value of the base period are taken as the basis for the operating expense on a peer-to-peer basis in the relevant year. Otherwise, the value obtained as a result of the equalization process is accepted directly.</w:t>
      </w:r>
    </w:p>
    <w:p w14:paraId="2CC0C5C9" w14:textId="77777777" w:rsidR="004C0A79" w:rsidRPr="00731F8E" w:rsidRDefault="004C0A79" w:rsidP="004C0A79">
      <w:pPr>
        <w:pStyle w:val="GvdeMetni"/>
        <w:spacing w:before="41"/>
        <w:rPr>
          <w:rFonts w:cs="Times New Roman"/>
          <w:szCs w:val="22"/>
        </w:rPr>
      </w:pPr>
    </w:p>
    <w:p w14:paraId="7A707985"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ARTICLE 6- (1) For the expenses within the scope of clause (c) of the third paragraph of Article 15 of the methodology, the amount corresponding to 5% of the average of operating expenses calculated on an equal basis in the relevant year in accordance with the third paragraph of Article 5 shall be taken into account.</w:t>
      </w:r>
    </w:p>
    <w:p w14:paraId="47F2EAC9" w14:textId="77777777" w:rsidR="004C0A79" w:rsidRPr="00731F8E" w:rsidRDefault="004C0A79" w:rsidP="004C0A79">
      <w:pPr>
        <w:pStyle w:val="GvdeMetni"/>
        <w:spacing w:before="38"/>
        <w:rPr>
          <w:rFonts w:cs="Times New Roman"/>
          <w:szCs w:val="22"/>
        </w:rPr>
      </w:pPr>
    </w:p>
    <w:p w14:paraId="4D260A71" w14:textId="77777777" w:rsidR="004C0A79" w:rsidRPr="00731F8E" w:rsidRDefault="004C0A79" w:rsidP="004C0A79">
      <w:pPr>
        <w:pStyle w:val="GvdeMetni"/>
        <w:spacing w:line="276" w:lineRule="auto"/>
        <w:ind w:left="1608" w:right="118"/>
        <w:rPr>
          <w:rFonts w:cs="Times New Roman"/>
          <w:szCs w:val="22"/>
        </w:rPr>
      </w:pPr>
      <w:r w:rsidRPr="00731F8E">
        <w:rPr>
          <w:rFonts w:cs="Times New Roman"/>
          <w:szCs w:val="22"/>
        </w:rPr>
        <w:t>ARTICLE 7- (1) The average of the operating expenses calculated within the scope of Article 5 for the base period and the sum of the amount obtained in accordance with Article 6 shall be taken into account as the operating expense based on the efficiency parameter calculations.</w:t>
      </w:r>
    </w:p>
    <w:p w14:paraId="476B80B2" w14:textId="77777777" w:rsidR="004C0A79" w:rsidRPr="00731F8E" w:rsidRDefault="004C0A79" w:rsidP="00A86526">
      <w:pPr>
        <w:pStyle w:val="P68B1DB1-ListParagraph3"/>
        <w:numPr>
          <w:ilvl w:val="0"/>
          <w:numId w:val="91"/>
        </w:numPr>
        <w:tabs>
          <w:tab w:val="left" w:pos="1896"/>
        </w:tabs>
        <w:spacing w:before="41" w:line="276" w:lineRule="auto"/>
        <w:ind w:right="122" w:firstLine="0"/>
        <w:rPr>
          <w:rFonts w:ascii="Times New Roman" w:hAnsi="Times New Roman" w:cs="Times New Roman"/>
          <w:szCs w:val="22"/>
        </w:rPr>
      </w:pPr>
      <w:r w:rsidRPr="00731F8E">
        <w:rPr>
          <w:rFonts w:ascii="Times New Roman" w:hAnsi="Times New Roman" w:cs="Times New Roman"/>
          <w:szCs w:val="22"/>
        </w:rPr>
        <w:t>By enlarging the value obtained in accordance with the first paragraph, taking into account the rate of change envisaged in physical variables for each tariff year of the third tariff application period, the weights specified in the ninth paragraph of Article 3 and the impact rates specified in the first paragraph of Article 5, the third tariff for each tariff year of the application period, the operating expenses to which the efficiency parameter will be applied are obtained.</w:t>
      </w:r>
    </w:p>
    <w:p w14:paraId="0234F8DF" w14:textId="77777777" w:rsidR="004C0A79" w:rsidRPr="00731F8E" w:rsidRDefault="004C0A79" w:rsidP="00A86526">
      <w:pPr>
        <w:pStyle w:val="P68B1DB1-ListParagraph3"/>
        <w:numPr>
          <w:ilvl w:val="0"/>
          <w:numId w:val="91"/>
        </w:numPr>
        <w:tabs>
          <w:tab w:val="left" w:pos="1928"/>
        </w:tabs>
        <w:spacing w:line="276" w:lineRule="auto"/>
        <w:ind w:right="118" w:firstLine="0"/>
        <w:rPr>
          <w:rFonts w:ascii="Times New Roman" w:hAnsi="Times New Roman" w:cs="Times New Roman"/>
          <w:szCs w:val="22"/>
        </w:rPr>
      </w:pPr>
      <w:r w:rsidRPr="00731F8E">
        <w:rPr>
          <w:rFonts w:ascii="Times New Roman" w:hAnsi="Times New Roman" w:cs="Times New Roman"/>
          <w:szCs w:val="22"/>
        </w:rPr>
        <w:t>Except for the districts within the scope of Article 4, for the districts whose expense realizations are not reflected in the base operating expense; operating expense forecast for the third tariff application period is made by taking into account the number of personnel, distance to the existing distribution region, city entrance station requirement, gas delivery date and physical variables envisaged for the district. The amount of the predicted value corresponding to the fixed impact ratio in the first paragraph of Article 5 is added to the operating expenses for which the efficiency parameter has been applied.</w:t>
      </w:r>
    </w:p>
    <w:p w14:paraId="453C2C13" w14:textId="77777777" w:rsidR="004C0A79" w:rsidRPr="00731F8E" w:rsidRDefault="004C0A79" w:rsidP="004C0A79">
      <w:pPr>
        <w:pStyle w:val="GvdeMetni"/>
        <w:spacing w:before="38"/>
        <w:rPr>
          <w:rFonts w:cs="Times New Roman"/>
          <w:szCs w:val="22"/>
        </w:rPr>
      </w:pPr>
    </w:p>
    <w:p w14:paraId="30739D10" w14:textId="77777777" w:rsidR="004C0A79" w:rsidRPr="00731F8E" w:rsidRDefault="004C0A79" w:rsidP="00A86526">
      <w:pPr>
        <w:pStyle w:val="P68B1DB1-ListParagraph3"/>
        <w:numPr>
          <w:ilvl w:val="0"/>
          <w:numId w:val="91"/>
        </w:numPr>
        <w:tabs>
          <w:tab w:val="left" w:pos="1891"/>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 xml:space="preserve">If the sum of variable effect and fixed effect calculated within the scope of the second paragraph for the relevant district is greater than the total value stipulated within the scope of the third paragraph, the amount stipulated within the scope of the third paragraph shall be taken directly into account. The projections regarding the gas supply date for the relevant districts and the operating expense effect arising from the realization differences are corrected in the next </w:t>
      </w:r>
      <w:r w:rsidRPr="00731F8E">
        <w:rPr>
          <w:rFonts w:ascii="Times New Roman" w:hAnsi="Times New Roman" w:cs="Times New Roman"/>
          <w:szCs w:val="22"/>
        </w:rPr>
        <w:lastRenderedPageBreak/>
        <w:t>tariff application period.</w:t>
      </w:r>
    </w:p>
    <w:p w14:paraId="5E5D3638" w14:textId="77777777" w:rsidR="004C0A79" w:rsidRPr="00731F8E" w:rsidRDefault="004C0A79" w:rsidP="004C0A79">
      <w:pPr>
        <w:pStyle w:val="GvdeMetni"/>
        <w:spacing w:before="39"/>
        <w:rPr>
          <w:rFonts w:cs="Times New Roman"/>
          <w:szCs w:val="22"/>
        </w:rPr>
      </w:pPr>
    </w:p>
    <w:p w14:paraId="38F5E028" w14:textId="77777777" w:rsidR="004C0A79" w:rsidRPr="00731F8E" w:rsidRDefault="004C0A79" w:rsidP="00A86526">
      <w:pPr>
        <w:pStyle w:val="P68B1DB1-ListParagraph3"/>
        <w:numPr>
          <w:ilvl w:val="0"/>
          <w:numId w:val="91"/>
        </w:numPr>
        <w:tabs>
          <w:tab w:val="left" w:pos="1906"/>
        </w:tabs>
        <w:spacing w:before="1" w:line="276" w:lineRule="auto"/>
        <w:ind w:right="121" w:firstLine="0"/>
        <w:rPr>
          <w:rFonts w:ascii="Times New Roman" w:hAnsi="Times New Roman" w:cs="Times New Roman"/>
          <w:szCs w:val="22"/>
        </w:rPr>
      </w:pPr>
      <w:r w:rsidRPr="00731F8E">
        <w:rPr>
          <w:rFonts w:ascii="Times New Roman" w:hAnsi="Times New Roman" w:cs="Times New Roman"/>
          <w:szCs w:val="22"/>
        </w:rPr>
        <w:t>The forecasts for the physical variables used in the calculation of the operating expense to which the efficiency parameter will be applied and the operating expense effect arising from the realization differences within the tariff application period are corrected in the next tariff application period.</w:t>
      </w:r>
    </w:p>
    <w:p w14:paraId="4BA521E4" w14:textId="77777777" w:rsidR="004C0A79" w:rsidRPr="00731F8E" w:rsidRDefault="004C0A79" w:rsidP="004C0A79">
      <w:pPr>
        <w:pStyle w:val="GvdeMetni"/>
        <w:spacing w:before="40"/>
        <w:rPr>
          <w:rFonts w:cs="Times New Roman"/>
          <w:szCs w:val="22"/>
        </w:rPr>
      </w:pPr>
    </w:p>
    <w:p w14:paraId="19120CFC" w14:textId="77777777" w:rsidR="004C0A79" w:rsidRPr="00731F8E" w:rsidRDefault="004C0A79" w:rsidP="004C0A79">
      <w:pPr>
        <w:pStyle w:val="GvdeMetni"/>
        <w:spacing w:line="276" w:lineRule="auto"/>
        <w:ind w:left="1608" w:right="119"/>
        <w:rPr>
          <w:rFonts w:cs="Times New Roman"/>
          <w:szCs w:val="22"/>
        </w:rPr>
      </w:pPr>
      <w:r w:rsidRPr="00731F8E">
        <w:rPr>
          <w:rFonts w:cs="Times New Roman"/>
          <w:szCs w:val="22"/>
        </w:rPr>
        <w:t>ARTICLE 8- (1) Pursuant to clause (a) of the fifth paragraph of Article 16 of the methodology; periodic inspection and meter calibration expense, heating gas expense, scenting expense, insurance expense, Value Added Tax, Corporate Tax and other taxes, duties and charges except Bank and Insurance Transactions Tax and the projections for the third tariff application period regarding the annual license and participation fees accrued within the scope of the relevant legislation are made by using the variables to which the said expense items are related. The forecast values for these items are added to the operating expenses for which the efficiency parameter has been applied.</w:t>
      </w:r>
    </w:p>
    <w:p w14:paraId="6488DB43" w14:textId="77777777" w:rsidR="004C0A79" w:rsidRPr="00731F8E" w:rsidRDefault="004C0A79" w:rsidP="004C0A79">
      <w:pPr>
        <w:pStyle w:val="GvdeMetni"/>
        <w:spacing w:before="41"/>
        <w:rPr>
          <w:rFonts w:cs="Times New Roman"/>
          <w:szCs w:val="22"/>
        </w:rPr>
      </w:pPr>
    </w:p>
    <w:p w14:paraId="7150909F"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(2) In the event that the forecast values of the variables taken as a basis for determining the natural gas purchase stamp duty, periodic inspection and meter calibration expense, heating gas expense and scenting expense within the scope of other taxes, duties and fees except for Value Added Tax, Corporate Tax and Bank and Insurance Transactions Tax and the realization of the third tariff application period are different, the deviations arising from the said difference shall be corrected in the next tariff application period.</w:t>
      </w:r>
    </w:p>
    <w:p w14:paraId="3AC92A8F" w14:textId="77777777" w:rsidR="004C0A79" w:rsidRPr="00731F8E" w:rsidRDefault="004C0A79" w:rsidP="004C0A79">
      <w:pPr>
        <w:pStyle w:val="GvdeMetni"/>
        <w:spacing w:before="37"/>
        <w:rPr>
          <w:rFonts w:cs="Times New Roman"/>
          <w:szCs w:val="22"/>
        </w:rPr>
      </w:pPr>
    </w:p>
    <w:p w14:paraId="52728119"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ARTICLE 9- (1) Calculations for the expenses included in clause (c) of the fifth paragraph of Article 16 of the methodology shall be carried out within the framework of the following principles.</w:t>
      </w:r>
    </w:p>
    <w:p w14:paraId="0DCF6B0F" w14:textId="77777777" w:rsidR="004C0A79" w:rsidRPr="00731F8E" w:rsidRDefault="004C0A79" w:rsidP="004C0A79">
      <w:pPr>
        <w:pStyle w:val="GvdeMetni"/>
        <w:spacing w:before="39"/>
        <w:rPr>
          <w:rFonts w:cs="Times New Roman"/>
          <w:szCs w:val="22"/>
        </w:rPr>
      </w:pPr>
    </w:p>
    <w:p w14:paraId="694AE328" w14:textId="77777777" w:rsidR="004C0A79" w:rsidRPr="00731F8E" w:rsidRDefault="004C0A79" w:rsidP="00A86526">
      <w:pPr>
        <w:pStyle w:val="P68B1DB1-ListParagraph3"/>
        <w:numPr>
          <w:ilvl w:val="0"/>
          <w:numId w:val="90"/>
        </w:numPr>
        <w:tabs>
          <w:tab w:val="left" w:pos="1889"/>
        </w:tabs>
        <w:spacing w:before="1" w:line="276" w:lineRule="auto"/>
        <w:ind w:right="118" w:firstLine="0"/>
        <w:rPr>
          <w:rFonts w:ascii="Times New Roman" w:hAnsi="Times New Roman" w:cs="Times New Roman"/>
          <w:szCs w:val="22"/>
        </w:rPr>
      </w:pPr>
      <w:r w:rsidRPr="00731F8E">
        <w:rPr>
          <w:rFonts w:ascii="Times New Roman" w:hAnsi="Times New Roman" w:cs="Times New Roman"/>
          <w:szCs w:val="22"/>
        </w:rPr>
        <w:t>Technology expenses for the base period, rental expenses, fixtures considered as expenses and the portion of non-network assets used in distribution activities deemed appropriate by the Board are taken into account as the main items for calculations.</w:t>
      </w:r>
    </w:p>
    <w:p w14:paraId="78F96505" w14:textId="77777777" w:rsidR="004C0A79" w:rsidRPr="00731F8E" w:rsidRDefault="004C0A79" w:rsidP="004C0A79">
      <w:pPr>
        <w:pStyle w:val="GvdeMetni"/>
        <w:spacing w:before="40"/>
        <w:rPr>
          <w:rFonts w:cs="Times New Roman"/>
          <w:szCs w:val="22"/>
        </w:rPr>
      </w:pPr>
    </w:p>
    <w:p w14:paraId="12A57BD0" w14:textId="77777777" w:rsidR="004C0A79" w:rsidRPr="00731F8E" w:rsidRDefault="004C0A79" w:rsidP="00A86526">
      <w:pPr>
        <w:pStyle w:val="P68B1DB1-ListParagraph3"/>
        <w:numPr>
          <w:ilvl w:val="0"/>
          <w:numId w:val="90"/>
        </w:numPr>
        <w:tabs>
          <w:tab w:val="left" w:pos="1870"/>
        </w:tabs>
        <w:spacing w:line="276" w:lineRule="auto"/>
        <w:ind w:right="123" w:firstLine="0"/>
        <w:rPr>
          <w:rFonts w:ascii="Times New Roman" w:hAnsi="Times New Roman" w:cs="Times New Roman"/>
          <w:szCs w:val="22"/>
        </w:rPr>
      </w:pPr>
      <w:r w:rsidRPr="00731F8E">
        <w:rPr>
          <w:rFonts w:ascii="Times New Roman" w:hAnsi="Times New Roman" w:cs="Times New Roman"/>
          <w:szCs w:val="22"/>
        </w:rPr>
        <w:t>The amounts determined in accordance with clause (a) are classified as harmonized technology and harmonized rental expenses.</w:t>
      </w:r>
    </w:p>
    <w:p w14:paraId="718B8BF0" w14:textId="77777777" w:rsidR="004C0A79" w:rsidRPr="00731F8E" w:rsidRDefault="004C0A79" w:rsidP="00A86526">
      <w:pPr>
        <w:pStyle w:val="P68B1DB1-ListParagraph3"/>
        <w:numPr>
          <w:ilvl w:val="0"/>
          <w:numId w:val="90"/>
        </w:numPr>
        <w:tabs>
          <w:tab w:val="left" w:pos="1818"/>
        </w:tabs>
        <w:spacing w:before="29" w:line="276" w:lineRule="auto"/>
        <w:ind w:right="119" w:firstLine="0"/>
        <w:rPr>
          <w:rFonts w:ascii="Times New Roman" w:hAnsi="Times New Roman" w:cs="Times New Roman"/>
          <w:szCs w:val="22"/>
        </w:rPr>
      </w:pPr>
      <w:r w:rsidRPr="00731F8E">
        <w:rPr>
          <w:rFonts w:ascii="Times New Roman" w:hAnsi="Times New Roman" w:cs="Times New Roman"/>
          <w:szCs w:val="22"/>
        </w:rPr>
        <w:t>The panel data set, which consists of classified expense items for the base period and operating expenses after comparison, is analyzed separately for both expense classes and on a cluster basis using panel data analysis methods.</w:t>
      </w:r>
    </w:p>
    <w:p w14:paraId="11846AEE" w14:textId="77777777" w:rsidR="004C0A79" w:rsidRPr="00731F8E" w:rsidRDefault="004C0A79" w:rsidP="004C0A79">
      <w:pPr>
        <w:pStyle w:val="GvdeMetni"/>
        <w:spacing w:before="38"/>
        <w:rPr>
          <w:rFonts w:cs="Times New Roman"/>
          <w:szCs w:val="22"/>
        </w:rPr>
      </w:pPr>
    </w:p>
    <w:p w14:paraId="2006DFF0" w14:textId="77777777" w:rsidR="004C0A79" w:rsidRPr="00731F8E" w:rsidRDefault="004C0A79" w:rsidP="004C0A79">
      <w:pPr>
        <w:pStyle w:val="GvdeMetni"/>
        <w:spacing w:line="276" w:lineRule="auto"/>
        <w:ind w:left="1608" w:right="119"/>
        <w:rPr>
          <w:rFonts w:cs="Times New Roman"/>
          <w:szCs w:val="22"/>
        </w:rPr>
      </w:pPr>
      <w:r w:rsidRPr="00731F8E">
        <w:rPr>
          <w:rFonts w:cs="Times New Roman"/>
          <w:szCs w:val="22"/>
        </w:rPr>
        <w:t>ç) As a result of the analysis, the estimated values obtained on the basis of the distribution company for both classes and the amounts calculated in accordance with clause (b) are compared. If the estimated value obtained for the relevant class differs from the calculated amount, the value corresponding to 25% of the difference is determined. The said value is added to the lesser of the calculated amount and the estimated value.</w:t>
      </w:r>
    </w:p>
    <w:p w14:paraId="42C9CBDC" w14:textId="77777777" w:rsidR="004C0A79" w:rsidRPr="00731F8E" w:rsidRDefault="004C0A79" w:rsidP="004C0A79">
      <w:pPr>
        <w:pStyle w:val="GvdeMetni"/>
        <w:spacing w:before="41"/>
        <w:rPr>
          <w:rFonts w:cs="Times New Roman"/>
          <w:szCs w:val="22"/>
        </w:rPr>
      </w:pPr>
    </w:p>
    <w:p w14:paraId="529E904F" w14:textId="77777777" w:rsidR="004C0A79" w:rsidRPr="00731F8E" w:rsidRDefault="004C0A79" w:rsidP="00A86526">
      <w:pPr>
        <w:pStyle w:val="P68B1DB1-ListParagraph3"/>
        <w:numPr>
          <w:ilvl w:val="0"/>
          <w:numId w:val="90"/>
        </w:numPr>
        <w:tabs>
          <w:tab w:val="left" w:pos="1847"/>
        </w:tabs>
        <w:spacing w:line="273" w:lineRule="auto"/>
        <w:ind w:right="121" w:firstLine="0"/>
        <w:rPr>
          <w:rFonts w:ascii="Times New Roman" w:hAnsi="Times New Roman" w:cs="Times New Roman"/>
          <w:szCs w:val="22"/>
        </w:rPr>
      </w:pPr>
      <w:r w:rsidRPr="00731F8E">
        <w:rPr>
          <w:rFonts w:ascii="Times New Roman" w:hAnsi="Times New Roman" w:cs="Times New Roman"/>
          <w:szCs w:val="22"/>
        </w:rPr>
        <w:t>The value obtained within the scope of clause (ç) of this paragraph for rental expenses is considered as the rental expense value based on the calculation of the operating expense component.</w:t>
      </w:r>
    </w:p>
    <w:p w14:paraId="28131B4A" w14:textId="77777777" w:rsidR="004C0A79" w:rsidRPr="00731F8E" w:rsidRDefault="004C0A79" w:rsidP="004C0A79">
      <w:pPr>
        <w:pStyle w:val="GvdeMetni"/>
        <w:spacing w:before="46"/>
        <w:rPr>
          <w:rFonts w:cs="Times New Roman"/>
          <w:szCs w:val="22"/>
        </w:rPr>
      </w:pPr>
    </w:p>
    <w:p w14:paraId="000AB1A4" w14:textId="77777777" w:rsidR="004C0A79" w:rsidRPr="00731F8E" w:rsidRDefault="004C0A79" w:rsidP="00A86526">
      <w:pPr>
        <w:pStyle w:val="P68B1DB1-ListParagraph3"/>
        <w:numPr>
          <w:ilvl w:val="0"/>
          <w:numId w:val="90"/>
        </w:numPr>
        <w:tabs>
          <w:tab w:val="left" w:pos="1845"/>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 xml:space="preserve">The value obtained within the scope of clause (ç) of this paragraph for technology expenses is divided into two as fixed technology expense and variable technology expense, taking into account the impact rates specified in the first paragraph of Article 5. Variable technology expense per customer is calculated for each distribution company. Based on the variable technology expense per customer, the average of the variable technology expense per customer is calculated on a cluster basis using statistical methods. The amount found by multiplying the average variable technology expense per customer of the cluster in which the distribution company is located by the number of customers of the distribution company is summed with the </w:t>
      </w:r>
      <w:r w:rsidRPr="00731F8E">
        <w:rPr>
          <w:rFonts w:ascii="Times New Roman" w:hAnsi="Times New Roman" w:cs="Times New Roman"/>
          <w:szCs w:val="22"/>
        </w:rPr>
        <w:lastRenderedPageBreak/>
        <w:t>fixed technology expense. The amount obtained is compared with the technology expense planned for the third tariff application period of the distribution company, and the lower of these two amounts is taken as the main technology expense for the operating expense component account.</w:t>
      </w:r>
    </w:p>
    <w:p w14:paraId="354D8631" w14:textId="77777777" w:rsidR="004C0A79" w:rsidRPr="00731F8E" w:rsidRDefault="004C0A79" w:rsidP="004C0A79">
      <w:pPr>
        <w:pStyle w:val="GvdeMetni"/>
        <w:spacing w:before="38"/>
        <w:rPr>
          <w:rFonts w:cs="Times New Roman"/>
          <w:szCs w:val="22"/>
        </w:rPr>
      </w:pPr>
    </w:p>
    <w:p w14:paraId="7A21E6AE" w14:textId="77777777" w:rsidR="004C0A79" w:rsidRPr="00731F8E" w:rsidRDefault="004C0A79" w:rsidP="00A86526">
      <w:pPr>
        <w:pStyle w:val="P68B1DB1-ListParagraph3"/>
        <w:numPr>
          <w:ilvl w:val="0"/>
          <w:numId w:val="90"/>
        </w:numPr>
        <w:tabs>
          <w:tab w:val="left" w:pos="1834"/>
        </w:tabs>
        <w:spacing w:line="276" w:lineRule="auto"/>
        <w:ind w:right="119" w:firstLine="0"/>
        <w:rPr>
          <w:rFonts w:ascii="Times New Roman" w:hAnsi="Times New Roman" w:cs="Times New Roman"/>
          <w:szCs w:val="22"/>
        </w:rPr>
      </w:pPr>
      <w:r w:rsidRPr="00731F8E">
        <w:rPr>
          <w:rFonts w:ascii="Times New Roman" w:hAnsi="Times New Roman" w:cs="Times New Roman"/>
          <w:szCs w:val="22"/>
        </w:rPr>
        <w:t>The ratio of the non-grid asset values based on the calculation of the operating expense component to the operating expenses after the comparison calculated in accordance with Articles 3 and 4 is applied to the operating expenses for which the efficiency parameter has been applied for each tariff year of the third tariff application period. The final values obtained are added to the operating expenses for which the efficiency parameter has been applied.</w:t>
      </w:r>
    </w:p>
    <w:p w14:paraId="019BA9BC" w14:textId="77777777" w:rsidR="004C0A79" w:rsidRPr="00731F8E" w:rsidRDefault="004C0A79" w:rsidP="004C0A79">
      <w:pPr>
        <w:pStyle w:val="GvdeMetni"/>
        <w:spacing w:before="40"/>
        <w:rPr>
          <w:rFonts w:cs="Times New Roman"/>
          <w:szCs w:val="22"/>
        </w:rPr>
      </w:pPr>
    </w:p>
    <w:p w14:paraId="4BCB42F9"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ARTICLE 10- (1) Pursuant to clause (ç) of the fifth paragraph of Article 16 of the methodology, upon the request of the distribution company, the amount corresponding to 1% of the operating expenses for which the efficiency parameter has been applied is taken into account as the R&amp;D budget in the calculation of the operating expense component. If the expenditures within the scope of R&amp;D realized for the third tariff application period are lower than the budget, the difference is subject to correction in the calculations of the next tariff application period.</w:t>
      </w:r>
    </w:p>
    <w:p w14:paraId="4FD534B5" w14:textId="77777777" w:rsidR="004C0A79" w:rsidRPr="00731F8E" w:rsidRDefault="004C0A79" w:rsidP="004C0A79">
      <w:pPr>
        <w:pStyle w:val="GvdeMetni"/>
        <w:spacing w:before="40"/>
        <w:rPr>
          <w:rFonts w:cs="Times New Roman"/>
          <w:szCs w:val="22"/>
        </w:rPr>
      </w:pPr>
    </w:p>
    <w:p w14:paraId="4153D86C" w14:textId="77777777" w:rsidR="004C0A79" w:rsidRPr="00731F8E" w:rsidRDefault="004C0A79" w:rsidP="004C0A79">
      <w:pPr>
        <w:pStyle w:val="GvdeMetni"/>
        <w:spacing w:line="276" w:lineRule="auto"/>
        <w:ind w:left="1608" w:right="123"/>
        <w:rPr>
          <w:rFonts w:cs="Times New Roman"/>
          <w:szCs w:val="22"/>
        </w:rPr>
      </w:pPr>
      <w:r w:rsidRPr="00731F8E">
        <w:rPr>
          <w:rFonts w:cs="Times New Roman"/>
          <w:szCs w:val="22"/>
        </w:rPr>
        <w:t>ARTICLE 11- (1) In accordance with the third and fourth paragraphs of Article 25 of the methodology, a corporate performance incentive is added to the operating expense component of the distribution companies that meet the relevant conditions.</w:t>
      </w:r>
    </w:p>
    <w:p w14:paraId="48A28AD0" w14:textId="77777777" w:rsidR="004C0A79" w:rsidRPr="00731F8E" w:rsidRDefault="004C0A79" w:rsidP="004C0A79">
      <w:pPr>
        <w:pStyle w:val="GvdeMetni"/>
        <w:spacing w:before="40"/>
        <w:rPr>
          <w:rFonts w:cs="Times New Roman"/>
          <w:szCs w:val="22"/>
        </w:rPr>
      </w:pPr>
    </w:p>
    <w:p w14:paraId="1EB436C4" w14:textId="77777777" w:rsidR="004C0A79" w:rsidRPr="00731F8E" w:rsidRDefault="004C0A79" w:rsidP="004C0A79">
      <w:pPr>
        <w:pStyle w:val="GvdeMetni"/>
        <w:spacing w:line="276" w:lineRule="auto"/>
        <w:ind w:left="1608" w:right="121"/>
        <w:rPr>
          <w:rFonts w:cs="Times New Roman"/>
          <w:szCs w:val="22"/>
        </w:rPr>
      </w:pPr>
    </w:p>
    <w:p w14:paraId="02A5B195"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ARTICLE 12- (1) Upon the request of the distribution company, with the CNG or LNG purchase price realized in accordance with the third paragraph of Article 5 of the Procedures and Principles for Supplying the Natural Gas Distribution Network with Liquefied Natural Gas (LNG) or Compressed Natural Gas (CNG) (CNG or LNG Purchasing Procedures and Principles) in order to cover the difference between the prices applied by the distribution company in the relevant period, the amount foreseen for the tariff application period is added to the operating expense component and the retail sales tariff is revised.</w:t>
      </w:r>
    </w:p>
    <w:p w14:paraId="299A5355" w14:textId="77777777" w:rsidR="004C0A79" w:rsidRPr="00731F8E" w:rsidRDefault="004C0A79" w:rsidP="00A86526">
      <w:pPr>
        <w:pStyle w:val="P68B1DB1-ListParagraph3"/>
        <w:numPr>
          <w:ilvl w:val="0"/>
          <w:numId w:val="89"/>
        </w:numPr>
        <w:tabs>
          <w:tab w:val="left" w:pos="1930"/>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If there is a difference between the amount stipulated in accordance with the first paragraph and the amount realized in the third tariff application period, the said difference shall be corrected in the next tariff application period.</w:t>
      </w:r>
    </w:p>
    <w:p w14:paraId="207BB22F" w14:textId="77777777" w:rsidR="004C0A79" w:rsidRPr="00731F8E" w:rsidRDefault="004C0A79" w:rsidP="004C0A79">
      <w:pPr>
        <w:pStyle w:val="GvdeMetni"/>
        <w:spacing w:before="41"/>
        <w:rPr>
          <w:rFonts w:cs="Times New Roman"/>
          <w:szCs w:val="22"/>
        </w:rPr>
      </w:pPr>
    </w:p>
    <w:p w14:paraId="446F786F" w14:textId="77777777" w:rsidR="004C0A79" w:rsidRPr="00731F8E" w:rsidRDefault="004C0A79" w:rsidP="00A86526">
      <w:pPr>
        <w:pStyle w:val="P68B1DB1-ListParagraph3"/>
        <w:numPr>
          <w:ilvl w:val="0"/>
          <w:numId w:val="89"/>
        </w:numPr>
        <w:tabs>
          <w:tab w:val="left" w:pos="1899"/>
        </w:tabs>
        <w:spacing w:line="276" w:lineRule="auto"/>
        <w:ind w:right="123" w:firstLine="0"/>
        <w:rPr>
          <w:rFonts w:ascii="Times New Roman" w:hAnsi="Times New Roman" w:cs="Times New Roman"/>
          <w:szCs w:val="22"/>
        </w:rPr>
      </w:pPr>
      <w:r w:rsidRPr="00731F8E">
        <w:rPr>
          <w:rFonts w:ascii="Times New Roman" w:hAnsi="Times New Roman" w:cs="Times New Roman"/>
          <w:szCs w:val="22"/>
        </w:rPr>
        <w:t>Natural gas price differences not requested by natural gas distribution companies within the scope of the first paragraph for the tariff application period shall be taken into account in the calculations of the next tariff application period of the relevant natural gas distribution companies.</w:t>
      </w:r>
    </w:p>
    <w:p w14:paraId="036C1F7B" w14:textId="77777777" w:rsidR="004C0A79" w:rsidRPr="00731F8E" w:rsidRDefault="004C0A79" w:rsidP="004C0A79">
      <w:pPr>
        <w:pStyle w:val="GvdeMetni"/>
        <w:spacing w:before="38"/>
        <w:rPr>
          <w:rFonts w:cs="Times New Roman"/>
          <w:szCs w:val="22"/>
        </w:rPr>
      </w:pPr>
    </w:p>
    <w:p w14:paraId="66006D66" w14:textId="77777777" w:rsidR="004C0A79" w:rsidRPr="00731F8E" w:rsidRDefault="004C0A79" w:rsidP="00A86526">
      <w:pPr>
        <w:pStyle w:val="P68B1DB1-ListParagraph3"/>
        <w:numPr>
          <w:ilvl w:val="0"/>
          <w:numId w:val="89"/>
        </w:numPr>
        <w:tabs>
          <w:tab w:val="left" w:pos="1964"/>
        </w:tabs>
        <w:spacing w:line="276" w:lineRule="auto"/>
        <w:ind w:right="120" w:firstLine="0"/>
        <w:rPr>
          <w:rFonts w:ascii="Times New Roman" w:hAnsi="Times New Roman" w:cs="Times New Roman"/>
          <w:szCs w:val="22"/>
        </w:rPr>
      </w:pPr>
      <w:r w:rsidRPr="00731F8E">
        <w:rPr>
          <w:rFonts w:ascii="Times New Roman" w:hAnsi="Times New Roman" w:cs="Times New Roman"/>
          <w:szCs w:val="22"/>
        </w:rPr>
        <w:t>The CNG or LNG purchase cost incurred in accordance with the fourth paragraph of Article 5 of the CNG or LNG Purchase Procedures and Principles shall be taken into account in the calculations of the next tariff application period.</w:t>
      </w:r>
    </w:p>
    <w:p w14:paraId="3971D957" w14:textId="77777777" w:rsidR="004C0A79" w:rsidRPr="00731F8E" w:rsidRDefault="004C0A79" w:rsidP="004C0A79">
      <w:pPr>
        <w:pStyle w:val="GvdeMetni"/>
        <w:spacing w:before="41"/>
        <w:rPr>
          <w:rFonts w:cs="Times New Roman"/>
          <w:szCs w:val="22"/>
        </w:rPr>
      </w:pPr>
    </w:p>
    <w:p w14:paraId="5FABBF09" w14:textId="77777777" w:rsidR="004C0A79" w:rsidRPr="00731F8E" w:rsidRDefault="004C0A79" w:rsidP="00A86526">
      <w:pPr>
        <w:pStyle w:val="P68B1DB1-ListParagraph3"/>
        <w:numPr>
          <w:ilvl w:val="0"/>
          <w:numId w:val="89"/>
        </w:numPr>
        <w:tabs>
          <w:tab w:val="left" w:pos="1906"/>
        </w:tabs>
        <w:spacing w:line="276" w:lineRule="auto"/>
        <w:ind w:right="124" w:firstLine="0"/>
        <w:rPr>
          <w:rFonts w:ascii="Times New Roman" w:hAnsi="Times New Roman" w:cs="Times New Roman"/>
          <w:szCs w:val="22"/>
        </w:rPr>
      </w:pPr>
      <w:r w:rsidRPr="00731F8E">
        <w:rPr>
          <w:rFonts w:ascii="Times New Roman" w:hAnsi="Times New Roman" w:cs="Times New Roman"/>
          <w:szCs w:val="22"/>
        </w:rPr>
        <w:t>The price difference that will occur in CNG or LNG purchases that are not made in accordance with the CNG or LNG Purchase Procedures and Principles is not reflected to the consumers in the natural gas distribution region.</w:t>
      </w:r>
    </w:p>
    <w:p w14:paraId="5ACCB3B4" w14:textId="77777777" w:rsidR="004C0A79" w:rsidRPr="00731F8E" w:rsidRDefault="004C0A79" w:rsidP="004C0A79">
      <w:pPr>
        <w:pStyle w:val="GvdeMetni"/>
        <w:spacing w:before="40"/>
        <w:rPr>
          <w:rFonts w:cs="Times New Roman"/>
          <w:szCs w:val="22"/>
        </w:rPr>
      </w:pPr>
    </w:p>
    <w:p w14:paraId="7A16EEC2" w14:textId="77777777" w:rsidR="004C0A79" w:rsidRPr="00731F8E" w:rsidRDefault="004C0A79" w:rsidP="00A86526">
      <w:pPr>
        <w:pStyle w:val="P68B1DB1-ListParagraph3"/>
        <w:numPr>
          <w:ilvl w:val="0"/>
          <w:numId w:val="89"/>
        </w:numPr>
        <w:tabs>
          <w:tab w:val="left" w:pos="1903"/>
        </w:tabs>
        <w:spacing w:line="276" w:lineRule="auto"/>
        <w:ind w:right="118" w:firstLine="0"/>
        <w:rPr>
          <w:rFonts w:ascii="Times New Roman" w:hAnsi="Times New Roman" w:cs="Times New Roman"/>
          <w:szCs w:val="22"/>
        </w:rPr>
      </w:pPr>
      <w:r w:rsidRPr="00731F8E">
        <w:rPr>
          <w:rFonts w:ascii="Times New Roman" w:hAnsi="Times New Roman" w:cs="Times New Roman"/>
          <w:szCs w:val="22"/>
        </w:rPr>
        <w:t>Prices for CNG or LNG purchases made in accordance with the CNG or LNG Purchase Procedures and Principles can be analyzed if deemed necessary, taking into account precedent practices and industry data.</w:t>
      </w:r>
    </w:p>
    <w:p w14:paraId="5CD277AB" w14:textId="77777777" w:rsidR="004C0A79" w:rsidRPr="00731F8E" w:rsidRDefault="004C0A79" w:rsidP="004C0A79">
      <w:pPr>
        <w:pStyle w:val="GvdeMetni"/>
        <w:spacing w:before="40"/>
        <w:rPr>
          <w:rFonts w:cs="Times New Roman"/>
          <w:szCs w:val="22"/>
        </w:rPr>
      </w:pPr>
    </w:p>
    <w:p w14:paraId="1145CA3E" w14:textId="77777777" w:rsidR="004C0A79" w:rsidRPr="00731F8E" w:rsidRDefault="004C0A79" w:rsidP="004C0A79">
      <w:pPr>
        <w:pStyle w:val="GvdeMetni"/>
        <w:spacing w:line="276" w:lineRule="auto"/>
        <w:ind w:left="1608"/>
        <w:rPr>
          <w:rFonts w:cs="Times New Roman"/>
          <w:szCs w:val="22"/>
        </w:rPr>
      </w:pPr>
      <w:r w:rsidRPr="00731F8E">
        <w:rPr>
          <w:rFonts w:cs="Times New Roman"/>
          <w:szCs w:val="22"/>
        </w:rPr>
        <w:t>ARTICLE 13- (1) Calculations for the other income component are carried out within the framework of the following principles.</w:t>
      </w:r>
    </w:p>
    <w:p w14:paraId="3D6C6E50" w14:textId="77777777" w:rsidR="004C0A79" w:rsidRPr="00731F8E" w:rsidRDefault="004C0A79" w:rsidP="004C0A79">
      <w:pPr>
        <w:pStyle w:val="GvdeMetni"/>
        <w:spacing w:before="39"/>
        <w:rPr>
          <w:rFonts w:cs="Times New Roman"/>
          <w:szCs w:val="22"/>
        </w:rPr>
      </w:pPr>
    </w:p>
    <w:p w14:paraId="03D0B8F9" w14:textId="77777777" w:rsidR="004C0A79" w:rsidRPr="00731F8E" w:rsidRDefault="004C0A79" w:rsidP="00A86526">
      <w:pPr>
        <w:pStyle w:val="P68B1DB1-ListParagraph3"/>
        <w:numPr>
          <w:ilvl w:val="1"/>
          <w:numId w:val="89"/>
        </w:numPr>
        <w:tabs>
          <w:tab w:val="left" w:pos="1845"/>
        </w:tabs>
        <w:spacing w:before="1" w:line="276" w:lineRule="auto"/>
        <w:ind w:right="119" w:firstLine="0"/>
        <w:rPr>
          <w:rFonts w:ascii="Times New Roman" w:hAnsi="Times New Roman" w:cs="Times New Roman"/>
          <w:szCs w:val="22"/>
        </w:rPr>
      </w:pPr>
      <w:r w:rsidRPr="00731F8E">
        <w:rPr>
          <w:rFonts w:ascii="Times New Roman" w:hAnsi="Times New Roman" w:cs="Times New Roman"/>
          <w:szCs w:val="22"/>
        </w:rPr>
        <w:t>The sum of other revenues for each year of the base period is brought to an equal basis by taking into account the rate of change in operating expenses calculated in accordance with the third paragraph of Article 5 compared to the last year of the base period. Unreasonable increases in the base period are corrected and taken into account in the peer-to-peer process.</w:t>
      </w:r>
    </w:p>
    <w:p w14:paraId="7954EDFD" w14:textId="77777777" w:rsidR="004C0A79" w:rsidRPr="00731F8E" w:rsidRDefault="004C0A79" w:rsidP="004C0A79">
      <w:pPr>
        <w:pStyle w:val="GvdeMetni"/>
        <w:spacing w:before="39"/>
        <w:rPr>
          <w:rFonts w:cs="Times New Roman"/>
          <w:szCs w:val="22"/>
        </w:rPr>
      </w:pPr>
    </w:p>
    <w:p w14:paraId="4A3AF254" w14:textId="14542929" w:rsidR="004C0A79" w:rsidRPr="00C32187" w:rsidRDefault="004C0A79" w:rsidP="00A86526">
      <w:pPr>
        <w:pStyle w:val="P68B1DB1-ListParagraph3"/>
        <w:numPr>
          <w:ilvl w:val="1"/>
          <w:numId w:val="89"/>
        </w:numPr>
        <w:tabs>
          <w:tab w:val="left" w:pos="1828"/>
        </w:tabs>
        <w:spacing w:before="41" w:line="276" w:lineRule="auto"/>
        <w:ind w:right="118" w:firstLine="0"/>
        <w:rPr>
          <w:rFonts w:ascii="Times New Roman" w:hAnsi="Times New Roman" w:cs="Times New Roman"/>
          <w:i w:val="0"/>
          <w:szCs w:val="22"/>
        </w:rPr>
      </w:pPr>
      <w:r w:rsidRPr="00C32187">
        <w:rPr>
          <w:rFonts w:ascii="Times New Roman" w:hAnsi="Times New Roman" w:cs="Times New Roman"/>
          <w:i w:val="0"/>
          <w:szCs w:val="22"/>
        </w:rPr>
        <w:t>The value based on the increase is calculated at the beginning of the third tariff application period by taking the average of the amounts brought to the equal base. The said value is increased by taking into account the rate of change in the operating expenses to which the efficiency parameter will be applied and the increased amounts are taken into account in the calculation of the operating expense component.</w:t>
      </w:r>
    </w:p>
    <w:p w14:paraId="7BBBBDAB" w14:textId="77777777" w:rsidR="00C32187" w:rsidRPr="00731F8E" w:rsidRDefault="00C32187" w:rsidP="00C32187">
      <w:pPr>
        <w:pStyle w:val="P68B1DB1-ListParagraph3"/>
        <w:tabs>
          <w:tab w:val="left" w:pos="1828"/>
        </w:tabs>
        <w:spacing w:before="41" w:line="276" w:lineRule="auto"/>
        <w:ind w:left="1608" w:right="118" w:firstLine="0"/>
        <w:rPr>
          <w:rFonts w:ascii="Times New Roman" w:hAnsi="Times New Roman" w:cs="Times New Roman"/>
          <w:szCs w:val="22"/>
        </w:rPr>
      </w:pPr>
    </w:p>
    <w:p w14:paraId="526F5E40" w14:textId="77777777" w:rsidR="004C0A79" w:rsidRPr="00C32187" w:rsidRDefault="004C0A79" w:rsidP="00A86526">
      <w:pPr>
        <w:pStyle w:val="P68B1DB1-ListParagraph3"/>
        <w:numPr>
          <w:ilvl w:val="1"/>
          <w:numId w:val="89"/>
        </w:numPr>
        <w:ind w:left="1560" w:firstLine="48"/>
        <w:rPr>
          <w:rFonts w:ascii="Times New Roman" w:hAnsi="Times New Roman" w:cs="Times New Roman"/>
          <w:i w:val="0"/>
          <w:szCs w:val="22"/>
        </w:rPr>
      </w:pPr>
      <w:r w:rsidRPr="00C32187">
        <w:rPr>
          <w:rFonts w:ascii="Times New Roman" w:hAnsi="Times New Roman" w:cs="Times New Roman"/>
          <w:i w:val="0"/>
          <w:szCs w:val="22"/>
        </w:rPr>
        <w:t>In the estimation of other revenues for the cases defined in the third paragraph of Article 7, the ratio of the enlarged amounts calculated within the scope of clause (b) to the operating expenses to which the efficiency parameter will be applied is used.</w:t>
      </w:r>
    </w:p>
    <w:p w14:paraId="157FA002" w14:textId="77777777" w:rsidR="004C0A79" w:rsidRPr="00731F8E" w:rsidRDefault="004C0A79" w:rsidP="004C0A79">
      <w:pPr>
        <w:pStyle w:val="P68B1DB1-ListParagraph3"/>
        <w:tabs>
          <w:tab w:val="left" w:pos="1808"/>
        </w:tabs>
        <w:ind w:left="1808" w:firstLine="0"/>
        <w:rPr>
          <w:rFonts w:ascii="Times New Roman" w:hAnsi="Times New Roman" w:cs="Times New Roman"/>
          <w:szCs w:val="22"/>
        </w:rPr>
      </w:pPr>
    </w:p>
    <w:p w14:paraId="5C2A2FA3" w14:textId="77777777" w:rsidR="004C0A79" w:rsidRPr="00731F8E" w:rsidRDefault="004C0A79" w:rsidP="004C0A79">
      <w:pPr>
        <w:pStyle w:val="GvdeMetni"/>
        <w:spacing w:line="276" w:lineRule="auto"/>
        <w:ind w:left="1608"/>
        <w:rPr>
          <w:rFonts w:cs="Times New Roman"/>
          <w:szCs w:val="22"/>
        </w:rPr>
      </w:pPr>
      <w:r w:rsidRPr="00C32187">
        <w:rPr>
          <w:rFonts w:cs="Times New Roman"/>
          <w:sz w:val="22"/>
          <w:szCs w:val="22"/>
        </w:rPr>
        <w:t>ç) In accordance with the fourth paragraph of Article 7, in case of correction in the operating expenses to which the efficiency parameter calculated for the third tariff application period will be applied, the enlarged amounts calculated within the scope of clause (b) will also be subject to correction.</w:t>
      </w:r>
    </w:p>
    <w:p w14:paraId="597261EC" w14:textId="77777777" w:rsidR="004C0A79" w:rsidRPr="00C32187" w:rsidRDefault="004C0A79" w:rsidP="00A86526">
      <w:pPr>
        <w:pStyle w:val="P68B1DB1-ListParagraph3"/>
        <w:numPr>
          <w:ilvl w:val="1"/>
          <w:numId w:val="89"/>
        </w:numPr>
        <w:tabs>
          <w:tab w:val="left" w:pos="1418"/>
        </w:tabs>
        <w:spacing w:before="39" w:line="276" w:lineRule="auto"/>
        <w:ind w:right="122"/>
        <w:rPr>
          <w:rFonts w:ascii="Times New Roman" w:hAnsi="Times New Roman" w:cs="Times New Roman"/>
          <w:i w:val="0"/>
          <w:szCs w:val="22"/>
        </w:rPr>
      </w:pPr>
      <w:r w:rsidRPr="00C32187">
        <w:rPr>
          <w:rFonts w:ascii="Times New Roman" w:hAnsi="Times New Roman" w:cs="Times New Roman"/>
          <w:i w:val="0"/>
          <w:szCs w:val="22"/>
        </w:rPr>
        <w:t xml:space="preserve"> In accordance with the first paragraph of Article 17 of the methodology; If the forecast amounts for the revenue items within the scope of the other revenues component and the realizations of the relevant tariff application period are different, the deviations resulting from this difference are subject to correction in the calculations of the next tariff application period.</w:t>
      </w:r>
    </w:p>
    <w:p w14:paraId="14236F2E" w14:textId="77777777" w:rsidR="004C0A79" w:rsidRPr="00C32187" w:rsidRDefault="004C0A79" w:rsidP="004C0A79">
      <w:pPr>
        <w:pStyle w:val="GvdeMetni"/>
        <w:spacing w:before="40"/>
        <w:rPr>
          <w:rFonts w:cs="Times New Roman"/>
          <w:sz w:val="22"/>
          <w:szCs w:val="22"/>
        </w:rPr>
      </w:pPr>
    </w:p>
    <w:p w14:paraId="2E6D0663" w14:textId="77777777" w:rsidR="004C0A79" w:rsidRPr="00C32187" w:rsidRDefault="004C0A79" w:rsidP="004C0A79">
      <w:pPr>
        <w:pStyle w:val="GvdeMetni"/>
        <w:spacing w:line="276" w:lineRule="auto"/>
        <w:ind w:left="1608" w:right="120"/>
        <w:rPr>
          <w:rFonts w:cs="Times New Roman"/>
          <w:sz w:val="22"/>
          <w:szCs w:val="22"/>
        </w:rPr>
      </w:pPr>
      <w:r w:rsidRPr="00C32187">
        <w:rPr>
          <w:rFonts w:cs="Times New Roman"/>
          <w:sz w:val="22"/>
          <w:szCs w:val="22"/>
        </w:rPr>
        <w:t>ARTICLE 14- (1) In the event that the minimum wage increase to be realized in each year of the third tariff application period is more or less than the increase in the consumer price index to be realized in each year of the third tariff application period, the annual labor cost change effect for each distribution company is calculated by taking into account the average number of personnel of the distribution company and the minimum wage support provided to employers. This effect is subject to correction in the calculations of the next tariff application period.</w:t>
      </w:r>
    </w:p>
    <w:p w14:paraId="279AD32A" w14:textId="77777777" w:rsidR="004C0A79" w:rsidRPr="00C32187" w:rsidRDefault="004C0A79" w:rsidP="004C0A79">
      <w:pPr>
        <w:pStyle w:val="GvdeMetni"/>
        <w:spacing w:before="40"/>
        <w:rPr>
          <w:rFonts w:cs="Times New Roman"/>
          <w:sz w:val="22"/>
          <w:szCs w:val="22"/>
        </w:rPr>
      </w:pPr>
    </w:p>
    <w:p w14:paraId="79A3CBDE" w14:textId="77777777" w:rsidR="004C0A79" w:rsidRPr="00C32187" w:rsidRDefault="004C0A79" w:rsidP="004C0A79">
      <w:pPr>
        <w:pStyle w:val="GvdeMetni"/>
        <w:spacing w:line="273" w:lineRule="auto"/>
        <w:ind w:left="1608" w:right="120"/>
        <w:rPr>
          <w:rFonts w:cs="Times New Roman"/>
          <w:sz w:val="22"/>
          <w:szCs w:val="22"/>
        </w:rPr>
      </w:pPr>
      <w:r w:rsidRPr="00C32187">
        <w:rPr>
          <w:rFonts w:cs="Times New Roman"/>
          <w:sz w:val="22"/>
          <w:szCs w:val="22"/>
        </w:rPr>
        <w:t>PROVISIONAL ARTICLE 1- (1) Among the companies whose system usage fee application period specified in the tender specification will expire within the third tariff application period;</w:t>
      </w:r>
    </w:p>
    <w:p w14:paraId="1BD10D25" w14:textId="77777777" w:rsidR="004C0A79" w:rsidRPr="00C32187" w:rsidRDefault="004C0A79" w:rsidP="00A86526">
      <w:pPr>
        <w:pStyle w:val="P68B1DB1-ListParagraph3"/>
        <w:numPr>
          <w:ilvl w:val="0"/>
          <w:numId w:val="88"/>
        </w:numPr>
        <w:tabs>
          <w:tab w:val="left" w:pos="1887"/>
        </w:tabs>
        <w:spacing w:line="273" w:lineRule="auto"/>
        <w:ind w:right="123" w:firstLine="0"/>
        <w:rPr>
          <w:rFonts w:ascii="Times New Roman" w:hAnsi="Times New Roman" w:cs="Times New Roman"/>
          <w:i w:val="0"/>
          <w:szCs w:val="22"/>
        </w:rPr>
      </w:pPr>
      <w:r w:rsidRPr="00C32187">
        <w:rPr>
          <w:rFonts w:ascii="Times New Roman" w:hAnsi="Times New Roman" w:cs="Times New Roman"/>
          <w:i w:val="0"/>
          <w:szCs w:val="22"/>
        </w:rPr>
        <w:t>The results obtained in the analyzes to be made in accordance with Articles 3 and 9 for the distribution licensees before the second tariff application period are taken as basis.</w:t>
      </w:r>
    </w:p>
    <w:p w14:paraId="3DF203E8" w14:textId="77777777" w:rsidR="004C0A79" w:rsidRPr="00C32187" w:rsidRDefault="004C0A79" w:rsidP="004C0A79">
      <w:pPr>
        <w:pStyle w:val="GvdeMetni"/>
        <w:spacing w:before="45"/>
        <w:rPr>
          <w:rFonts w:cs="Times New Roman"/>
          <w:szCs w:val="22"/>
        </w:rPr>
      </w:pPr>
    </w:p>
    <w:p w14:paraId="088CAF5B" w14:textId="77777777" w:rsidR="004C0A79" w:rsidRPr="00C32187" w:rsidRDefault="004C0A79" w:rsidP="00A86526">
      <w:pPr>
        <w:pStyle w:val="P68B1DB1-ListParagraph3"/>
        <w:numPr>
          <w:ilvl w:val="0"/>
          <w:numId w:val="88"/>
        </w:numPr>
        <w:tabs>
          <w:tab w:val="left" w:pos="1828"/>
        </w:tabs>
        <w:spacing w:line="273" w:lineRule="auto"/>
        <w:ind w:right="123" w:firstLine="0"/>
        <w:rPr>
          <w:rFonts w:ascii="Times New Roman" w:hAnsi="Times New Roman" w:cs="Times New Roman"/>
          <w:i w:val="0"/>
          <w:szCs w:val="22"/>
        </w:rPr>
      </w:pPr>
      <w:r w:rsidRPr="00C32187">
        <w:rPr>
          <w:rFonts w:ascii="Times New Roman" w:hAnsi="Times New Roman" w:cs="Times New Roman"/>
          <w:i w:val="0"/>
          <w:szCs w:val="22"/>
        </w:rPr>
        <w:t>Within the second tariff application period, distribution licensees are re-analyzed in accordance with Articles 3 and 9.</w:t>
      </w:r>
    </w:p>
    <w:p w14:paraId="182FE1E5" w14:textId="77777777" w:rsidR="004C0A79" w:rsidRPr="00731F8E" w:rsidRDefault="004C0A79" w:rsidP="004C0A79">
      <w:pPr>
        <w:pStyle w:val="GvdeMetni"/>
        <w:spacing w:before="27"/>
        <w:rPr>
          <w:rFonts w:cs="Times New Roman"/>
          <w:szCs w:val="22"/>
        </w:rPr>
      </w:pPr>
    </w:p>
    <w:p w14:paraId="7FF9CBA1" w14:textId="77777777" w:rsidR="004C0A79" w:rsidRPr="00731F8E" w:rsidRDefault="004C0A79" w:rsidP="00A86526">
      <w:pPr>
        <w:pStyle w:val="ListeParagraf"/>
        <w:widowControl w:val="0"/>
        <w:numPr>
          <w:ilvl w:val="0"/>
          <w:numId w:val="87"/>
        </w:numPr>
        <w:tabs>
          <w:tab w:val="left" w:pos="826"/>
        </w:tabs>
        <w:autoSpaceDE w:val="0"/>
        <w:autoSpaceDN w:val="0"/>
        <w:spacing w:after="0" w:line="240" w:lineRule="auto"/>
        <w:ind w:right="124"/>
        <w:contextualSpacing w:val="0"/>
        <w:rPr>
          <w:rFonts w:ascii="Times New Roman" w:hAnsi="Times New Roman"/>
        </w:rPr>
      </w:pPr>
      <w:r w:rsidRPr="00731F8E">
        <w:rPr>
          <w:rFonts w:ascii="Times New Roman" w:hAnsi="Times New Roman"/>
        </w:rPr>
        <w:t>With the Board Decision dated 27.10.2022 and numbered 11335 published in the Official Gazette dated 30.10.2022 and numbered 31998, the following Decision was taken regarding the limit of becoming an eligible consumer to be applied in the natural gas market throughout 2023.</w:t>
      </w:r>
    </w:p>
    <w:p w14:paraId="2D05DD98" w14:textId="77777777" w:rsidR="004C0A79" w:rsidRPr="00C32187" w:rsidRDefault="004C0A79" w:rsidP="004C0A79">
      <w:pPr>
        <w:pStyle w:val="GvdeMetni"/>
        <w:spacing w:before="267" w:line="276" w:lineRule="auto"/>
        <w:ind w:left="1608" w:right="119"/>
        <w:rPr>
          <w:rFonts w:cs="Times New Roman"/>
          <w:sz w:val="22"/>
          <w:szCs w:val="22"/>
        </w:rPr>
      </w:pPr>
      <w:r w:rsidRPr="00C32187">
        <w:rPr>
          <w:rFonts w:cs="Times New Roman"/>
          <w:sz w:val="22"/>
          <w:szCs w:val="22"/>
        </w:rPr>
        <w:t>Regarding the limit of being an eligible consumer in the natural gas market, the Board Decision dated 18/12/2014 and numbered 5362, which was taken to be applied throughout 2015 and published in the Official Gazette dated 26/12/2014 and numbered 29217, continues to be applied exactly throughout 2023.</w:t>
      </w:r>
    </w:p>
    <w:p w14:paraId="5512DEAB" w14:textId="77777777" w:rsidR="004C0A79" w:rsidRPr="00731F8E" w:rsidRDefault="004C0A79" w:rsidP="004C0A79">
      <w:pPr>
        <w:pStyle w:val="GvdeMetni"/>
        <w:spacing w:before="22"/>
        <w:rPr>
          <w:rFonts w:cs="Times New Roman"/>
          <w:szCs w:val="22"/>
        </w:rPr>
      </w:pPr>
    </w:p>
    <w:p w14:paraId="4FF526C7" w14:textId="77777777" w:rsidR="004C0A79" w:rsidRPr="00C32187" w:rsidRDefault="004C0A79" w:rsidP="004C0A79">
      <w:pPr>
        <w:pStyle w:val="GvdeMetni"/>
        <w:spacing w:before="60"/>
        <w:ind w:left="567"/>
        <w:rPr>
          <w:rFonts w:cs="Times New Roman"/>
          <w:sz w:val="22"/>
          <w:szCs w:val="22"/>
        </w:rPr>
      </w:pPr>
      <w:r w:rsidRPr="00731F8E">
        <w:rPr>
          <w:rFonts w:cs="Times New Roman"/>
          <w:i/>
          <w:szCs w:val="22"/>
        </w:rPr>
        <w:lastRenderedPageBreak/>
        <w:t xml:space="preserve">•  </w:t>
      </w:r>
      <w:r w:rsidRPr="00C32187">
        <w:rPr>
          <w:rFonts w:cs="Times New Roman"/>
          <w:sz w:val="22"/>
          <w:szCs w:val="22"/>
        </w:rPr>
        <w:t xml:space="preserve">With the Board Decision dated 17.11.2022 and numbered 11394 published in the Official Gazette dated 19.11.2022 and numbered 32018, the following clause (15) has been added to the the first paragraph of the 4th article of </w:t>
      </w:r>
      <w:r w:rsidRPr="00C32187">
        <w:rPr>
          <w:rFonts w:cs="Times New Roman"/>
          <w:b/>
          <w:sz w:val="22"/>
          <w:szCs w:val="22"/>
        </w:rPr>
        <w:t>the Procedures and Principles Regarding the Supply of the Natural Gas Distribution Network with Liquefied Natural Gas (LNG) or Compressed Natural Gas (CNG).</w:t>
      </w:r>
    </w:p>
    <w:p w14:paraId="0ADD8646" w14:textId="77777777" w:rsidR="004C0A79" w:rsidRPr="00731F8E" w:rsidRDefault="004C0A79" w:rsidP="004C0A79">
      <w:pPr>
        <w:pStyle w:val="GvdeMetni"/>
        <w:spacing w:before="60"/>
        <w:rPr>
          <w:rFonts w:cs="Times New Roman"/>
          <w:i/>
          <w:szCs w:val="22"/>
        </w:rPr>
      </w:pPr>
    </w:p>
    <w:p w14:paraId="6F74E712" w14:textId="77777777" w:rsidR="004C0A79" w:rsidRPr="00C32187" w:rsidRDefault="004C0A79" w:rsidP="004C0A79">
      <w:pPr>
        <w:pStyle w:val="GvdeMetni"/>
        <w:spacing w:line="276" w:lineRule="auto"/>
        <w:ind w:left="1609" w:right="121"/>
        <w:rPr>
          <w:rFonts w:cs="Times New Roman"/>
          <w:sz w:val="22"/>
          <w:szCs w:val="22"/>
        </w:rPr>
      </w:pPr>
      <w:r w:rsidRPr="00C32187">
        <w:rPr>
          <w:rFonts w:cs="Times New Roman"/>
          <w:sz w:val="22"/>
          <w:szCs w:val="22"/>
        </w:rPr>
        <w:t>“15) Emergency or force majeure: Situations where the natural gas supply is interrupted or the possibility of interruption strongly arises due to an unexpected event or situation that needs to be intervened immediately,”</w:t>
      </w:r>
    </w:p>
    <w:p w14:paraId="72D18DDB" w14:textId="77777777" w:rsidR="004C0A79" w:rsidRPr="00C32187" w:rsidRDefault="004C0A79" w:rsidP="004C0A79">
      <w:pPr>
        <w:pStyle w:val="GvdeMetni"/>
        <w:spacing w:before="40"/>
        <w:rPr>
          <w:rFonts w:cs="Times New Roman"/>
          <w:sz w:val="22"/>
          <w:szCs w:val="22"/>
        </w:rPr>
      </w:pPr>
    </w:p>
    <w:p w14:paraId="6C3BEF2F" w14:textId="77777777" w:rsidR="004C0A79" w:rsidRPr="00C32187" w:rsidRDefault="004C0A79" w:rsidP="00A86526">
      <w:pPr>
        <w:pStyle w:val="ListeParagraf"/>
        <w:widowControl w:val="0"/>
        <w:numPr>
          <w:ilvl w:val="1"/>
          <w:numId w:val="87"/>
        </w:numPr>
        <w:tabs>
          <w:tab w:val="left" w:pos="1609"/>
        </w:tabs>
        <w:autoSpaceDE w:val="0"/>
        <w:autoSpaceDN w:val="0"/>
        <w:spacing w:after="0" w:line="259" w:lineRule="auto"/>
        <w:ind w:right="122"/>
        <w:contextualSpacing w:val="0"/>
        <w:jc w:val="left"/>
        <w:rPr>
          <w:rFonts w:ascii="Times New Roman" w:hAnsi="Times New Roman"/>
        </w:rPr>
      </w:pPr>
      <w:r w:rsidRPr="00C32187">
        <w:rPr>
          <w:rFonts w:ascii="Times New Roman" w:hAnsi="Times New Roman"/>
        </w:rPr>
        <w:t>The fourth, fifth and seventh paragraphs of Article 5 have been amended as follows and the tenth paragraph below has been added to the same article.</w:t>
      </w:r>
    </w:p>
    <w:p w14:paraId="5253DC2E" w14:textId="77777777" w:rsidR="004C0A79" w:rsidRPr="00731F8E" w:rsidRDefault="004C0A79" w:rsidP="004C0A79">
      <w:pPr>
        <w:pStyle w:val="GvdeMetni"/>
        <w:spacing w:before="39"/>
        <w:rPr>
          <w:rFonts w:cs="Times New Roman"/>
          <w:i/>
          <w:szCs w:val="22"/>
        </w:rPr>
      </w:pPr>
    </w:p>
    <w:p w14:paraId="76329F28" w14:textId="77777777" w:rsidR="004C0A79" w:rsidRPr="00C32187" w:rsidRDefault="004C0A79" w:rsidP="004C0A79">
      <w:pPr>
        <w:pStyle w:val="GvdeMetni"/>
        <w:spacing w:line="276" w:lineRule="auto"/>
        <w:ind w:left="1609" w:right="117"/>
        <w:rPr>
          <w:rFonts w:cs="Times New Roman"/>
          <w:sz w:val="22"/>
          <w:szCs w:val="22"/>
        </w:rPr>
      </w:pPr>
      <w:r w:rsidRPr="00C32187">
        <w:rPr>
          <w:rFonts w:cs="Times New Roman"/>
          <w:sz w:val="22"/>
          <w:szCs w:val="22"/>
        </w:rPr>
        <w:t>"(4) In the event that the natural gas supply is interrupted or will be interrupted due to emergencies or force majeure, the distribution network may be fed with CNG and/or LNG for the continuation of the supply continuity and provided that it is limited to the duration of the emergency or force majeure. However, reserve CNG and/or LNG can be procured as a precaution before possible disruption of gas supply. In these cases, CNG and/or LNG are procured from licensees authorized by the Authority for these activities. These license holders are obliged to meet the demands of the distribution companies within their capacities in case of emergency or force majeure.</w:t>
      </w:r>
    </w:p>
    <w:p w14:paraId="0F10C88E" w14:textId="77777777" w:rsidR="004C0A79" w:rsidRPr="00C32187" w:rsidRDefault="004C0A79" w:rsidP="004C0A79">
      <w:pPr>
        <w:pStyle w:val="GvdeMetni"/>
        <w:spacing w:before="39" w:line="276" w:lineRule="auto"/>
        <w:ind w:left="1608" w:right="120"/>
        <w:rPr>
          <w:rFonts w:cs="Times New Roman"/>
          <w:sz w:val="22"/>
          <w:szCs w:val="22"/>
        </w:rPr>
      </w:pPr>
      <w:r w:rsidRPr="00C32187">
        <w:rPr>
          <w:rFonts w:cs="Times New Roman"/>
          <w:sz w:val="22"/>
          <w:szCs w:val="22"/>
        </w:rPr>
        <w:t>When the distribution region is fed with CNG and/or LNG and the emergency or force majeure situation is eliminated, detailed information is provided to the e-mail address notified to the distribution companies by the Authority within twenty-four hours at the latest and to the Authority in writing within one week."</w:t>
      </w:r>
    </w:p>
    <w:p w14:paraId="11EAAF5A" w14:textId="77777777" w:rsidR="004C0A79" w:rsidRPr="00C32187" w:rsidRDefault="004C0A79" w:rsidP="004C0A79">
      <w:pPr>
        <w:pStyle w:val="GvdeMetni"/>
        <w:spacing w:before="40"/>
        <w:rPr>
          <w:rFonts w:cs="Times New Roman"/>
          <w:sz w:val="22"/>
          <w:szCs w:val="22"/>
        </w:rPr>
      </w:pPr>
    </w:p>
    <w:p w14:paraId="7355D946" w14:textId="77777777" w:rsidR="004C0A79" w:rsidRPr="00C32187" w:rsidRDefault="004C0A79" w:rsidP="004C0A79">
      <w:pPr>
        <w:pStyle w:val="GvdeMetni"/>
        <w:spacing w:line="276" w:lineRule="auto"/>
        <w:ind w:left="1608" w:right="120"/>
        <w:rPr>
          <w:rFonts w:cs="Times New Roman"/>
          <w:sz w:val="22"/>
          <w:szCs w:val="22"/>
        </w:rPr>
      </w:pPr>
      <w:r w:rsidRPr="00C32187">
        <w:rPr>
          <w:rFonts w:cs="Times New Roman"/>
          <w:sz w:val="22"/>
          <w:szCs w:val="22"/>
        </w:rPr>
        <w:t>"(5) All or part of the activities within the scope of the third paragraph of this article until the delivery of CNG and/or LNG to the distribution network can be carried out through service procurement."</w:t>
      </w:r>
    </w:p>
    <w:p w14:paraId="3F7D3A81" w14:textId="77777777" w:rsidR="004C0A79" w:rsidRPr="00C32187" w:rsidRDefault="004C0A79" w:rsidP="004C0A79">
      <w:pPr>
        <w:pStyle w:val="GvdeMetni"/>
        <w:spacing w:before="40"/>
        <w:rPr>
          <w:rFonts w:cs="Times New Roman"/>
          <w:sz w:val="22"/>
          <w:szCs w:val="22"/>
        </w:rPr>
      </w:pPr>
    </w:p>
    <w:p w14:paraId="423A4C3E" w14:textId="77777777" w:rsidR="004C0A79" w:rsidRPr="00C32187" w:rsidRDefault="004C0A79" w:rsidP="004C0A79">
      <w:pPr>
        <w:pStyle w:val="GvdeMetni"/>
        <w:spacing w:line="276" w:lineRule="auto"/>
        <w:ind w:left="1608" w:right="119"/>
        <w:rPr>
          <w:rFonts w:cs="Times New Roman"/>
          <w:sz w:val="22"/>
          <w:szCs w:val="22"/>
        </w:rPr>
      </w:pPr>
      <w:r w:rsidRPr="00C32187">
        <w:rPr>
          <w:rFonts w:cs="Times New Roman"/>
          <w:sz w:val="22"/>
          <w:szCs w:val="22"/>
        </w:rPr>
        <w:t>"(7) Distribution companies carry out natural gas supply programming, system balancing and ensure the security of natural gas supply of those who buy natural gas from them in order to fulfill the demands of users who receive natural gas from the local distribution network fed by CNG and/or LNG method and to ensure the reliability of the system. Except for force majeure, the responsibility for the delivery of CNG and/or LNG to the facilities operated by the distribution company is with the CNG and/or LNG company, and the responsibility after delivery is with the relevant distribution company. The rights and responsibilities of the parties regarding the delivery point and the facilities at the delivery point are specified in the specifications and contracts. "</w:t>
      </w:r>
    </w:p>
    <w:p w14:paraId="518BB725" w14:textId="77777777" w:rsidR="004C0A79" w:rsidRPr="00C32187" w:rsidRDefault="004C0A79" w:rsidP="004C0A79">
      <w:pPr>
        <w:pStyle w:val="GvdeMetni"/>
        <w:spacing w:before="39"/>
        <w:rPr>
          <w:rFonts w:cs="Times New Roman"/>
          <w:sz w:val="22"/>
          <w:szCs w:val="22"/>
        </w:rPr>
      </w:pPr>
    </w:p>
    <w:p w14:paraId="77FDF15C" w14:textId="77777777" w:rsidR="004C0A79" w:rsidRPr="00C32187" w:rsidRDefault="004C0A79" w:rsidP="004C0A79">
      <w:pPr>
        <w:pStyle w:val="GvdeMetni"/>
        <w:spacing w:line="276" w:lineRule="auto"/>
        <w:ind w:left="1608" w:right="120"/>
        <w:rPr>
          <w:rFonts w:cs="Times New Roman"/>
          <w:sz w:val="22"/>
          <w:szCs w:val="22"/>
        </w:rPr>
      </w:pPr>
      <w:r w:rsidRPr="00C32187">
        <w:rPr>
          <w:rFonts w:cs="Times New Roman"/>
          <w:sz w:val="22"/>
          <w:szCs w:val="22"/>
        </w:rPr>
        <w:t>"(10) The distribution company is obliged to submit the document approved by the authorities of the distribution company showing the monthly CNG/LNG amount it supplies to the legal person holding the CNG and/or LNG license on a monthly basis to be forwarded to the licensee, which is the supplier of the CNG and/or LNG company."</w:t>
      </w:r>
    </w:p>
    <w:p w14:paraId="64215E57" w14:textId="77777777" w:rsidR="004C0A79" w:rsidRPr="00731F8E" w:rsidRDefault="004C0A79" w:rsidP="004C0A79">
      <w:pPr>
        <w:pStyle w:val="GvdeMetni"/>
        <w:spacing w:before="41"/>
        <w:rPr>
          <w:rFonts w:cs="Times New Roman"/>
          <w:szCs w:val="22"/>
        </w:rPr>
      </w:pPr>
    </w:p>
    <w:p w14:paraId="6F2D1CA0" w14:textId="77777777" w:rsidR="004C0A79" w:rsidRPr="00731F8E" w:rsidRDefault="004C0A79" w:rsidP="00A86526">
      <w:pPr>
        <w:pStyle w:val="ListeParagraf"/>
        <w:widowControl w:val="0"/>
        <w:numPr>
          <w:ilvl w:val="1"/>
          <w:numId w:val="87"/>
        </w:numPr>
        <w:tabs>
          <w:tab w:val="left" w:pos="1608"/>
        </w:tabs>
        <w:autoSpaceDE w:val="0"/>
        <w:autoSpaceDN w:val="0"/>
        <w:spacing w:after="0" w:line="259" w:lineRule="auto"/>
        <w:ind w:left="1608" w:right="119"/>
        <w:contextualSpacing w:val="0"/>
        <w:rPr>
          <w:rFonts w:ascii="Times New Roman" w:hAnsi="Times New Roman"/>
        </w:rPr>
      </w:pPr>
      <w:r w:rsidRPr="00731F8E">
        <w:rPr>
          <w:rFonts w:ascii="Times New Roman" w:hAnsi="Times New Roman"/>
        </w:rPr>
        <w:t>The second, fourth, fifth, sixth, seventh and twelfth paragraphs of Article 6 have been amended as follows and the following seventeenth, eighteenth, nineteenth, twentieth, twenty-first and twenty-second paragraphs have been added to the same article.</w:t>
      </w:r>
    </w:p>
    <w:p w14:paraId="30B00AFB" w14:textId="77777777" w:rsidR="004C0A79" w:rsidRPr="00731F8E" w:rsidRDefault="004C0A79" w:rsidP="004C0A79">
      <w:pPr>
        <w:pStyle w:val="GvdeMetni"/>
        <w:spacing w:before="37"/>
        <w:rPr>
          <w:rFonts w:cs="Times New Roman"/>
          <w:i/>
          <w:szCs w:val="22"/>
        </w:rPr>
      </w:pPr>
    </w:p>
    <w:p w14:paraId="6CA2058A" w14:textId="77777777" w:rsidR="004C0A79" w:rsidRPr="00C32187" w:rsidRDefault="004C0A79" w:rsidP="004C0A79">
      <w:pPr>
        <w:pStyle w:val="GvdeMetni"/>
        <w:spacing w:line="276" w:lineRule="auto"/>
        <w:ind w:left="1608" w:right="119"/>
        <w:rPr>
          <w:rFonts w:cs="Times New Roman"/>
          <w:sz w:val="22"/>
          <w:szCs w:val="22"/>
        </w:rPr>
      </w:pPr>
      <w:r w:rsidRPr="00C32187">
        <w:rPr>
          <w:rFonts w:cs="Times New Roman"/>
          <w:sz w:val="22"/>
          <w:szCs w:val="22"/>
        </w:rPr>
        <w:t xml:space="preserve">"(2) CNG and/or LNG purchases and service purchases to be made by distribution companies </w:t>
      </w:r>
      <w:r w:rsidRPr="00C32187">
        <w:rPr>
          <w:rFonts w:cs="Times New Roman"/>
          <w:sz w:val="22"/>
          <w:szCs w:val="22"/>
        </w:rPr>
        <w:lastRenderedPageBreak/>
        <w:t>within the scope of Article 5 shall be made by open tender method. The procurement period, monthly and total purchase amounts and CNG and/or LNG delivery points are specified in the tender announcement for a maximum of 5 (five) years. The tender shall be announced at least 3 months in advance on the main page of the distribution company website and through the Press Announcement Agency. However, if the distribution company applies to the Authority and the reasons are approved by the Authority, this period can be reduced to 15 days. It is ensured that the announcement to be made through the Press Announcement Agency is announced nationwide. Participation in the tender cannot be prevented. Bids are received in a sealed envelope. Tenders can be made on the basis of the distribution region or separately for the cities in the same distribution region. "</w:t>
      </w:r>
    </w:p>
    <w:p w14:paraId="1EBB6E7B" w14:textId="77777777" w:rsidR="004C0A79" w:rsidRPr="00C32187" w:rsidRDefault="004C0A79" w:rsidP="004C0A79">
      <w:pPr>
        <w:pStyle w:val="GvdeMetni"/>
        <w:spacing w:before="40"/>
        <w:rPr>
          <w:rFonts w:cs="Times New Roman"/>
          <w:sz w:val="22"/>
          <w:szCs w:val="22"/>
        </w:rPr>
      </w:pPr>
    </w:p>
    <w:p w14:paraId="178A152A" w14:textId="77777777" w:rsidR="004C0A79" w:rsidRPr="00C32187" w:rsidRDefault="004C0A79" w:rsidP="004C0A79">
      <w:pPr>
        <w:pStyle w:val="GvdeMetni"/>
        <w:spacing w:line="276" w:lineRule="auto"/>
        <w:ind w:left="1608" w:right="119"/>
        <w:rPr>
          <w:rFonts w:cs="Times New Roman"/>
          <w:sz w:val="22"/>
          <w:szCs w:val="22"/>
        </w:rPr>
      </w:pPr>
      <w:r w:rsidRPr="00C32187">
        <w:rPr>
          <w:rFonts w:cs="Times New Roman"/>
          <w:sz w:val="22"/>
          <w:szCs w:val="22"/>
        </w:rPr>
        <w:t>"(4) Tender announcements and press agency announcement numbers and copies of announcements, technical specifications and administrative specifications, if any, tender evaluation documents, tender decisions, contract draft and all similar information and documents are kept in the tender file."</w:t>
      </w:r>
    </w:p>
    <w:p w14:paraId="275AB3BE" w14:textId="77777777" w:rsidR="004C0A79" w:rsidRPr="00C32187" w:rsidRDefault="004C0A79" w:rsidP="004C0A79">
      <w:pPr>
        <w:pStyle w:val="GvdeMetni"/>
        <w:spacing w:before="41"/>
        <w:rPr>
          <w:rFonts w:cs="Times New Roman"/>
          <w:sz w:val="22"/>
          <w:szCs w:val="22"/>
        </w:rPr>
      </w:pPr>
    </w:p>
    <w:p w14:paraId="5DAE3E70" w14:textId="77777777" w:rsidR="004C0A79" w:rsidRPr="00C32187" w:rsidRDefault="004C0A79" w:rsidP="004C0A79">
      <w:pPr>
        <w:pStyle w:val="GvdeMetni"/>
        <w:spacing w:line="276" w:lineRule="auto"/>
        <w:ind w:left="1608" w:right="122"/>
        <w:rPr>
          <w:rFonts w:cs="Times New Roman"/>
          <w:sz w:val="22"/>
          <w:szCs w:val="22"/>
        </w:rPr>
      </w:pPr>
      <w:r w:rsidRPr="00C32187">
        <w:rPr>
          <w:rFonts w:cs="Times New Roman"/>
          <w:sz w:val="22"/>
          <w:szCs w:val="22"/>
        </w:rPr>
        <w:t>"(5) The technical conditions for the purchase of CNG and/or LNG and the procurement of services for the supply of the distribution network with CNG and/or LNG are determined in the technical specifications prepared in accordance with national or international standards and approved by the control company of the distribution company. The procedure regarding how the technical specifications and the administrative specifications, if any, will be provided by the bidders is stated in the tender announcement.</w:t>
      </w:r>
    </w:p>
    <w:p w14:paraId="009E344B" w14:textId="77777777" w:rsidR="004C0A79" w:rsidRPr="00C32187" w:rsidRDefault="004C0A79" w:rsidP="004C0A79">
      <w:pPr>
        <w:pStyle w:val="GvdeMetni"/>
        <w:spacing w:before="39" w:line="276" w:lineRule="auto"/>
        <w:ind w:left="1608" w:right="120"/>
        <w:rPr>
          <w:rFonts w:cs="Times New Roman"/>
          <w:sz w:val="22"/>
          <w:szCs w:val="22"/>
        </w:rPr>
      </w:pPr>
      <w:r w:rsidRPr="00C32187">
        <w:rPr>
          <w:rFonts w:cs="Times New Roman"/>
          <w:sz w:val="22"/>
          <w:szCs w:val="22"/>
        </w:rPr>
        <w:t>The specifications shall be given to the bidders free of charge and shall be delivered electronically. In addition, on the date of publication of the tender announcement through the Press Announcement Agency, the technical and administrative specifications shall be published on the main page of the website of the distribution company."</w:t>
      </w:r>
    </w:p>
    <w:p w14:paraId="5048E069" w14:textId="77777777" w:rsidR="004C0A79" w:rsidRPr="00C32187" w:rsidRDefault="004C0A79" w:rsidP="004C0A79">
      <w:pPr>
        <w:pStyle w:val="GvdeMetni"/>
        <w:spacing w:before="39"/>
        <w:rPr>
          <w:rFonts w:cs="Times New Roman"/>
          <w:sz w:val="22"/>
          <w:szCs w:val="22"/>
        </w:rPr>
      </w:pPr>
    </w:p>
    <w:p w14:paraId="16D5FAB5" w14:textId="77777777" w:rsidR="004C0A79" w:rsidRPr="00C32187" w:rsidRDefault="004C0A79" w:rsidP="004C0A79">
      <w:pPr>
        <w:pStyle w:val="GvdeMetni"/>
        <w:spacing w:line="276" w:lineRule="auto"/>
        <w:ind w:left="1608" w:right="117"/>
        <w:rPr>
          <w:rFonts w:cs="Times New Roman"/>
          <w:sz w:val="22"/>
          <w:szCs w:val="22"/>
        </w:rPr>
      </w:pPr>
      <w:r w:rsidRPr="00C32187">
        <w:rPr>
          <w:rFonts w:cs="Times New Roman"/>
          <w:sz w:val="22"/>
          <w:szCs w:val="22"/>
        </w:rPr>
        <w:t>"(6) Companies that do not have any license in force for the relevant activity, companies that have a direct and/or indirect partnership or control relationship with the distribution license holder legal entity operating in the announced distribution region and companies determined as prohibited by other public institutions and organizations cannot participate in the tenders to be made by distribution companies. Additional criteria regarding the participating companies may be introduced by the distribution companies by observing the principles specified in the first paragraph. These criteria are specified in the specifications. However, these criteria cannot prevent competition and restrictions cannot be placed on the city in which the facilities of the companies participating in the tender should be located or the type of license. In addition, penal clauses and/or compensation provisions may be imposed by the distribution company for the provision of supply security, provided that they are also specified in the specification, in line with the purposes of the seventh paragraph of Article 5."</w:t>
      </w:r>
    </w:p>
    <w:p w14:paraId="29FFB989" w14:textId="77777777" w:rsidR="004C0A79" w:rsidRPr="00C32187" w:rsidRDefault="004C0A79" w:rsidP="004C0A79">
      <w:pPr>
        <w:pStyle w:val="GvdeMetni"/>
        <w:spacing w:line="276" w:lineRule="auto"/>
        <w:ind w:left="1608" w:right="119"/>
        <w:rPr>
          <w:rFonts w:cs="Times New Roman"/>
          <w:sz w:val="22"/>
          <w:szCs w:val="22"/>
        </w:rPr>
      </w:pPr>
      <w:r w:rsidRPr="00C32187">
        <w:rPr>
          <w:rFonts w:cs="Times New Roman"/>
          <w:sz w:val="22"/>
          <w:szCs w:val="22"/>
        </w:rPr>
        <w:t>"(7) Bids are opened in front of the participants at the time and place specified in the tender announcement and the bids are recorded in the minutes. Bids shall not be opened until the time specified in the tender notice. Opening bids and auction processes are recorded on camera to be submitted to the Authority upon request. "</w:t>
      </w:r>
    </w:p>
    <w:p w14:paraId="527D970F" w14:textId="77777777" w:rsidR="004C0A79" w:rsidRPr="00C32187" w:rsidRDefault="004C0A79" w:rsidP="004C0A79">
      <w:pPr>
        <w:pStyle w:val="GvdeMetni"/>
        <w:spacing w:before="39"/>
        <w:rPr>
          <w:rFonts w:cs="Times New Roman"/>
          <w:sz w:val="22"/>
          <w:szCs w:val="22"/>
        </w:rPr>
      </w:pPr>
    </w:p>
    <w:p w14:paraId="3718EF92" w14:textId="77777777" w:rsidR="004C0A79" w:rsidRPr="00C32187" w:rsidRDefault="004C0A79" w:rsidP="004C0A79">
      <w:pPr>
        <w:pStyle w:val="GvdeMetni"/>
        <w:spacing w:line="276" w:lineRule="auto"/>
        <w:ind w:left="1608" w:right="117"/>
        <w:rPr>
          <w:rFonts w:cs="Times New Roman"/>
          <w:sz w:val="22"/>
          <w:szCs w:val="22"/>
        </w:rPr>
      </w:pPr>
      <w:r w:rsidRPr="00C32187">
        <w:rPr>
          <w:rFonts w:cs="Times New Roman"/>
          <w:sz w:val="22"/>
          <w:szCs w:val="22"/>
        </w:rPr>
        <w:t xml:space="preserve">"(12) In the event of unforeseen delays during the construction of the pipeline, CNG and/or LNG, which have been started to be produced in order to deliver natural gas to any city, can be purchased provided that permission is obtained directly from the Authority, limited to a </w:t>
      </w:r>
      <w:r w:rsidRPr="00C32187">
        <w:rPr>
          <w:rFonts w:cs="Times New Roman"/>
          <w:sz w:val="22"/>
          <w:szCs w:val="22"/>
        </w:rPr>
        <w:lastRenderedPageBreak/>
        <w:t>maximum of six months. In the event of a delay that is understood to last longer than six months within the said six-month direct purchase period, the distribution company may request an additional period of up to six months from the Authority. This request shall be decided by the Board. In any case, the direct supply period shall not exceed one year. Open tender method is applied for delays that are understood to last more than one year."</w:t>
      </w:r>
    </w:p>
    <w:p w14:paraId="52AB74B4" w14:textId="77777777" w:rsidR="004C0A79" w:rsidRPr="00C32187" w:rsidRDefault="004C0A79" w:rsidP="004C0A79">
      <w:pPr>
        <w:pStyle w:val="GvdeMetni"/>
        <w:spacing w:before="42"/>
        <w:rPr>
          <w:rFonts w:cs="Times New Roman"/>
          <w:sz w:val="22"/>
          <w:szCs w:val="22"/>
        </w:rPr>
      </w:pPr>
    </w:p>
    <w:p w14:paraId="16A8EDDE" w14:textId="77777777" w:rsidR="004C0A79" w:rsidRPr="00C32187" w:rsidRDefault="004C0A79" w:rsidP="004C0A79">
      <w:pPr>
        <w:pStyle w:val="GvdeMetni"/>
        <w:spacing w:line="276" w:lineRule="auto"/>
        <w:ind w:left="1608" w:right="120"/>
        <w:rPr>
          <w:rFonts w:cs="Times New Roman"/>
          <w:sz w:val="22"/>
          <w:szCs w:val="22"/>
        </w:rPr>
      </w:pPr>
      <w:r w:rsidRPr="00C32187">
        <w:rPr>
          <w:rFonts w:cs="Times New Roman"/>
          <w:sz w:val="22"/>
          <w:szCs w:val="22"/>
        </w:rPr>
        <w:t>"(17) In the event that the total amount of CNG and/or LNG specified in the procurement tender cannot be consumed within the procurement process specified in the procurement tender; the total amount of CNG and/or LNG specified in the procurement tender can be continued to be supplied for a maximum of 1 year if the parties agree, provided that there is a provision in the contract and the price determined in the tender is not exceeded."</w:t>
      </w:r>
    </w:p>
    <w:p w14:paraId="69BA1445" w14:textId="77777777" w:rsidR="004C0A79" w:rsidRPr="00C32187" w:rsidRDefault="004C0A79" w:rsidP="004C0A79">
      <w:pPr>
        <w:pStyle w:val="GvdeMetni"/>
        <w:spacing w:before="40"/>
        <w:rPr>
          <w:rFonts w:cs="Times New Roman"/>
          <w:sz w:val="22"/>
          <w:szCs w:val="22"/>
        </w:rPr>
      </w:pPr>
    </w:p>
    <w:p w14:paraId="22A884DE" w14:textId="77777777" w:rsidR="004C0A79" w:rsidRPr="00C32187" w:rsidRDefault="004C0A79" w:rsidP="004C0A79">
      <w:pPr>
        <w:pStyle w:val="GvdeMetni"/>
        <w:spacing w:line="276" w:lineRule="auto"/>
        <w:ind w:left="1608" w:right="118"/>
        <w:rPr>
          <w:rFonts w:cs="Times New Roman"/>
          <w:sz w:val="22"/>
          <w:szCs w:val="22"/>
        </w:rPr>
      </w:pPr>
      <w:r w:rsidRPr="00C32187">
        <w:rPr>
          <w:rFonts w:cs="Times New Roman"/>
          <w:sz w:val="22"/>
          <w:szCs w:val="22"/>
        </w:rPr>
        <w:t>"(18) In the event that the total amount of CNG and/or LNG specified in the procurement tender is consumed before the total period specified in the procurement tender; a new tender may be held by the distribution company, or the purchase of CNG and/or LNG from the same company may be continued, provided that there is a provision in the contract and does not exceed the price determined in the tender, until the procurement period specified in the procurement tender is completed. This period cannot exceed 6 months. "</w:t>
      </w:r>
    </w:p>
    <w:p w14:paraId="35FDFE68" w14:textId="77777777" w:rsidR="004C0A79" w:rsidRPr="00C32187" w:rsidRDefault="004C0A79" w:rsidP="004C0A79">
      <w:pPr>
        <w:pStyle w:val="GvdeMetni"/>
        <w:spacing w:before="38"/>
        <w:rPr>
          <w:rFonts w:cs="Times New Roman"/>
          <w:sz w:val="22"/>
          <w:szCs w:val="22"/>
        </w:rPr>
      </w:pPr>
    </w:p>
    <w:p w14:paraId="6C15B9BD" w14:textId="77777777" w:rsidR="004C0A79" w:rsidRPr="00C32187" w:rsidRDefault="004C0A79" w:rsidP="004C0A79">
      <w:pPr>
        <w:pStyle w:val="GvdeMetni"/>
        <w:spacing w:line="276" w:lineRule="auto"/>
        <w:ind w:left="1608" w:right="118"/>
        <w:rPr>
          <w:rFonts w:cs="Times New Roman"/>
          <w:sz w:val="22"/>
          <w:szCs w:val="22"/>
        </w:rPr>
      </w:pPr>
      <w:r w:rsidRPr="00C32187">
        <w:rPr>
          <w:rFonts w:cs="Times New Roman"/>
          <w:sz w:val="22"/>
          <w:szCs w:val="22"/>
        </w:rPr>
        <w:t>“(19) In cases where both the duration and quantity of the current procurement tender expire and it is understood that the preparation stages for the new procurement tender will not be completed, purchases can be made from the same supplier under the conditions of the current procurement tender, for a period not exceeding 6 months and with the agreement of the parties.</w:t>
      </w:r>
    </w:p>
    <w:p w14:paraId="18837F53" w14:textId="77777777" w:rsidR="004C0A79" w:rsidRPr="00C32187" w:rsidRDefault="004C0A79" w:rsidP="004C0A79">
      <w:pPr>
        <w:pStyle w:val="GvdeMetni"/>
        <w:spacing w:before="39" w:line="276" w:lineRule="auto"/>
        <w:ind w:left="1608" w:right="123"/>
        <w:rPr>
          <w:rFonts w:cs="Times New Roman"/>
          <w:sz w:val="22"/>
          <w:szCs w:val="22"/>
        </w:rPr>
      </w:pPr>
      <w:r w:rsidRPr="00C32187">
        <w:rPr>
          <w:rFonts w:cs="Times New Roman"/>
          <w:sz w:val="22"/>
          <w:szCs w:val="22"/>
        </w:rPr>
        <w:t>In this case, a new procurement tender shall be announced within 3 months at the latest from the end of the current tender period."</w:t>
      </w:r>
    </w:p>
    <w:p w14:paraId="07B849C7" w14:textId="77777777" w:rsidR="004C0A79" w:rsidRPr="00C32187" w:rsidRDefault="004C0A79" w:rsidP="004C0A79">
      <w:pPr>
        <w:pStyle w:val="GvdeMetni"/>
        <w:spacing w:before="40"/>
        <w:rPr>
          <w:rFonts w:cs="Times New Roman"/>
          <w:sz w:val="22"/>
          <w:szCs w:val="22"/>
        </w:rPr>
      </w:pPr>
    </w:p>
    <w:p w14:paraId="43F31ABB" w14:textId="77777777" w:rsidR="004C0A79" w:rsidRPr="00731F8E" w:rsidRDefault="004C0A79" w:rsidP="004C0A79">
      <w:pPr>
        <w:pStyle w:val="GvdeMetni"/>
        <w:spacing w:line="276" w:lineRule="auto"/>
        <w:ind w:left="1608" w:right="121"/>
        <w:rPr>
          <w:rFonts w:cs="Times New Roman"/>
          <w:szCs w:val="22"/>
        </w:rPr>
      </w:pPr>
      <w:r w:rsidRPr="00C32187">
        <w:rPr>
          <w:rFonts w:cs="Times New Roman"/>
          <w:sz w:val="22"/>
          <w:szCs w:val="22"/>
        </w:rPr>
        <w:t>“(20) In the event that the CNG and/or LNG procurement tender is requested to be made electronically, the distribution company shall</w:t>
      </w:r>
      <w:r w:rsidRPr="00731F8E">
        <w:rPr>
          <w:rFonts w:cs="Times New Roman"/>
          <w:szCs w:val="22"/>
        </w:rPr>
        <w:t>;</w:t>
      </w:r>
    </w:p>
    <w:p w14:paraId="60553DB1" w14:textId="77777777" w:rsidR="004C0A79" w:rsidRPr="00731F8E" w:rsidRDefault="004C0A79" w:rsidP="004C0A79">
      <w:pPr>
        <w:pStyle w:val="GvdeMetni"/>
        <w:spacing w:before="40"/>
        <w:rPr>
          <w:rFonts w:cs="Times New Roman"/>
          <w:szCs w:val="22"/>
        </w:rPr>
      </w:pPr>
    </w:p>
    <w:p w14:paraId="412C8D43" w14:textId="77777777" w:rsidR="004C0A79" w:rsidRPr="00C32187" w:rsidRDefault="004C0A79" w:rsidP="00A86526">
      <w:pPr>
        <w:pStyle w:val="P68B1DB1-ListParagraph3"/>
        <w:numPr>
          <w:ilvl w:val="0"/>
          <w:numId w:val="86"/>
        </w:numPr>
        <w:tabs>
          <w:tab w:val="left" w:pos="2425"/>
        </w:tabs>
        <w:spacing w:line="276" w:lineRule="auto"/>
        <w:ind w:right="118" w:firstLine="599"/>
        <w:rPr>
          <w:rFonts w:ascii="Times New Roman" w:hAnsi="Times New Roman" w:cs="Times New Roman"/>
          <w:i w:val="0"/>
          <w:szCs w:val="22"/>
        </w:rPr>
      </w:pPr>
      <w:r w:rsidRPr="00C32187">
        <w:rPr>
          <w:rFonts w:ascii="Times New Roman" w:hAnsi="Times New Roman" w:cs="Times New Roman"/>
          <w:i w:val="0"/>
          <w:szCs w:val="22"/>
        </w:rPr>
        <w:t>At least in the tender announcement; stating that the CNG and/or LNG procurement tender will be made electronically by video conference method, details of how the tender will be carried out and until which date and time the bids will be delivered to the distribution company with wet signature,</w:t>
      </w:r>
    </w:p>
    <w:p w14:paraId="653414A3" w14:textId="77777777" w:rsidR="004C0A79" w:rsidRPr="00C32187" w:rsidRDefault="004C0A79" w:rsidP="00A86526">
      <w:pPr>
        <w:pStyle w:val="P68B1DB1-ListParagraph3"/>
        <w:numPr>
          <w:ilvl w:val="0"/>
          <w:numId w:val="86"/>
        </w:numPr>
        <w:tabs>
          <w:tab w:val="left" w:pos="2429"/>
        </w:tabs>
        <w:spacing w:before="1" w:line="273" w:lineRule="auto"/>
        <w:ind w:left="1609" w:right="119" w:firstLine="599"/>
        <w:rPr>
          <w:rFonts w:ascii="Times New Roman" w:hAnsi="Times New Roman" w:cs="Times New Roman"/>
          <w:i w:val="0"/>
          <w:szCs w:val="22"/>
        </w:rPr>
      </w:pPr>
      <w:r w:rsidRPr="00C32187">
        <w:rPr>
          <w:rFonts w:ascii="Times New Roman" w:hAnsi="Times New Roman" w:cs="Times New Roman"/>
          <w:i w:val="0"/>
          <w:szCs w:val="22"/>
        </w:rPr>
        <w:t>Establishment of the infrastructure by the distribution company regarding the organization of the tender by video conferencing method on the determined date and time,</w:t>
      </w:r>
    </w:p>
    <w:p w14:paraId="1A088E21" w14:textId="77777777" w:rsidR="004C0A79" w:rsidRPr="00C32187" w:rsidRDefault="004C0A79" w:rsidP="00A86526">
      <w:pPr>
        <w:pStyle w:val="P68B1DB1-ListParagraph3"/>
        <w:numPr>
          <w:ilvl w:val="0"/>
          <w:numId w:val="86"/>
        </w:numPr>
        <w:tabs>
          <w:tab w:val="left" w:pos="2403"/>
        </w:tabs>
        <w:spacing w:before="4" w:line="276" w:lineRule="auto"/>
        <w:ind w:left="1609" w:right="122" w:firstLine="599"/>
        <w:rPr>
          <w:rFonts w:ascii="Times New Roman" w:hAnsi="Times New Roman" w:cs="Times New Roman"/>
          <w:i w:val="0"/>
          <w:szCs w:val="22"/>
        </w:rPr>
      </w:pPr>
      <w:r w:rsidRPr="00C32187">
        <w:rPr>
          <w:rFonts w:ascii="Times New Roman" w:hAnsi="Times New Roman" w:cs="Times New Roman"/>
          <w:i w:val="0"/>
          <w:szCs w:val="22"/>
        </w:rPr>
        <w:t>Confirmation of whether the company personnel who will bid by participating in the tender are authorized to represent and bind the relevant company,</w:t>
      </w:r>
    </w:p>
    <w:p w14:paraId="55414474" w14:textId="77777777" w:rsidR="004C0A79" w:rsidRPr="00C32187" w:rsidRDefault="004C0A79" w:rsidP="004C0A79">
      <w:pPr>
        <w:pStyle w:val="GvdeMetni"/>
        <w:spacing w:line="276" w:lineRule="auto"/>
        <w:ind w:left="1609" w:right="120" w:firstLine="599"/>
        <w:rPr>
          <w:rFonts w:cs="Times New Roman"/>
          <w:sz w:val="22"/>
          <w:szCs w:val="22"/>
        </w:rPr>
      </w:pPr>
      <w:r w:rsidRPr="00C32187">
        <w:rPr>
          <w:rFonts w:cs="Times New Roman"/>
          <w:sz w:val="22"/>
          <w:szCs w:val="22"/>
        </w:rPr>
        <w:t>ç) Providing the necessary information to the participants by taking into account the obligations arising from the relevant and other legislation if methods such as Registered Electronic Mail (REM), e-signature, mobile signature will be used before and during the tender,</w:t>
      </w:r>
    </w:p>
    <w:p w14:paraId="43EC0662" w14:textId="77777777" w:rsidR="004C0A79" w:rsidRPr="00C32187" w:rsidRDefault="004C0A79" w:rsidP="00A86526">
      <w:pPr>
        <w:pStyle w:val="P68B1DB1-ListParagraph3"/>
        <w:numPr>
          <w:ilvl w:val="0"/>
          <w:numId w:val="86"/>
        </w:numPr>
        <w:tabs>
          <w:tab w:val="left" w:pos="2503"/>
        </w:tabs>
        <w:spacing w:line="276" w:lineRule="auto"/>
        <w:ind w:right="124" w:firstLine="633"/>
        <w:rPr>
          <w:rFonts w:ascii="Times New Roman" w:hAnsi="Times New Roman" w:cs="Times New Roman"/>
          <w:i w:val="0"/>
          <w:szCs w:val="22"/>
        </w:rPr>
      </w:pPr>
      <w:r w:rsidRPr="00C32187">
        <w:rPr>
          <w:rFonts w:ascii="Times New Roman" w:hAnsi="Times New Roman" w:cs="Times New Roman"/>
          <w:i w:val="0"/>
          <w:szCs w:val="22"/>
        </w:rPr>
        <w:t>The tender commission of the distribution company is present in the tender made in electronic environment as a full staff,</w:t>
      </w:r>
    </w:p>
    <w:p w14:paraId="50BDBB30" w14:textId="77777777" w:rsidR="004C0A79" w:rsidRPr="00C32187" w:rsidRDefault="004C0A79" w:rsidP="00A86526">
      <w:pPr>
        <w:pStyle w:val="P68B1DB1-ListParagraph3"/>
        <w:numPr>
          <w:ilvl w:val="0"/>
          <w:numId w:val="86"/>
        </w:numPr>
        <w:tabs>
          <w:tab w:val="left" w:pos="2466"/>
        </w:tabs>
        <w:spacing w:line="273" w:lineRule="auto"/>
        <w:ind w:right="121" w:firstLine="633"/>
        <w:rPr>
          <w:rFonts w:ascii="Times New Roman" w:hAnsi="Times New Roman" w:cs="Times New Roman"/>
          <w:i w:val="0"/>
          <w:szCs w:val="22"/>
        </w:rPr>
      </w:pPr>
      <w:r w:rsidRPr="00C32187">
        <w:rPr>
          <w:rFonts w:ascii="Times New Roman" w:hAnsi="Times New Roman" w:cs="Times New Roman"/>
          <w:i w:val="0"/>
          <w:szCs w:val="22"/>
        </w:rPr>
        <w:t>Recording all phases visually and audibly from the beginning to the end of the tender,</w:t>
      </w:r>
    </w:p>
    <w:p w14:paraId="19C2F542" w14:textId="77777777" w:rsidR="004C0A79" w:rsidRPr="00C32187" w:rsidRDefault="004C0A79" w:rsidP="00A86526">
      <w:pPr>
        <w:pStyle w:val="P68B1DB1-ListParagraph3"/>
        <w:numPr>
          <w:ilvl w:val="0"/>
          <w:numId w:val="86"/>
        </w:numPr>
        <w:tabs>
          <w:tab w:val="left" w:pos="2474"/>
        </w:tabs>
        <w:spacing w:before="5" w:line="276" w:lineRule="auto"/>
        <w:ind w:right="121" w:firstLine="633"/>
        <w:rPr>
          <w:rFonts w:ascii="Times New Roman" w:hAnsi="Times New Roman" w:cs="Times New Roman"/>
          <w:i w:val="0"/>
          <w:szCs w:val="22"/>
        </w:rPr>
      </w:pPr>
      <w:r w:rsidRPr="00C32187">
        <w:rPr>
          <w:rFonts w:ascii="Times New Roman" w:hAnsi="Times New Roman" w:cs="Times New Roman"/>
          <w:i w:val="0"/>
          <w:szCs w:val="22"/>
        </w:rPr>
        <w:t>Signing the minutes to be prepared as a result of the tender by the tender commission and keeping the video conference records taken in the tender in the tender file to be submitted to the Authority,</w:t>
      </w:r>
    </w:p>
    <w:p w14:paraId="6747B021" w14:textId="77777777" w:rsidR="004C0A79" w:rsidRPr="00C32187" w:rsidRDefault="004C0A79" w:rsidP="004C0A79">
      <w:pPr>
        <w:pStyle w:val="GvdeMetni"/>
        <w:spacing w:line="276" w:lineRule="auto"/>
        <w:ind w:left="1608" w:right="121" w:firstLine="599"/>
        <w:rPr>
          <w:rFonts w:cs="Times New Roman"/>
          <w:sz w:val="22"/>
          <w:szCs w:val="22"/>
        </w:rPr>
      </w:pPr>
      <w:r w:rsidRPr="00C32187">
        <w:rPr>
          <w:rFonts w:cs="Times New Roman"/>
          <w:sz w:val="22"/>
          <w:szCs w:val="22"/>
        </w:rPr>
        <w:t xml:space="preserve">However, provided that the other provisions of these Procedures and Principles are </w:t>
      </w:r>
      <w:r w:rsidRPr="00C32187">
        <w:rPr>
          <w:rFonts w:cs="Times New Roman"/>
          <w:sz w:val="22"/>
          <w:szCs w:val="22"/>
        </w:rPr>
        <w:lastRenderedPageBreak/>
        <w:t>complied with, the CNG and/or LNG procurement tender may be carried out electronically."</w:t>
      </w:r>
    </w:p>
    <w:p w14:paraId="443CC2F2" w14:textId="77777777" w:rsidR="004C0A79" w:rsidRPr="00C32187" w:rsidRDefault="004C0A79" w:rsidP="004C0A79">
      <w:pPr>
        <w:pStyle w:val="GvdeMetni"/>
        <w:spacing w:before="39"/>
        <w:rPr>
          <w:rFonts w:cs="Times New Roman"/>
          <w:sz w:val="22"/>
          <w:szCs w:val="22"/>
        </w:rPr>
      </w:pPr>
    </w:p>
    <w:p w14:paraId="6A0F9966"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"(21) Except for the scope of the tenth and eleventh paragraphs of this article, in the event that the CNG and/or LNG procurement tender is canceled by the distribution company before the contract is signed, the necessary announcements shall be made in accordance with the procedure in the tender announcement regarding the reasons for the cancellation and detailed information and documents shall be submitted to the Authority."</w:t>
      </w:r>
    </w:p>
    <w:p w14:paraId="737CD5F0" w14:textId="77777777" w:rsidR="004C0A79" w:rsidRPr="00C32187" w:rsidRDefault="004C0A79" w:rsidP="004C0A79">
      <w:pPr>
        <w:pStyle w:val="GvdeMetni"/>
        <w:spacing w:before="42"/>
        <w:rPr>
          <w:rFonts w:cs="Times New Roman"/>
          <w:sz w:val="22"/>
          <w:szCs w:val="22"/>
        </w:rPr>
      </w:pPr>
    </w:p>
    <w:p w14:paraId="17284A02" w14:textId="77777777" w:rsidR="004C0A79" w:rsidRPr="00C32187" w:rsidRDefault="004C0A79" w:rsidP="004C0A79">
      <w:pPr>
        <w:pStyle w:val="GvdeMetni"/>
        <w:spacing w:line="276" w:lineRule="auto"/>
        <w:ind w:left="1608" w:right="119"/>
        <w:rPr>
          <w:rFonts w:cs="Times New Roman"/>
          <w:sz w:val="22"/>
          <w:szCs w:val="22"/>
        </w:rPr>
      </w:pPr>
      <w:r w:rsidRPr="00C32187">
        <w:rPr>
          <w:rFonts w:cs="Times New Roman"/>
          <w:sz w:val="22"/>
          <w:szCs w:val="22"/>
        </w:rPr>
        <w:t>“(22) Provisions that will change the tender conditions or violate competition cannot be included in the contracts to be signed after the tender. Price update, quantity and duration issues related to the tender are clearly stated in the tender announcement or specification."</w:t>
      </w:r>
    </w:p>
    <w:p w14:paraId="7FABDEE7" w14:textId="77777777" w:rsidR="004C0A79" w:rsidRPr="00731F8E" w:rsidRDefault="004C0A79" w:rsidP="004C0A79">
      <w:pPr>
        <w:pStyle w:val="GvdeMetni"/>
        <w:rPr>
          <w:rFonts w:cs="Times New Roman"/>
          <w:szCs w:val="22"/>
        </w:rPr>
      </w:pPr>
    </w:p>
    <w:p w14:paraId="7F933C40" w14:textId="77777777" w:rsidR="004C0A79" w:rsidRPr="00731F8E" w:rsidRDefault="004C0A79" w:rsidP="004C0A79">
      <w:pPr>
        <w:pStyle w:val="GvdeMetni"/>
        <w:spacing w:before="60"/>
        <w:rPr>
          <w:rFonts w:cs="Times New Roman"/>
          <w:szCs w:val="22"/>
        </w:rPr>
      </w:pPr>
    </w:p>
    <w:p w14:paraId="4E7B58A9" w14:textId="77777777" w:rsidR="004C0A79" w:rsidRPr="00731F8E" w:rsidRDefault="004C0A79" w:rsidP="004C0A79">
      <w:pPr>
        <w:pStyle w:val="GvdeMetni"/>
        <w:spacing w:before="39" w:line="276" w:lineRule="auto"/>
        <w:ind w:left="709" w:right="122"/>
        <w:rPr>
          <w:rFonts w:cs="Times New Roman"/>
          <w:i/>
          <w:szCs w:val="22"/>
        </w:rPr>
      </w:pPr>
      <w:r w:rsidRPr="00731F8E">
        <w:rPr>
          <w:rFonts w:cs="Times New Roman"/>
          <w:i/>
          <w:szCs w:val="22"/>
        </w:rPr>
        <w:t>•</w:t>
      </w:r>
      <w:r w:rsidRPr="00C32187">
        <w:rPr>
          <w:rFonts w:cs="Times New Roman"/>
          <w:sz w:val="22"/>
          <w:szCs w:val="22"/>
        </w:rPr>
        <w:t xml:space="preserve"> With the Board Decision dated 15.12.2022 and numbered 11456 published in the Official Gazette dated 17.12.2022 and numbered 32046, </w:t>
      </w:r>
      <w:r w:rsidRPr="00C32187">
        <w:rPr>
          <w:rFonts w:cs="Times New Roman"/>
          <w:b/>
          <w:sz w:val="22"/>
          <w:szCs w:val="22"/>
        </w:rPr>
        <w:t>the Procedures and Principles Regarding</w:t>
      </w:r>
      <w:r w:rsidRPr="00C32187">
        <w:rPr>
          <w:rFonts w:cs="Times New Roman"/>
          <w:sz w:val="22"/>
          <w:szCs w:val="22"/>
        </w:rPr>
        <w:t xml:space="preserve"> </w:t>
      </w:r>
      <w:r w:rsidRPr="00C32187">
        <w:rPr>
          <w:rFonts w:cs="Times New Roman"/>
          <w:b/>
          <w:sz w:val="22"/>
          <w:szCs w:val="22"/>
        </w:rPr>
        <w:t>Natural Gas Distribution Sector Connection and Service Fees</w:t>
      </w:r>
      <w:r w:rsidRPr="00C32187">
        <w:rPr>
          <w:rFonts w:cs="Times New Roman"/>
          <w:sz w:val="22"/>
          <w:szCs w:val="22"/>
        </w:rPr>
        <w:t xml:space="preserve"> were published in the Official Gazette dated 29/12/2016 and numbered 29933 clauses 14 and 16 of the first paragraph of Article 4 of the Procedures and Principles Regarding Service Fees have been amended as follows and the following clauses have been added to the paragraph. </w:t>
      </w:r>
    </w:p>
    <w:p w14:paraId="6D053D82" w14:textId="77777777" w:rsidR="004C0A79" w:rsidRPr="00731F8E" w:rsidRDefault="004C0A79" w:rsidP="004C0A79">
      <w:pPr>
        <w:pStyle w:val="GvdeMetni"/>
        <w:spacing w:before="39" w:line="276" w:lineRule="auto"/>
        <w:ind w:left="1608" w:right="122"/>
        <w:rPr>
          <w:rFonts w:cs="Times New Roman"/>
          <w:i/>
          <w:szCs w:val="22"/>
        </w:rPr>
      </w:pPr>
    </w:p>
    <w:p w14:paraId="7D159690" w14:textId="77777777" w:rsidR="004C0A79" w:rsidRPr="00731F8E" w:rsidRDefault="004C0A79" w:rsidP="004C0A79">
      <w:pPr>
        <w:pStyle w:val="GvdeMetni"/>
        <w:spacing w:before="39" w:line="276" w:lineRule="auto"/>
        <w:ind w:left="1608" w:right="122"/>
        <w:rPr>
          <w:rFonts w:cs="Times New Roman"/>
          <w:i/>
          <w:szCs w:val="22"/>
        </w:rPr>
      </w:pPr>
    </w:p>
    <w:p w14:paraId="403E19B5" w14:textId="77777777" w:rsidR="004C0A79" w:rsidRPr="00C32187" w:rsidRDefault="004C0A79" w:rsidP="004C0A79">
      <w:pPr>
        <w:pStyle w:val="GvdeMetni"/>
        <w:spacing w:before="39" w:line="276" w:lineRule="auto"/>
        <w:ind w:left="1608" w:right="122"/>
        <w:rPr>
          <w:rFonts w:cs="Times New Roman"/>
          <w:sz w:val="22"/>
          <w:szCs w:val="22"/>
        </w:rPr>
      </w:pPr>
      <w:r w:rsidRPr="00C32187">
        <w:rPr>
          <w:rFonts w:cs="Times New Roman"/>
          <w:sz w:val="22"/>
          <w:szCs w:val="22"/>
        </w:rPr>
        <w:t>“14) Prepaid meter: A meter that allows the use of natural gas in the amount or amount previously paid by the customer, is placed on the market in accordance with the meter legislation and adapts to the distribution company's system, or a mechanical meter converted by means of a prepaid meter conversion kit,”</w:t>
      </w:r>
    </w:p>
    <w:p w14:paraId="296D1749" w14:textId="77777777" w:rsidR="004C0A79" w:rsidRPr="00C32187" w:rsidRDefault="004C0A79" w:rsidP="004C0A79">
      <w:pPr>
        <w:pStyle w:val="GvdeMetni"/>
        <w:spacing w:line="273" w:lineRule="auto"/>
        <w:ind w:left="1608" w:right="120"/>
        <w:rPr>
          <w:rFonts w:cs="Times New Roman"/>
          <w:sz w:val="22"/>
          <w:szCs w:val="22"/>
        </w:rPr>
      </w:pPr>
      <w:r w:rsidRPr="00C32187">
        <w:rPr>
          <w:rFonts w:cs="Times New Roman"/>
          <w:sz w:val="22"/>
          <w:szCs w:val="22"/>
        </w:rPr>
        <w:t>“16) Meter: The device that measures the natural gas consumption of the customer and is placed on the market in accordance with the legislation on measuring instruments and adapts to the system of the distribution company,”</w:t>
      </w:r>
    </w:p>
    <w:p w14:paraId="59231FE3" w14:textId="77777777" w:rsidR="004C0A79" w:rsidRPr="00C32187" w:rsidRDefault="004C0A79" w:rsidP="004C0A79">
      <w:pPr>
        <w:pStyle w:val="GvdeMetni"/>
        <w:spacing w:before="5" w:line="276" w:lineRule="auto"/>
        <w:ind w:left="1608" w:right="122"/>
        <w:rPr>
          <w:rFonts w:cs="Times New Roman"/>
          <w:sz w:val="22"/>
          <w:szCs w:val="22"/>
        </w:rPr>
      </w:pPr>
      <w:r w:rsidRPr="00C32187">
        <w:rPr>
          <w:rFonts w:cs="Times New Roman"/>
          <w:sz w:val="22"/>
          <w:szCs w:val="22"/>
        </w:rPr>
        <w:t>Measuring Instruments Legislation: The Law on Measurements and Adjustment dated 11/1/1989 and numbered 3516 and the Law on Product Safety and Technical Regulations dated 5/3/2020 and numbered 7223 and the regulations issued based on these Laws,</w:t>
      </w:r>
    </w:p>
    <w:p w14:paraId="338B3589"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“45) Preliminary project: The project submitted and approved to the relevant distribution company for buildings that have received a construction license to be built with a natural gas fuel system,</w:t>
      </w:r>
    </w:p>
    <w:p w14:paraId="7E919C16" w14:textId="77777777" w:rsidR="004C0A79" w:rsidRPr="00C32187" w:rsidRDefault="004C0A79" w:rsidP="004C0A79">
      <w:pPr>
        <w:pStyle w:val="GvdeMetni"/>
        <w:spacing w:before="20"/>
        <w:rPr>
          <w:rFonts w:cs="Times New Roman"/>
          <w:sz w:val="22"/>
          <w:szCs w:val="22"/>
        </w:rPr>
      </w:pPr>
    </w:p>
    <w:p w14:paraId="331DF799" w14:textId="77777777" w:rsidR="004C0A79" w:rsidRPr="00C32187" w:rsidRDefault="004C0A79" w:rsidP="00A86526">
      <w:pPr>
        <w:pStyle w:val="ListeParagraf"/>
        <w:widowControl w:val="0"/>
        <w:numPr>
          <w:ilvl w:val="1"/>
          <w:numId w:val="87"/>
        </w:numPr>
        <w:tabs>
          <w:tab w:val="left" w:pos="1608"/>
        </w:tabs>
        <w:autoSpaceDE w:val="0"/>
        <w:autoSpaceDN w:val="0"/>
        <w:spacing w:after="0" w:line="259" w:lineRule="auto"/>
        <w:ind w:left="1608" w:right="121"/>
        <w:contextualSpacing w:val="0"/>
        <w:jc w:val="left"/>
        <w:rPr>
          <w:rFonts w:ascii="Times New Roman" w:hAnsi="Times New Roman"/>
        </w:rPr>
      </w:pPr>
      <w:r w:rsidRPr="00C32187">
        <w:rPr>
          <w:rFonts w:ascii="Times New Roman" w:hAnsi="Times New Roman"/>
        </w:rPr>
        <w:t>The second paragraph of Article 6 has been repealed, the second sentence of the third paragraph has been amended as follows and the fifth paragraph of the article has been amended as follows.</w:t>
      </w:r>
    </w:p>
    <w:p w14:paraId="1FB068F3" w14:textId="77777777" w:rsidR="004C0A79" w:rsidRPr="00C32187" w:rsidRDefault="004C0A79" w:rsidP="004C0A79">
      <w:pPr>
        <w:pStyle w:val="GvdeMetni"/>
        <w:spacing w:before="39"/>
        <w:rPr>
          <w:rFonts w:cs="Times New Roman"/>
          <w:i/>
          <w:sz w:val="22"/>
          <w:szCs w:val="22"/>
        </w:rPr>
      </w:pPr>
    </w:p>
    <w:p w14:paraId="4DB6E6E0" w14:textId="77777777" w:rsidR="004C0A79" w:rsidRPr="00C32187" w:rsidRDefault="004C0A79" w:rsidP="004C0A79">
      <w:pPr>
        <w:pStyle w:val="GvdeMetni"/>
        <w:spacing w:line="276" w:lineRule="auto"/>
        <w:ind w:left="1608" w:right="123"/>
        <w:rPr>
          <w:rFonts w:cs="Times New Roman"/>
          <w:sz w:val="22"/>
          <w:szCs w:val="22"/>
        </w:rPr>
      </w:pPr>
      <w:r w:rsidRPr="00C32187">
        <w:rPr>
          <w:rFonts w:cs="Times New Roman"/>
          <w:sz w:val="22"/>
          <w:szCs w:val="22"/>
        </w:rPr>
        <w:t>"If requested by the eligible consumer or the Authority, the distribution company is obliged to prove the costs incurred in relation to the connection with approved documents."</w:t>
      </w:r>
    </w:p>
    <w:p w14:paraId="7CC40CD8" w14:textId="77777777" w:rsidR="004C0A79" w:rsidRPr="00C32187" w:rsidRDefault="004C0A79" w:rsidP="004C0A79">
      <w:pPr>
        <w:pStyle w:val="GvdeMetni"/>
        <w:spacing w:line="276" w:lineRule="auto"/>
        <w:ind w:left="1608" w:right="120"/>
        <w:rPr>
          <w:rFonts w:cs="Times New Roman"/>
          <w:sz w:val="22"/>
          <w:szCs w:val="22"/>
        </w:rPr>
      </w:pPr>
      <w:r w:rsidRPr="00C32187">
        <w:rPr>
          <w:rFonts w:cs="Times New Roman"/>
          <w:sz w:val="22"/>
          <w:szCs w:val="22"/>
        </w:rPr>
        <w:t>"(5) The application of the provisions of Article 5 in the calculation of the connection price of eligible consumers is only possible if eligible consumers and subscribers are located in the same building and it is mandatory to provide the entire building connection with a single connection line or service line."</w:t>
      </w:r>
    </w:p>
    <w:p w14:paraId="082DA2C6" w14:textId="77777777" w:rsidR="004C0A79" w:rsidRPr="00C32187" w:rsidRDefault="004C0A79" w:rsidP="004C0A79">
      <w:pPr>
        <w:pStyle w:val="GvdeMetni"/>
        <w:spacing w:before="20"/>
        <w:rPr>
          <w:rFonts w:cs="Times New Roman"/>
          <w:sz w:val="22"/>
          <w:szCs w:val="22"/>
        </w:rPr>
      </w:pPr>
    </w:p>
    <w:p w14:paraId="59CA3369" w14:textId="77777777" w:rsidR="004C0A79" w:rsidRPr="00C32187" w:rsidRDefault="004C0A79" w:rsidP="00A86526">
      <w:pPr>
        <w:pStyle w:val="ListeParagraf"/>
        <w:widowControl w:val="0"/>
        <w:numPr>
          <w:ilvl w:val="1"/>
          <w:numId w:val="87"/>
        </w:numPr>
        <w:tabs>
          <w:tab w:val="left" w:pos="1608"/>
        </w:tabs>
        <w:autoSpaceDE w:val="0"/>
        <w:autoSpaceDN w:val="0"/>
        <w:spacing w:after="0" w:line="240" w:lineRule="auto"/>
        <w:ind w:left="1608"/>
        <w:contextualSpacing w:val="0"/>
        <w:jc w:val="left"/>
        <w:rPr>
          <w:rFonts w:ascii="Times New Roman" w:hAnsi="Times New Roman"/>
        </w:rPr>
      </w:pPr>
      <w:r w:rsidRPr="00C32187">
        <w:rPr>
          <w:rFonts w:ascii="Times New Roman" w:hAnsi="Times New Roman"/>
        </w:rPr>
        <w:t>The second and third paragraphs of Article 7 have been amended as follows.</w:t>
      </w:r>
    </w:p>
    <w:p w14:paraId="3D2326CD" w14:textId="77777777" w:rsidR="004C0A79" w:rsidRPr="00C32187" w:rsidRDefault="004C0A79" w:rsidP="004C0A79">
      <w:pPr>
        <w:pStyle w:val="GvdeMetni"/>
        <w:spacing w:before="63"/>
        <w:rPr>
          <w:rFonts w:cs="Times New Roman"/>
          <w:i/>
          <w:sz w:val="22"/>
          <w:szCs w:val="22"/>
        </w:rPr>
      </w:pPr>
    </w:p>
    <w:p w14:paraId="08945048" w14:textId="77777777" w:rsidR="004C0A79" w:rsidRPr="00C32187" w:rsidRDefault="004C0A79" w:rsidP="004C0A79">
      <w:pPr>
        <w:pStyle w:val="GvdeMetni"/>
        <w:spacing w:line="273" w:lineRule="auto"/>
        <w:ind w:left="1608" w:right="120"/>
        <w:rPr>
          <w:rFonts w:cs="Times New Roman"/>
          <w:sz w:val="22"/>
          <w:szCs w:val="22"/>
        </w:rPr>
      </w:pPr>
      <w:r w:rsidRPr="00C32187">
        <w:rPr>
          <w:rFonts w:cs="Times New Roman"/>
          <w:sz w:val="22"/>
          <w:szCs w:val="22"/>
        </w:rPr>
        <w:lastRenderedPageBreak/>
        <w:t>"(2) The security deposit application for eligible consumers who do not supply natural gas from the distribution company is carried out within the framework of the contract between the supplier and the eligible consumer."</w:t>
      </w:r>
    </w:p>
    <w:p w14:paraId="3CD88A69" w14:textId="77777777" w:rsidR="004C0A79" w:rsidRPr="00C32187" w:rsidRDefault="004C0A79" w:rsidP="004C0A79">
      <w:pPr>
        <w:pStyle w:val="GvdeMetni"/>
        <w:spacing w:before="4" w:line="276" w:lineRule="auto"/>
        <w:ind w:left="1608" w:right="119"/>
        <w:rPr>
          <w:rFonts w:cs="Times New Roman"/>
          <w:sz w:val="22"/>
          <w:szCs w:val="22"/>
        </w:rPr>
      </w:pPr>
      <w:r w:rsidRPr="00C32187">
        <w:rPr>
          <w:rFonts w:cs="Times New Roman"/>
          <w:sz w:val="22"/>
          <w:szCs w:val="22"/>
        </w:rPr>
        <w:t xml:space="preserve">"(3) The upper limit of the security deposit that the distribution company can accrue to the subscribers using mechanical meters separately according to the type and number of burning devices; in the case of central system subscriptions, the upper limit of the security deposit that the distribution company can accrue over the BBS is determined by the Board. If the subscriber uses a combustion device other than a combi boiler, fire basket, stove or water heater, the security deposit determined for the combi boiler for the device used is charged. However, no security deposit is charged to subscribers using prepaid meters. </w:t>
      </w:r>
    </w:p>
    <w:p w14:paraId="5A42B715" w14:textId="77777777" w:rsidR="004C0A79" w:rsidRPr="00731F8E" w:rsidRDefault="004C0A79" w:rsidP="004C0A79">
      <w:pPr>
        <w:pStyle w:val="GvdeMetni"/>
        <w:spacing w:before="20"/>
        <w:rPr>
          <w:rFonts w:cs="Times New Roman"/>
          <w:szCs w:val="22"/>
        </w:rPr>
      </w:pPr>
    </w:p>
    <w:p w14:paraId="4C7691C5" w14:textId="77777777" w:rsidR="004C0A79" w:rsidRPr="00731F8E" w:rsidRDefault="004C0A79" w:rsidP="00A86526">
      <w:pPr>
        <w:pStyle w:val="ListeParagraf"/>
        <w:widowControl w:val="0"/>
        <w:numPr>
          <w:ilvl w:val="1"/>
          <w:numId w:val="87"/>
        </w:numPr>
        <w:tabs>
          <w:tab w:val="left" w:pos="1608"/>
        </w:tabs>
        <w:autoSpaceDE w:val="0"/>
        <w:autoSpaceDN w:val="0"/>
        <w:spacing w:before="1" w:after="0" w:line="259" w:lineRule="auto"/>
        <w:ind w:left="1608" w:right="124"/>
        <w:contextualSpacing w:val="0"/>
        <w:jc w:val="left"/>
        <w:rPr>
          <w:rFonts w:ascii="Times New Roman" w:hAnsi="Times New Roman"/>
        </w:rPr>
      </w:pPr>
      <w:r w:rsidRPr="00731F8E">
        <w:rPr>
          <w:rFonts w:ascii="Times New Roman" w:hAnsi="Times New Roman"/>
        </w:rPr>
        <w:t>The second sentence of the first paragraph of Article 8 has been amended as follows and the first sentence of the third paragraph of the article has been amended as follows.</w:t>
      </w:r>
    </w:p>
    <w:p w14:paraId="7BC3170B" w14:textId="77777777" w:rsidR="004C0A79" w:rsidRPr="00731F8E" w:rsidRDefault="004C0A79" w:rsidP="004C0A79">
      <w:pPr>
        <w:pStyle w:val="GvdeMetni"/>
        <w:spacing w:before="39"/>
        <w:rPr>
          <w:rFonts w:cs="Times New Roman"/>
          <w:i/>
          <w:szCs w:val="22"/>
        </w:rPr>
      </w:pPr>
    </w:p>
    <w:p w14:paraId="0657F118"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"In the event that a letter of guarantee is given during the signing of the gas use contract as a security deposit, the letter of guarantee shall be renewed within 15 days from the date of request, taking into account the difference calculated within the scope of the sixth paragraph of Article 7 and upon the request of one of the relevant parties."</w:t>
      </w:r>
    </w:p>
    <w:p w14:paraId="76C8CF00"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"For eligible consumers who provide the security deposit as a letter of guarantee, the security deposit is recalculated by the distribution company in January of each year and the letter of guarantee is renewed within 15 days from the date of request upon the request of one of the relevant parties."</w:t>
      </w:r>
    </w:p>
    <w:p w14:paraId="10BA366D" w14:textId="77777777" w:rsidR="004C0A79" w:rsidRPr="00C32187" w:rsidRDefault="004C0A79" w:rsidP="004C0A79">
      <w:pPr>
        <w:pStyle w:val="GvdeMetni"/>
        <w:spacing w:line="276" w:lineRule="auto"/>
        <w:ind w:left="1608" w:right="121"/>
        <w:rPr>
          <w:rFonts w:cs="Times New Roman"/>
          <w:sz w:val="22"/>
          <w:szCs w:val="22"/>
        </w:rPr>
      </w:pPr>
    </w:p>
    <w:p w14:paraId="52C6BE27" w14:textId="77777777" w:rsidR="004C0A79" w:rsidRPr="00C32187" w:rsidRDefault="004C0A79" w:rsidP="00A86526">
      <w:pPr>
        <w:pStyle w:val="ListeParagraf"/>
        <w:widowControl w:val="0"/>
        <w:numPr>
          <w:ilvl w:val="1"/>
          <w:numId w:val="87"/>
        </w:numPr>
        <w:tabs>
          <w:tab w:val="left" w:pos="1607"/>
        </w:tabs>
        <w:autoSpaceDE w:val="0"/>
        <w:autoSpaceDN w:val="0"/>
        <w:spacing w:after="0" w:line="259" w:lineRule="auto"/>
        <w:ind w:left="1607" w:right="121"/>
        <w:contextualSpacing w:val="0"/>
        <w:jc w:val="left"/>
        <w:rPr>
          <w:rFonts w:ascii="Times New Roman" w:hAnsi="Times New Roman"/>
        </w:rPr>
      </w:pPr>
      <w:r w:rsidRPr="00C32187">
        <w:rPr>
          <w:rFonts w:ascii="Times New Roman" w:hAnsi="Times New Roman"/>
        </w:rPr>
        <w:t xml:space="preserve">The phrase </w:t>
      </w:r>
      <w:r w:rsidRPr="00C32187">
        <w:rPr>
          <w:rFonts w:ascii="Times New Roman" w:hAnsi="Times New Roman"/>
          <w:i/>
        </w:rPr>
        <w:t>"prices" in the first sentence of the first paragraph of Article 9 has been changed to "</w:t>
      </w:r>
      <w:r w:rsidRPr="00C32187">
        <w:rPr>
          <w:rFonts w:ascii="Times New Roman" w:hAnsi="Times New Roman"/>
        </w:rPr>
        <w:t xml:space="preserve">from the </w:t>
      </w:r>
      <w:r w:rsidRPr="00C32187">
        <w:rPr>
          <w:rFonts w:ascii="Times New Roman" w:hAnsi="Times New Roman"/>
          <w:i/>
        </w:rPr>
        <w:t>date the price is transferred to the account of the distribution company"</w:t>
      </w:r>
      <w:r w:rsidRPr="00C32187">
        <w:rPr>
          <w:rFonts w:ascii="Times New Roman" w:hAnsi="Times New Roman"/>
        </w:rPr>
        <w:t>.</w:t>
      </w:r>
    </w:p>
    <w:p w14:paraId="2D79ADBE" w14:textId="77777777" w:rsidR="004C0A79" w:rsidRPr="00C32187" w:rsidRDefault="004C0A79" w:rsidP="00A86526">
      <w:pPr>
        <w:pStyle w:val="ListeParagraf"/>
        <w:widowControl w:val="0"/>
        <w:numPr>
          <w:ilvl w:val="1"/>
          <w:numId w:val="87"/>
        </w:numPr>
        <w:tabs>
          <w:tab w:val="left" w:pos="1608"/>
        </w:tabs>
        <w:autoSpaceDE w:val="0"/>
        <w:autoSpaceDN w:val="0"/>
        <w:spacing w:before="59" w:after="0" w:line="259" w:lineRule="auto"/>
        <w:ind w:left="1608" w:right="121"/>
        <w:contextualSpacing w:val="0"/>
        <w:rPr>
          <w:rFonts w:ascii="Times New Roman" w:hAnsi="Times New Roman"/>
        </w:rPr>
      </w:pPr>
      <w:r w:rsidRPr="00C32187">
        <w:rPr>
          <w:rFonts w:ascii="Times New Roman" w:hAnsi="Times New Roman"/>
        </w:rPr>
        <w:t xml:space="preserve">The phrase "within 15 days" has been added to come after the phrase </w:t>
      </w:r>
      <w:r w:rsidRPr="00C32187">
        <w:rPr>
          <w:rFonts w:ascii="Times New Roman" w:hAnsi="Times New Roman"/>
          <w:i/>
        </w:rPr>
        <w:t xml:space="preserve">"updated" </w:t>
      </w:r>
      <w:r w:rsidRPr="00C32187">
        <w:rPr>
          <w:rFonts w:ascii="Times New Roman" w:hAnsi="Times New Roman"/>
        </w:rPr>
        <w:t xml:space="preserve">in clause (1) of the first paragraph of Article 10, and the names of the clause </w:t>
      </w:r>
      <w:r w:rsidRPr="00C32187">
        <w:rPr>
          <w:rFonts w:ascii="Times New Roman" w:hAnsi="Times New Roman"/>
          <w:i/>
        </w:rPr>
        <w:t>"</w:t>
      </w:r>
      <w:r w:rsidRPr="00C32187">
        <w:rPr>
          <w:rFonts w:ascii="Times New Roman" w:hAnsi="Times New Roman"/>
        </w:rPr>
        <w:t xml:space="preserve"> </w:t>
      </w:r>
      <w:r w:rsidRPr="00C32187">
        <w:rPr>
          <w:rFonts w:ascii="Times New Roman" w:hAnsi="Times New Roman"/>
          <w:i/>
        </w:rPr>
        <w:t>1</w:t>
      </w:r>
      <w:r w:rsidRPr="00C32187">
        <w:rPr>
          <w:rFonts w:ascii="Times New Roman" w:hAnsi="Times New Roman"/>
        </w:rPr>
        <w:t>)</w:t>
      </w:r>
      <w:r w:rsidRPr="00C32187">
        <w:rPr>
          <w:rFonts w:ascii="Times New Roman" w:hAnsi="Times New Roman"/>
          <w:i/>
        </w:rPr>
        <w:t>", "2</w:t>
      </w:r>
      <w:r w:rsidRPr="00C32187">
        <w:rPr>
          <w:rFonts w:ascii="Times New Roman" w:hAnsi="Times New Roman"/>
        </w:rPr>
        <w:t>)</w:t>
      </w:r>
      <w:r w:rsidRPr="00C32187">
        <w:rPr>
          <w:rFonts w:ascii="Times New Roman" w:hAnsi="Times New Roman"/>
          <w:i/>
        </w:rPr>
        <w:t>", "3</w:t>
      </w:r>
      <w:r w:rsidRPr="00C32187">
        <w:rPr>
          <w:rFonts w:ascii="Times New Roman" w:hAnsi="Times New Roman"/>
        </w:rPr>
        <w:t xml:space="preserve">)", and </w:t>
      </w:r>
      <w:r w:rsidRPr="00C32187">
        <w:rPr>
          <w:rFonts w:ascii="Times New Roman" w:hAnsi="Times New Roman"/>
          <w:i/>
        </w:rPr>
        <w:t xml:space="preserve">"4)" </w:t>
      </w:r>
      <w:r w:rsidRPr="00C32187">
        <w:rPr>
          <w:rFonts w:ascii="Times New Roman" w:hAnsi="Times New Roman"/>
        </w:rPr>
        <w:t xml:space="preserve">have been changed by naming them </w:t>
      </w:r>
      <w:r w:rsidRPr="00C32187">
        <w:rPr>
          <w:rFonts w:ascii="Times New Roman" w:hAnsi="Times New Roman"/>
          <w:i/>
        </w:rPr>
        <w:t>"a</w:t>
      </w:r>
      <w:r w:rsidRPr="00C32187">
        <w:rPr>
          <w:rFonts w:ascii="Times New Roman" w:hAnsi="Times New Roman"/>
        </w:rPr>
        <w:t>)</w:t>
      </w:r>
      <w:r w:rsidRPr="00C32187">
        <w:rPr>
          <w:rFonts w:ascii="Times New Roman" w:hAnsi="Times New Roman"/>
          <w:i/>
        </w:rPr>
        <w:t>", "b</w:t>
      </w:r>
      <w:r w:rsidRPr="00C32187">
        <w:rPr>
          <w:rFonts w:ascii="Times New Roman" w:hAnsi="Times New Roman"/>
        </w:rPr>
        <w:t>)</w:t>
      </w:r>
      <w:r w:rsidRPr="00C32187">
        <w:rPr>
          <w:rFonts w:ascii="Times New Roman" w:hAnsi="Times New Roman"/>
          <w:i/>
        </w:rPr>
        <w:t>", "c</w:t>
      </w:r>
      <w:r w:rsidRPr="00C32187">
        <w:rPr>
          <w:rFonts w:ascii="Times New Roman" w:hAnsi="Times New Roman"/>
        </w:rPr>
        <w:t>)</w:t>
      </w:r>
      <w:r w:rsidRPr="00C32187">
        <w:rPr>
          <w:rFonts w:ascii="Times New Roman" w:hAnsi="Times New Roman"/>
          <w:i/>
        </w:rPr>
        <w:t>" and "ç</w:t>
      </w:r>
      <w:r w:rsidRPr="00C32187">
        <w:rPr>
          <w:rFonts w:ascii="Times New Roman" w:hAnsi="Times New Roman"/>
        </w:rPr>
        <w:t>)", respectively.</w:t>
      </w:r>
    </w:p>
    <w:p w14:paraId="300B281E" w14:textId="77777777" w:rsidR="004C0A79" w:rsidRPr="00C32187" w:rsidRDefault="004C0A79" w:rsidP="00A86526">
      <w:pPr>
        <w:pStyle w:val="ListeParagraf"/>
        <w:widowControl w:val="0"/>
        <w:numPr>
          <w:ilvl w:val="1"/>
          <w:numId w:val="87"/>
        </w:numPr>
        <w:tabs>
          <w:tab w:val="left" w:pos="1608"/>
        </w:tabs>
        <w:autoSpaceDE w:val="0"/>
        <w:autoSpaceDN w:val="0"/>
        <w:spacing w:after="0" w:line="259" w:lineRule="auto"/>
        <w:ind w:left="1608" w:right="119"/>
        <w:contextualSpacing w:val="0"/>
        <w:rPr>
          <w:rFonts w:ascii="Times New Roman" w:hAnsi="Times New Roman"/>
        </w:rPr>
      </w:pPr>
      <w:r w:rsidRPr="00C32187">
        <w:rPr>
          <w:rFonts w:ascii="Times New Roman" w:hAnsi="Times New Roman"/>
        </w:rPr>
        <w:t xml:space="preserve">The title of Article 14 has been amended as </w:t>
      </w:r>
      <w:r w:rsidRPr="00C32187">
        <w:rPr>
          <w:rFonts w:ascii="Times New Roman" w:hAnsi="Times New Roman"/>
          <w:i/>
        </w:rPr>
        <w:t>"Preliminary project and interior installation transaction fees"</w:t>
      </w:r>
      <w:r w:rsidRPr="00C32187">
        <w:rPr>
          <w:rFonts w:ascii="Times New Roman" w:hAnsi="Times New Roman"/>
        </w:rPr>
        <w:t>, the first paragraph of the article has been amended as follows, the following paragraph has been added to the article to come after the first paragraph and the other paragraphs have been continued accordingly, the existing second and third paragraphs of the article have been amended as follows.</w:t>
      </w:r>
    </w:p>
    <w:p w14:paraId="370ED56D" w14:textId="77777777" w:rsidR="004C0A79" w:rsidRPr="00C32187" w:rsidRDefault="004C0A79" w:rsidP="004C0A79">
      <w:pPr>
        <w:pStyle w:val="GvdeMetni"/>
        <w:spacing w:before="38"/>
        <w:rPr>
          <w:rFonts w:cs="Times New Roman"/>
          <w:i/>
          <w:sz w:val="22"/>
          <w:szCs w:val="22"/>
        </w:rPr>
      </w:pPr>
    </w:p>
    <w:p w14:paraId="4F1E77DC"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"(1) The preliminary project and interior installation transaction fees to be applied by the distribution companies to the certificate holders according to each type of transaction in return for the preliminary project and interior installation transactions made within the scope of Article 37 of the Regulation shall be determined by the Board."</w:t>
      </w:r>
    </w:p>
    <w:p w14:paraId="5EE914C7" w14:textId="77777777" w:rsidR="004C0A79" w:rsidRPr="00C32187" w:rsidRDefault="004C0A79" w:rsidP="004C0A79">
      <w:pPr>
        <w:pStyle w:val="GvdeMetni"/>
        <w:spacing w:line="273" w:lineRule="auto"/>
        <w:ind w:left="1608" w:right="122"/>
        <w:rPr>
          <w:rFonts w:cs="Times New Roman"/>
          <w:sz w:val="22"/>
          <w:szCs w:val="22"/>
        </w:rPr>
      </w:pPr>
      <w:r w:rsidRPr="00C32187">
        <w:rPr>
          <w:rFonts w:cs="Times New Roman"/>
          <w:sz w:val="22"/>
          <w:szCs w:val="22"/>
        </w:rPr>
        <w:t>"(2) In the event that the preliminary project is revised, the preliminary project price determined in accordance with the first paragraph shall not be accrued again."</w:t>
      </w:r>
    </w:p>
    <w:p w14:paraId="2ECEF8AD" w14:textId="77777777" w:rsidR="004C0A79" w:rsidRPr="00C32187" w:rsidRDefault="004C0A79" w:rsidP="004C0A79">
      <w:pPr>
        <w:pStyle w:val="GvdeMetni"/>
        <w:spacing w:before="4" w:line="276" w:lineRule="auto"/>
        <w:ind w:left="1608" w:right="121"/>
        <w:rPr>
          <w:rFonts w:cs="Times New Roman"/>
          <w:sz w:val="22"/>
          <w:szCs w:val="22"/>
        </w:rPr>
      </w:pPr>
      <w:r w:rsidRPr="00C32187">
        <w:rPr>
          <w:rFonts w:cs="Times New Roman"/>
          <w:sz w:val="22"/>
          <w:szCs w:val="22"/>
        </w:rPr>
        <w:t>"(3) 50 percent of the interior installation transaction fee determined in accordance with the first paragraph shall be accrued as the control fee of the second and subsequent controls for the installation that cannot obtain compliance with the first control in return for interior installation transactions."</w:t>
      </w:r>
    </w:p>
    <w:p w14:paraId="5526CB47" w14:textId="77777777" w:rsidR="004C0A79" w:rsidRPr="00C32187" w:rsidRDefault="004C0A79" w:rsidP="004C0A79">
      <w:pPr>
        <w:pStyle w:val="GvdeMetni"/>
        <w:spacing w:line="276" w:lineRule="auto"/>
        <w:ind w:left="1608" w:right="121"/>
        <w:rPr>
          <w:rFonts w:cs="Times New Roman"/>
          <w:sz w:val="22"/>
          <w:szCs w:val="22"/>
        </w:rPr>
      </w:pPr>
      <w:r w:rsidRPr="00C32187">
        <w:rPr>
          <w:rFonts w:cs="Times New Roman"/>
          <w:sz w:val="22"/>
          <w:szCs w:val="22"/>
        </w:rPr>
        <w:t>"(4) The provisions of the first and third paragraphs shall apply to interior installation project modifications. If the modification of the interior installation project is revised before the physical control of the installation, the distribution company cannot charge an additional fee for this revision."</w:t>
      </w:r>
    </w:p>
    <w:p w14:paraId="4C51591B" w14:textId="77777777" w:rsidR="004C0A79" w:rsidRPr="00C32187" w:rsidRDefault="004C0A79" w:rsidP="004C0A79">
      <w:pPr>
        <w:pStyle w:val="GvdeMetni"/>
        <w:spacing w:before="21"/>
        <w:rPr>
          <w:rFonts w:cs="Times New Roman"/>
          <w:sz w:val="22"/>
          <w:szCs w:val="22"/>
        </w:rPr>
      </w:pPr>
    </w:p>
    <w:p w14:paraId="67D43361" w14:textId="77777777" w:rsidR="004C0A79" w:rsidRPr="00731F8E" w:rsidRDefault="004C0A79" w:rsidP="00A86526">
      <w:pPr>
        <w:pStyle w:val="ListeParagraf"/>
        <w:widowControl w:val="0"/>
        <w:numPr>
          <w:ilvl w:val="0"/>
          <w:numId w:val="87"/>
        </w:numPr>
        <w:tabs>
          <w:tab w:val="left" w:pos="836"/>
          <w:tab w:val="left" w:pos="838"/>
        </w:tabs>
        <w:autoSpaceDE w:val="0"/>
        <w:autoSpaceDN w:val="0"/>
        <w:spacing w:before="1" w:after="0" w:line="259" w:lineRule="auto"/>
        <w:ind w:left="838" w:right="122" w:hanging="361"/>
        <w:contextualSpacing w:val="0"/>
        <w:rPr>
          <w:rFonts w:ascii="Times New Roman" w:hAnsi="Times New Roman"/>
        </w:rPr>
      </w:pPr>
      <w:r w:rsidRPr="00731F8E">
        <w:rPr>
          <w:rFonts w:ascii="Times New Roman" w:hAnsi="Times New Roman"/>
        </w:rPr>
        <w:t>With the Board Decision dated 15.12.2022 and numbered 11460 published in the Official Gazette dated 17.12.2022 and numbered 32046, the following Decision was taken regarding the participation share rate to be applied in 2023, which license holders operating in the Natural Gas Market are obliged to pay in 2023 for 2022 activities.</w:t>
      </w:r>
    </w:p>
    <w:p w14:paraId="52C3F085" w14:textId="77777777" w:rsidR="004C0A79" w:rsidRPr="00731F8E" w:rsidRDefault="004C0A79" w:rsidP="004C0A79">
      <w:pPr>
        <w:pStyle w:val="GvdeMetni"/>
        <w:spacing w:before="37"/>
        <w:rPr>
          <w:rFonts w:cs="Times New Roman"/>
          <w:i/>
          <w:szCs w:val="22"/>
        </w:rPr>
      </w:pPr>
    </w:p>
    <w:p w14:paraId="41EF07D1"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ARTICLE 1- In accordance with subparagraph (i) of the seventh paragraph of Article 5 of the Law No. 4628 on the Organization and Duties of the Energy Market Regulatory Authority and subparagraph (a) of paragraph (B) of Article 10 of the Natural Gas Market Law No. 4646, as amended by Article 19 of the Natural Gas Market Law, and Articles 13 of the Natural Gas Market License Regulation and 13 of the Natural Gas Market Certificate Regulation, it has been decided that;</w:t>
      </w:r>
    </w:p>
    <w:p w14:paraId="0A0BAD2D" w14:textId="77777777" w:rsidR="004C0A79" w:rsidRPr="00731F8E" w:rsidRDefault="004C0A79" w:rsidP="00A86526">
      <w:pPr>
        <w:pStyle w:val="P68B1DB1-ListParagraph3"/>
        <w:numPr>
          <w:ilvl w:val="0"/>
          <w:numId w:val="85"/>
        </w:numPr>
        <w:tabs>
          <w:tab w:val="left" w:pos="2101"/>
          <w:tab w:val="left" w:pos="2103"/>
        </w:tabs>
        <w:spacing w:line="276" w:lineRule="auto"/>
        <w:ind w:right="121"/>
        <w:rPr>
          <w:rFonts w:ascii="Times New Roman" w:hAnsi="Times New Roman" w:cs="Times New Roman"/>
          <w:szCs w:val="22"/>
        </w:rPr>
      </w:pPr>
      <w:r w:rsidRPr="00731F8E">
        <w:rPr>
          <w:rFonts w:ascii="Times New Roman" w:hAnsi="Times New Roman" w:cs="Times New Roman"/>
          <w:szCs w:val="22"/>
        </w:rPr>
        <w:t>The ratio of the participation share of 2022 that licensee legal entities operating in the Natural Gas Market are obliged to pay in 2023 is 0.05% (five per ten thousand) of the net sales revenue amount in the income statements to be prepared for the 2022 operating period,</w:t>
      </w:r>
    </w:p>
    <w:p w14:paraId="7CFF5F6D" w14:textId="77777777" w:rsidR="004C0A79" w:rsidRPr="00731F8E" w:rsidRDefault="004C0A79" w:rsidP="00A86526">
      <w:pPr>
        <w:pStyle w:val="P68B1DB1-ListParagraph3"/>
        <w:numPr>
          <w:ilvl w:val="0"/>
          <w:numId w:val="85"/>
        </w:numPr>
        <w:tabs>
          <w:tab w:val="left" w:pos="2100"/>
          <w:tab w:val="left" w:pos="2102"/>
        </w:tabs>
        <w:spacing w:line="276" w:lineRule="auto"/>
        <w:ind w:left="2102" w:right="126"/>
        <w:rPr>
          <w:rFonts w:ascii="Times New Roman" w:hAnsi="Times New Roman" w:cs="Times New Roman"/>
          <w:szCs w:val="22"/>
        </w:rPr>
      </w:pPr>
      <w:r w:rsidRPr="00731F8E">
        <w:rPr>
          <w:rFonts w:ascii="Times New Roman" w:hAnsi="Times New Roman" w:cs="Times New Roman"/>
          <w:szCs w:val="22"/>
        </w:rPr>
        <w:t>The rate of participation share that the legal entities with certificates operating in the Natural Gas Market are obliged to pay in 2023 is 0 (zero) for 2022 activities.</w:t>
      </w:r>
    </w:p>
    <w:p w14:paraId="6BFCCEC2" w14:textId="77777777" w:rsidR="004C0A79" w:rsidRPr="00731F8E" w:rsidRDefault="004C0A79" w:rsidP="004C0A79">
      <w:pPr>
        <w:pStyle w:val="GvdeMetni"/>
        <w:spacing w:before="38"/>
        <w:rPr>
          <w:rFonts w:cs="Times New Roman"/>
          <w:szCs w:val="22"/>
        </w:rPr>
      </w:pPr>
    </w:p>
    <w:p w14:paraId="5C94D38C" w14:textId="77777777" w:rsidR="004C0A79" w:rsidRPr="00731F8E" w:rsidRDefault="004C0A79" w:rsidP="004C0A79">
      <w:pPr>
        <w:pStyle w:val="GvdeMetni"/>
        <w:spacing w:before="63"/>
        <w:rPr>
          <w:rFonts w:cs="Times New Roman"/>
          <w:szCs w:val="22"/>
        </w:rPr>
      </w:pPr>
    </w:p>
    <w:p w14:paraId="7CCBEE31" w14:textId="0716084A" w:rsidR="004C0A79" w:rsidRPr="00C32187" w:rsidRDefault="004C0A79" w:rsidP="00A86526">
      <w:pPr>
        <w:pStyle w:val="ListeParagraf"/>
        <w:widowControl w:val="0"/>
        <w:numPr>
          <w:ilvl w:val="0"/>
          <w:numId w:val="87"/>
        </w:numPr>
        <w:tabs>
          <w:tab w:val="left" w:pos="836"/>
          <w:tab w:val="left" w:pos="838"/>
        </w:tabs>
        <w:autoSpaceDE w:val="0"/>
        <w:autoSpaceDN w:val="0"/>
        <w:spacing w:before="60" w:after="0" w:line="259" w:lineRule="auto"/>
        <w:ind w:left="838" w:right="123" w:hanging="361"/>
        <w:contextualSpacing w:val="0"/>
        <w:rPr>
          <w:i/>
        </w:rPr>
      </w:pPr>
      <w:r w:rsidRPr="00731F8E">
        <w:rPr>
          <w:rFonts w:ascii="Times New Roman" w:hAnsi="Times New Roman"/>
        </w:rPr>
        <w:t>• With the Board Decision dated 22.12.2022 and numbered 11477 published in the Official Gazette dated 24.12.2022 and numbered 32053, Article 5 of the Regulation on Determining the Basic Usage Procedures and Principles of Liquefied Natural Gas Storage Facility and BOTAŞ Dörtyol Floating Liquefied Natural Gas (LNG) Terminal (FSRU) KUE 3.3 within the framework of Article 21 of the Basic Usage Procedures and Principles (KUE) regarding changes the article has been changed as follows:</w:t>
      </w:r>
    </w:p>
    <w:p w14:paraId="367DC7B6" w14:textId="77777777" w:rsidR="004C0A79" w:rsidRPr="00731F8E" w:rsidRDefault="004C0A79" w:rsidP="004C0A79">
      <w:pPr>
        <w:pStyle w:val="Balk2"/>
        <w:ind w:left="567"/>
        <w:rPr>
          <w:rFonts w:ascii="Times New Roman" w:hAnsi="Times New Roman" w:cs="Times New Roman"/>
          <w:szCs w:val="22"/>
        </w:rPr>
      </w:pPr>
      <w:r w:rsidRPr="00731F8E">
        <w:rPr>
          <w:rFonts w:ascii="Times New Roman" w:hAnsi="Times New Roman" w:cs="Times New Roman"/>
          <w:szCs w:val="22"/>
        </w:rPr>
        <w:t>3.3. Information on BDLNG Terminal</w:t>
      </w:r>
    </w:p>
    <w:p w14:paraId="126358FA" w14:textId="77777777" w:rsidR="004C0A79" w:rsidRPr="00731F8E" w:rsidRDefault="004C0A79" w:rsidP="004C0A79">
      <w:pPr>
        <w:pStyle w:val="GvdeMetni"/>
        <w:spacing w:before="82"/>
        <w:rPr>
          <w:rFonts w:cs="Times New Roman"/>
          <w:b/>
          <w:szCs w:val="22"/>
        </w:rPr>
      </w:pPr>
    </w:p>
    <w:p w14:paraId="085929B8" w14:textId="77777777" w:rsidR="004C0A79" w:rsidRPr="00731F8E" w:rsidRDefault="004C0A79" w:rsidP="004C0A79">
      <w:pPr>
        <w:pStyle w:val="GvdeMetni"/>
        <w:spacing w:line="276" w:lineRule="auto"/>
        <w:ind w:left="851" w:right="121"/>
        <w:rPr>
          <w:rFonts w:cs="Times New Roman"/>
          <w:szCs w:val="22"/>
        </w:rPr>
      </w:pPr>
      <w:r w:rsidRPr="00731F8E">
        <w:rPr>
          <w:rFonts w:cs="Times New Roman"/>
          <w:szCs w:val="22"/>
        </w:rPr>
        <w:t>The BDLNG Terminal referred to in this KUE is the FSRU unit connected at the port of BOTAŞ in the Yeniyurt Location on the E-5 Highway, Dörtyol District, Hatay. BDLNG has two basic functions:</w:t>
      </w:r>
    </w:p>
    <w:p w14:paraId="5FA2227A" w14:textId="77777777" w:rsidR="004C0A79" w:rsidRPr="00731F8E" w:rsidRDefault="004C0A79" w:rsidP="004C0A79">
      <w:pPr>
        <w:pStyle w:val="GvdeMetni"/>
        <w:spacing w:before="39"/>
        <w:ind w:left="851"/>
        <w:rPr>
          <w:rFonts w:cs="Times New Roman"/>
          <w:szCs w:val="22"/>
        </w:rPr>
      </w:pPr>
    </w:p>
    <w:p w14:paraId="6A1189B8" w14:textId="77777777" w:rsidR="004C0A79" w:rsidRPr="00731F8E" w:rsidRDefault="004C0A79" w:rsidP="00A86526">
      <w:pPr>
        <w:pStyle w:val="P68B1DB1-ListParagraph3"/>
        <w:numPr>
          <w:ilvl w:val="0"/>
          <w:numId w:val="84"/>
        </w:numPr>
        <w:tabs>
          <w:tab w:val="left" w:pos="851"/>
        </w:tabs>
        <w:ind w:left="851" w:firstLine="0"/>
        <w:rPr>
          <w:rFonts w:ascii="Times New Roman" w:hAnsi="Times New Roman" w:cs="Times New Roman"/>
          <w:szCs w:val="22"/>
        </w:rPr>
      </w:pPr>
      <w:r w:rsidRPr="00731F8E">
        <w:rPr>
          <w:rFonts w:ascii="Times New Roman" w:hAnsi="Times New Roman" w:cs="Times New Roman"/>
          <w:szCs w:val="22"/>
        </w:rPr>
        <w:t>Unloading and storage of LNG from Vessels berthing at FSRU,</w:t>
      </w:r>
    </w:p>
    <w:p w14:paraId="3DDD4B29" w14:textId="77777777" w:rsidR="004C0A79" w:rsidRPr="00731F8E" w:rsidRDefault="004C0A79" w:rsidP="00A86526">
      <w:pPr>
        <w:pStyle w:val="P68B1DB1-ListParagraph3"/>
        <w:numPr>
          <w:ilvl w:val="0"/>
          <w:numId w:val="84"/>
        </w:numPr>
        <w:tabs>
          <w:tab w:val="left" w:pos="851"/>
        </w:tabs>
        <w:spacing w:before="41"/>
        <w:ind w:left="851" w:firstLine="0"/>
        <w:rPr>
          <w:rFonts w:ascii="Times New Roman" w:hAnsi="Times New Roman" w:cs="Times New Roman"/>
          <w:szCs w:val="22"/>
        </w:rPr>
      </w:pPr>
      <w:r w:rsidRPr="00731F8E">
        <w:rPr>
          <w:rFonts w:ascii="Times New Roman" w:hAnsi="Times New Roman" w:cs="Times New Roman"/>
          <w:szCs w:val="22"/>
        </w:rPr>
        <w:t>Gasification of LNG Stored in FSRU and sending to Transmission Network.</w:t>
      </w:r>
    </w:p>
    <w:p w14:paraId="6D992C46" w14:textId="77777777" w:rsidR="004C0A79" w:rsidRPr="00731F8E" w:rsidRDefault="004C0A79" w:rsidP="004C0A79">
      <w:pPr>
        <w:pStyle w:val="GvdeMetni"/>
        <w:spacing w:before="79"/>
        <w:ind w:left="851"/>
        <w:rPr>
          <w:rFonts w:cs="Times New Roman"/>
          <w:szCs w:val="22"/>
        </w:rPr>
      </w:pPr>
    </w:p>
    <w:p w14:paraId="2844651A" w14:textId="77777777" w:rsidR="004C0A79" w:rsidRPr="00731F8E" w:rsidRDefault="004C0A79" w:rsidP="004C0A79">
      <w:pPr>
        <w:pStyle w:val="GvdeMetni"/>
        <w:spacing w:line="276" w:lineRule="auto"/>
        <w:ind w:left="851" w:right="121"/>
        <w:rPr>
          <w:rFonts w:cs="Times New Roman"/>
          <w:szCs w:val="22"/>
        </w:rPr>
      </w:pPr>
      <w:r w:rsidRPr="00731F8E">
        <w:rPr>
          <w:rFonts w:cs="Times New Roman"/>
          <w:szCs w:val="22"/>
        </w:rPr>
        <w:t>If the Transmission Network and Terminal operating conditions are appropriate, the annual Maximum Gasification Capacity of the Terminal is 7 billion 350 million Sm3/year. The Daily Gasification Capacity of the Terminal is 21 million Sm3/day and this amount can be up to approximately 28 million Sm3/day (Maximum Daily Gasification Capacity) if appropriate conditions occur.</w:t>
      </w:r>
    </w:p>
    <w:p w14:paraId="62E77108" w14:textId="77777777" w:rsidR="004C0A79" w:rsidRPr="00731F8E" w:rsidRDefault="004C0A79" w:rsidP="004C0A79">
      <w:pPr>
        <w:pStyle w:val="GvdeMetni"/>
        <w:spacing w:before="42"/>
        <w:ind w:left="851"/>
        <w:rPr>
          <w:rFonts w:cs="Times New Roman"/>
          <w:szCs w:val="22"/>
        </w:rPr>
      </w:pPr>
    </w:p>
    <w:p w14:paraId="63E830E5" w14:textId="77777777" w:rsidR="004C0A79" w:rsidRPr="00731F8E" w:rsidRDefault="004C0A79" w:rsidP="004C0A79">
      <w:pPr>
        <w:pStyle w:val="GvdeMetni"/>
        <w:spacing w:line="276" w:lineRule="auto"/>
        <w:ind w:left="851" w:right="120"/>
        <w:rPr>
          <w:rFonts w:cs="Times New Roman"/>
          <w:szCs w:val="22"/>
        </w:rPr>
      </w:pPr>
      <w:r w:rsidRPr="00731F8E">
        <w:rPr>
          <w:rFonts w:cs="Times New Roman"/>
          <w:szCs w:val="22"/>
        </w:rPr>
        <w:t>The ship characteristics and berthing procedures to be docked at the terminal are defined in the documents published by the Terminal on the Website.</w:t>
      </w:r>
    </w:p>
    <w:p w14:paraId="5DA8BE18" w14:textId="77777777" w:rsidR="004C0A79" w:rsidRPr="00731F8E" w:rsidRDefault="004C0A79" w:rsidP="004C0A79">
      <w:pPr>
        <w:pStyle w:val="GvdeMetni"/>
        <w:spacing w:before="40"/>
        <w:ind w:left="851"/>
        <w:rPr>
          <w:rFonts w:cs="Times New Roman"/>
          <w:szCs w:val="22"/>
        </w:rPr>
      </w:pPr>
    </w:p>
    <w:p w14:paraId="2D91970E" w14:textId="77777777" w:rsidR="004C0A79" w:rsidRPr="00731F8E" w:rsidRDefault="004C0A79" w:rsidP="004C0A79">
      <w:pPr>
        <w:pStyle w:val="GvdeMetni"/>
        <w:spacing w:line="276" w:lineRule="auto"/>
        <w:ind w:left="851" w:right="125"/>
        <w:rPr>
          <w:rFonts w:cs="Times New Roman"/>
          <w:szCs w:val="22"/>
        </w:rPr>
      </w:pPr>
      <w:r w:rsidRPr="00731F8E">
        <w:rPr>
          <w:rFonts w:cs="Times New Roman"/>
          <w:szCs w:val="22"/>
        </w:rPr>
        <w:t>The utilization capacity (Storage Capacity) of BOTAŞ Dörtyol Floating LNG Terminal is 166.600 m3 LNG.</w:t>
      </w:r>
    </w:p>
    <w:p w14:paraId="455CC2FC" w14:textId="77777777" w:rsidR="004C0A79" w:rsidRPr="00731F8E" w:rsidRDefault="004C0A79" w:rsidP="004C0A79">
      <w:pPr>
        <w:pStyle w:val="GvdeMetni"/>
        <w:spacing w:before="40"/>
        <w:ind w:left="851"/>
        <w:rPr>
          <w:rFonts w:cs="Times New Roman"/>
          <w:szCs w:val="22"/>
        </w:rPr>
      </w:pPr>
    </w:p>
    <w:p w14:paraId="12B121A7" w14:textId="77777777" w:rsidR="004C0A79" w:rsidRPr="00731F8E" w:rsidRDefault="004C0A79" w:rsidP="004C0A79">
      <w:pPr>
        <w:pStyle w:val="GvdeMetni"/>
        <w:spacing w:line="276" w:lineRule="auto"/>
        <w:ind w:left="851" w:right="121"/>
        <w:rPr>
          <w:rFonts w:cs="Times New Roman"/>
          <w:szCs w:val="22"/>
        </w:rPr>
      </w:pPr>
      <w:r w:rsidRPr="00731F8E">
        <w:rPr>
          <w:rFonts w:cs="Times New Roman"/>
          <w:szCs w:val="22"/>
        </w:rPr>
        <w:t>The measured Gas is sent to the Transmission Network. The pressure of the natural gas delivered to the main transmission network is provided by BDLNG so that it is higher than the current line pressure in the connection line.</w:t>
      </w:r>
    </w:p>
    <w:p w14:paraId="3064D0EC" w14:textId="77777777" w:rsidR="004C0A79" w:rsidRPr="00731F8E" w:rsidRDefault="004C0A79" w:rsidP="004C0A79">
      <w:pPr>
        <w:pStyle w:val="GvdeMetni"/>
        <w:spacing w:before="40"/>
        <w:ind w:left="851"/>
        <w:rPr>
          <w:rFonts w:cs="Times New Roman"/>
          <w:szCs w:val="22"/>
        </w:rPr>
      </w:pPr>
    </w:p>
    <w:p w14:paraId="26AFABA1" w14:textId="77777777" w:rsidR="004C0A79" w:rsidRPr="00731F8E" w:rsidRDefault="004C0A79" w:rsidP="004C0A79">
      <w:pPr>
        <w:pStyle w:val="GvdeMetni"/>
        <w:spacing w:line="276" w:lineRule="auto"/>
        <w:ind w:left="851" w:right="119"/>
        <w:rPr>
          <w:rFonts w:cs="Times New Roman"/>
          <w:szCs w:val="22"/>
        </w:rPr>
      </w:pPr>
      <w:r w:rsidRPr="00731F8E">
        <w:rPr>
          <w:rFonts w:cs="Times New Roman"/>
          <w:szCs w:val="22"/>
        </w:rPr>
        <w:t>After safely docking at the BDLNG Terminal, a maximum of 10,000 m3 of LNG per hour (except for the processes of commissioning and decommissioning the pumps) can be discharged from each LNG Vessel with appropriate tank pressures.</w:t>
      </w:r>
    </w:p>
    <w:p w14:paraId="3C57F450" w14:textId="77777777" w:rsidR="004C0A79" w:rsidRPr="00731F8E" w:rsidRDefault="004C0A79" w:rsidP="004C0A79">
      <w:pPr>
        <w:pStyle w:val="GvdeMetni"/>
        <w:spacing w:before="38"/>
        <w:ind w:left="851"/>
        <w:rPr>
          <w:rFonts w:cs="Times New Roman"/>
          <w:szCs w:val="22"/>
        </w:rPr>
      </w:pPr>
    </w:p>
    <w:p w14:paraId="15447D14" w14:textId="77777777" w:rsidR="004C0A79" w:rsidRPr="00731F8E" w:rsidRDefault="004C0A79" w:rsidP="004C0A79">
      <w:pPr>
        <w:pStyle w:val="GvdeMetni"/>
        <w:spacing w:line="276" w:lineRule="auto"/>
        <w:ind w:left="851" w:right="118"/>
        <w:rPr>
          <w:rFonts w:cs="Times New Roman"/>
          <w:szCs w:val="22"/>
        </w:rPr>
      </w:pPr>
      <w:r w:rsidRPr="00731F8E">
        <w:rPr>
          <w:rFonts w:cs="Times New Roman"/>
          <w:szCs w:val="22"/>
        </w:rPr>
        <w:t xml:space="preserve">The Minimum Gasification Amount (or Minimum Shipment Amount) required to manage the Boiling Gas without switching to Zero Send-Out Mode varies depending on the 58,000 Sm3/hour in case of no discharge, and also depending </w:t>
      </w:r>
      <w:r w:rsidRPr="00731F8E">
        <w:rPr>
          <w:rFonts w:cs="Times New Roman"/>
          <w:szCs w:val="22"/>
        </w:rPr>
        <w:lastRenderedPageBreak/>
        <w:t>on the Service Receiver Vessel and the total amount of cargo to be discharged and currently held as inventory. Service Receivers are obliged to request gasification in these minimum amounts. In the event that gasification is requested below the specified Minimum Gasification Amount, Zero Send-Out Mode is switched in cases where there is no Discharge, but in the event that the Minimum Gasification Amount is not provided during the Discharge process, the Boiling Gas to be formed is burned and removed from the system and considered as a loss.</w:t>
      </w:r>
    </w:p>
    <w:p w14:paraId="7F7F1DD6" w14:textId="77777777" w:rsidR="004C0A79" w:rsidRPr="00731F8E" w:rsidRDefault="004C0A79" w:rsidP="004C0A79">
      <w:pPr>
        <w:pStyle w:val="GvdeMetni"/>
        <w:spacing w:before="40"/>
        <w:ind w:left="851"/>
        <w:rPr>
          <w:rFonts w:cs="Times New Roman"/>
          <w:szCs w:val="22"/>
        </w:rPr>
      </w:pPr>
    </w:p>
    <w:p w14:paraId="1C7085A7" w14:textId="7E90E3E7" w:rsidR="004C0A79" w:rsidRDefault="004C0A79" w:rsidP="004C0A79">
      <w:pPr>
        <w:pStyle w:val="GvdeMetni"/>
        <w:spacing w:line="276" w:lineRule="auto"/>
        <w:ind w:left="851" w:right="120"/>
        <w:rPr>
          <w:rFonts w:cs="Times New Roman"/>
          <w:szCs w:val="22"/>
        </w:rPr>
      </w:pPr>
      <w:r w:rsidRPr="00731F8E">
        <w:rPr>
          <w:rFonts w:cs="Times New Roman"/>
          <w:szCs w:val="22"/>
        </w:rPr>
        <w:t>In Zero Send-Out Mode, when the LNG density is 0.47 kg/m3 and the LNG vapor pressure in the tanks is 170 mbar, the hourly Boiling Gas Amount is approximately 5.600 Sm3. With the compressor located in the terminal for Boiling Gas management, BDLNG shall make the necessary efforts by taking into account the operating conditions in order to manage this Boiling Gas without loss. However, in cases where the Boiling Gas cannot be managed through the compressor, the amount in question will be considered as a loss.</w:t>
      </w:r>
    </w:p>
    <w:p w14:paraId="178423A9" w14:textId="77777777" w:rsidR="00C32187" w:rsidRPr="00731F8E" w:rsidRDefault="00C32187" w:rsidP="004C0A79">
      <w:pPr>
        <w:pStyle w:val="GvdeMetni"/>
        <w:spacing w:line="276" w:lineRule="auto"/>
        <w:ind w:left="851" w:right="120"/>
        <w:rPr>
          <w:rFonts w:cs="Times New Roman"/>
          <w:szCs w:val="22"/>
        </w:rPr>
      </w:pPr>
    </w:p>
    <w:p w14:paraId="23C42991" w14:textId="77777777" w:rsidR="004C0A79" w:rsidRPr="00731F8E" w:rsidRDefault="004C0A79" w:rsidP="004C0A79">
      <w:pPr>
        <w:pStyle w:val="GvdeMetni"/>
        <w:spacing w:before="37"/>
        <w:rPr>
          <w:rFonts w:cs="Times New Roman"/>
          <w:szCs w:val="22"/>
        </w:rPr>
      </w:pPr>
    </w:p>
    <w:p w14:paraId="377B679C" w14:textId="77777777" w:rsidR="004C0A79" w:rsidRPr="00731F8E" w:rsidRDefault="004C0A79" w:rsidP="00A86526">
      <w:pPr>
        <w:pStyle w:val="ListeParagraf"/>
        <w:widowControl w:val="0"/>
        <w:numPr>
          <w:ilvl w:val="1"/>
          <w:numId w:val="87"/>
        </w:numPr>
        <w:tabs>
          <w:tab w:val="left" w:pos="1608"/>
        </w:tabs>
        <w:autoSpaceDE w:val="0"/>
        <w:autoSpaceDN w:val="0"/>
        <w:spacing w:before="1" w:after="0" w:line="240" w:lineRule="auto"/>
        <w:ind w:left="1608"/>
        <w:contextualSpacing w:val="0"/>
        <w:jc w:val="left"/>
        <w:rPr>
          <w:rFonts w:ascii="Times New Roman" w:hAnsi="Times New Roman"/>
        </w:rPr>
      </w:pPr>
      <w:r w:rsidRPr="00731F8E">
        <w:rPr>
          <w:rFonts w:ascii="Times New Roman" w:hAnsi="Times New Roman"/>
        </w:rPr>
        <w:t>Article 3.4.1.2 of the KUE is amended as follows:</w:t>
      </w:r>
    </w:p>
    <w:p w14:paraId="14428D89" w14:textId="77777777" w:rsidR="004C0A79" w:rsidRPr="00731F8E" w:rsidRDefault="004C0A79" w:rsidP="004C0A79">
      <w:pPr>
        <w:pStyle w:val="GvdeMetni"/>
        <w:spacing w:before="96"/>
        <w:rPr>
          <w:rFonts w:cs="Times New Roman"/>
          <w:i/>
          <w:szCs w:val="22"/>
        </w:rPr>
      </w:pPr>
    </w:p>
    <w:p w14:paraId="583C8DA5" w14:textId="77777777" w:rsidR="004C0A79" w:rsidRPr="00731F8E" w:rsidRDefault="004C0A79" w:rsidP="004C0A79">
      <w:pPr>
        <w:pStyle w:val="Balk2"/>
        <w:rPr>
          <w:rFonts w:ascii="Times New Roman" w:hAnsi="Times New Roman" w:cs="Times New Roman"/>
          <w:szCs w:val="22"/>
        </w:rPr>
      </w:pPr>
      <w:r w:rsidRPr="00731F8E">
        <w:rPr>
          <w:rFonts w:ascii="Times New Roman" w:hAnsi="Times New Roman" w:cs="Times New Roman"/>
          <w:szCs w:val="22"/>
        </w:rPr>
        <w:t>3.4.1.2. Information to be included in the Capacity Request Application Form</w:t>
      </w:r>
    </w:p>
    <w:p w14:paraId="2612DAB8" w14:textId="77777777" w:rsidR="004C0A79" w:rsidRPr="00731F8E" w:rsidRDefault="004C0A79" w:rsidP="004C0A79">
      <w:pPr>
        <w:pStyle w:val="GvdeMetni"/>
        <w:spacing w:before="80"/>
        <w:rPr>
          <w:rFonts w:cs="Times New Roman"/>
          <w:b/>
          <w:szCs w:val="22"/>
        </w:rPr>
      </w:pPr>
    </w:p>
    <w:p w14:paraId="3C5D8E46" w14:textId="77777777" w:rsidR="004C0A79" w:rsidRPr="00731F8E" w:rsidRDefault="004C0A79" w:rsidP="004C0A79">
      <w:pPr>
        <w:pStyle w:val="GvdeMetni"/>
        <w:ind w:left="1608"/>
        <w:rPr>
          <w:rFonts w:cs="Times New Roman"/>
          <w:szCs w:val="22"/>
        </w:rPr>
      </w:pPr>
      <w:r w:rsidRPr="00731F8E">
        <w:rPr>
          <w:rFonts w:cs="Times New Roman"/>
          <w:szCs w:val="22"/>
        </w:rPr>
        <w:t>The following information shall be included in the Capacity Request Application Form:</w:t>
      </w:r>
    </w:p>
    <w:p w14:paraId="6C27ED91" w14:textId="77777777" w:rsidR="004C0A79" w:rsidRPr="00731F8E" w:rsidRDefault="004C0A79" w:rsidP="004C0A79">
      <w:pPr>
        <w:pStyle w:val="GvdeMetni"/>
        <w:spacing w:before="79"/>
        <w:rPr>
          <w:rFonts w:cs="Times New Roman"/>
          <w:szCs w:val="22"/>
        </w:rPr>
      </w:pPr>
    </w:p>
    <w:p w14:paraId="52D1C138" w14:textId="77777777" w:rsidR="004C0A79" w:rsidRPr="00731F8E" w:rsidRDefault="004C0A79" w:rsidP="00A86526">
      <w:pPr>
        <w:pStyle w:val="P68B1DB1-ListParagraph3"/>
        <w:numPr>
          <w:ilvl w:val="0"/>
          <w:numId w:val="83"/>
        </w:numPr>
        <w:tabs>
          <w:tab w:val="left" w:pos="1826"/>
        </w:tabs>
        <w:spacing w:before="1"/>
        <w:ind w:left="1826" w:hanging="218"/>
        <w:rPr>
          <w:rFonts w:ascii="Times New Roman" w:hAnsi="Times New Roman" w:cs="Times New Roman"/>
          <w:szCs w:val="22"/>
        </w:rPr>
      </w:pPr>
      <w:r w:rsidRPr="00731F8E">
        <w:rPr>
          <w:rFonts w:ascii="Times New Roman" w:hAnsi="Times New Roman" w:cs="Times New Roman"/>
          <w:szCs w:val="22"/>
        </w:rPr>
        <w:t>Regarding the LNG to be brought by the Applicant;</w:t>
      </w:r>
    </w:p>
    <w:p w14:paraId="53EE70C3" w14:textId="77777777" w:rsidR="004C0A79" w:rsidRPr="00731F8E" w:rsidRDefault="004C0A79" w:rsidP="004C0A79">
      <w:pPr>
        <w:pStyle w:val="GvdeMetni"/>
        <w:spacing w:before="81"/>
        <w:rPr>
          <w:rFonts w:cs="Times New Roman"/>
          <w:szCs w:val="22"/>
        </w:rPr>
      </w:pPr>
    </w:p>
    <w:p w14:paraId="7D68C67F" w14:textId="77777777" w:rsidR="004C0A79" w:rsidRPr="00731F8E" w:rsidRDefault="004C0A79" w:rsidP="00A86526">
      <w:pPr>
        <w:pStyle w:val="P68B1DB1-ListParagraph3"/>
        <w:numPr>
          <w:ilvl w:val="1"/>
          <w:numId w:val="83"/>
        </w:numPr>
        <w:tabs>
          <w:tab w:val="left" w:pos="1818"/>
        </w:tabs>
        <w:spacing w:before="1" w:line="276" w:lineRule="auto"/>
        <w:ind w:right="121" w:firstLine="0"/>
        <w:rPr>
          <w:rFonts w:ascii="Times New Roman" w:hAnsi="Times New Roman" w:cs="Times New Roman"/>
          <w:szCs w:val="22"/>
        </w:rPr>
      </w:pPr>
      <w:r w:rsidRPr="00731F8E">
        <w:rPr>
          <w:rFonts w:ascii="Times New Roman" w:hAnsi="Times New Roman" w:cs="Times New Roman"/>
          <w:szCs w:val="22"/>
        </w:rPr>
        <w:t>The amount requested to be reserved by the Applicant from the annual Maximum Gasification Capacity announced by BDLNG,</w:t>
      </w:r>
    </w:p>
    <w:p w14:paraId="3793F84A" w14:textId="77777777" w:rsidR="004C0A79" w:rsidRPr="00731F8E" w:rsidRDefault="004C0A79" w:rsidP="00A86526">
      <w:pPr>
        <w:pStyle w:val="P68B1DB1-ListParagraph3"/>
        <w:numPr>
          <w:ilvl w:val="1"/>
          <w:numId w:val="83"/>
        </w:numPr>
        <w:tabs>
          <w:tab w:val="left" w:pos="1825"/>
        </w:tabs>
        <w:spacing w:line="268" w:lineRule="exact"/>
        <w:ind w:left="1825" w:hanging="217"/>
        <w:rPr>
          <w:rFonts w:ascii="Times New Roman" w:hAnsi="Times New Roman" w:cs="Times New Roman"/>
          <w:szCs w:val="22"/>
        </w:rPr>
      </w:pPr>
      <w:r w:rsidRPr="00731F8E">
        <w:rPr>
          <w:rFonts w:ascii="Times New Roman" w:hAnsi="Times New Roman" w:cs="Times New Roman"/>
          <w:szCs w:val="22"/>
        </w:rPr>
        <w:t>Regarding the amount of reserved capacity requested by the Applicant;</w:t>
      </w:r>
    </w:p>
    <w:p w14:paraId="42A8F5FD" w14:textId="77777777" w:rsidR="004C0A79" w:rsidRPr="00731F8E" w:rsidRDefault="004C0A79" w:rsidP="004C0A79">
      <w:pPr>
        <w:pStyle w:val="GvdeMetni"/>
        <w:spacing w:before="81"/>
        <w:rPr>
          <w:rFonts w:cs="Times New Roman"/>
          <w:szCs w:val="22"/>
        </w:rPr>
      </w:pPr>
    </w:p>
    <w:p w14:paraId="66F1D335" w14:textId="77777777" w:rsidR="004C0A79" w:rsidRPr="00731F8E" w:rsidRDefault="004C0A79" w:rsidP="00A86526">
      <w:pPr>
        <w:pStyle w:val="P68B1DB1-ListParagraph3"/>
        <w:numPr>
          <w:ilvl w:val="2"/>
          <w:numId w:val="83"/>
        </w:numPr>
        <w:tabs>
          <w:tab w:val="left" w:pos="1779"/>
        </w:tabs>
        <w:spacing w:before="1" w:line="276" w:lineRule="auto"/>
        <w:ind w:right="123" w:firstLine="0"/>
        <w:rPr>
          <w:rFonts w:ascii="Times New Roman" w:hAnsi="Times New Roman" w:cs="Times New Roman"/>
          <w:szCs w:val="22"/>
        </w:rPr>
      </w:pPr>
      <w:r w:rsidRPr="00731F8E">
        <w:rPr>
          <w:rFonts w:ascii="Times New Roman" w:hAnsi="Times New Roman" w:cs="Times New Roman"/>
          <w:szCs w:val="22"/>
        </w:rPr>
        <w:t>The date range in which the arrival dates of the vessels are included for the quantities applied for (each in 7 (seven) day periods to be called “Window” and in accordance with the calendar published by BDLNG),</w:t>
      </w:r>
    </w:p>
    <w:p w14:paraId="66409276" w14:textId="77777777" w:rsidR="004C0A79" w:rsidRPr="00731F8E" w:rsidRDefault="004C0A79" w:rsidP="00A86526">
      <w:pPr>
        <w:pStyle w:val="P68B1DB1-ListParagraph3"/>
        <w:numPr>
          <w:ilvl w:val="2"/>
          <w:numId w:val="83"/>
        </w:numPr>
        <w:tabs>
          <w:tab w:val="left" w:pos="1812"/>
        </w:tabs>
        <w:spacing w:line="268" w:lineRule="exact"/>
        <w:ind w:left="1812" w:hanging="204"/>
        <w:rPr>
          <w:rFonts w:ascii="Times New Roman" w:hAnsi="Times New Roman" w:cs="Times New Roman"/>
          <w:szCs w:val="22"/>
        </w:rPr>
      </w:pPr>
      <w:r w:rsidRPr="00731F8E">
        <w:rPr>
          <w:rFonts w:ascii="Times New Roman" w:hAnsi="Times New Roman" w:cs="Times New Roman"/>
          <w:szCs w:val="22"/>
        </w:rPr>
        <w:t>Vessel arrival dates with a tolerance of ± 2 (two) days in the relevant Window,</w:t>
      </w:r>
    </w:p>
    <w:p w14:paraId="563F9C85" w14:textId="77777777" w:rsidR="004C0A79" w:rsidRPr="00731F8E" w:rsidRDefault="004C0A79" w:rsidP="00A86526">
      <w:pPr>
        <w:pStyle w:val="P68B1DB1-ListParagraph3"/>
        <w:numPr>
          <w:ilvl w:val="2"/>
          <w:numId w:val="83"/>
        </w:numPr>
        <w:tabs>
          <w:tab w:val="left" w:pos="1862"/>
        </w:tabs>
        <w:spacing w:before="38"/>
        <w:ind w:left="1862" w:hanging="254"/>
        <w:rPr>
          <w:rFonts w:ascii="Times New Roman" w:hAnsi="Times New Roman" w:cs="Times New Roman"/>
          <w:szCs w:val="22"/>
        </w:rPr>
      </w:pPr>
      <w:r w:rsidRPr="00731F8E">
        <w:rPr>
          <w:rFonts w:ascii="Times New Roman" w:hAnsi="Times New Roman" w:cs="Times New Roman"/>
          <w:szCs w:val="22"/>
        </w:rPr>
        <w:t>The estimated amount of LNG that each Vessel will bring,</w:t>
      </w:r>
    </w:p>
    <w:p w14:paraId="61648A7B" w14:textId="77777777" w:rsidR="004C0A79" w:rsidRPr="00731F8E" w:rsidRDefault="004C0A79" w:rsidP="004C0A79">
      <w:pPr>
        <w:pStyle w:val="GvdeMetni"/>
        <w:spacing w:before="82"/>
        <w:rPr>
          <w:rFonts w:cs="Times New Roman"/>
          <w:szCs w:val="22"/>
        </w:rPr>
      </w:pPr>
    </w:p>
    <w:p w14:paraId="69218DA9" w14:textId="77777777" w:rsidR="004C0A79" w:rsidRPr="00731F8E" w:rsidRDefault="004C0A79" w:rsidP="00A86526">
      <w:pPr>
        <w:pStyle w:val="P68B1DB1-ListParagraph3"/>
        <w:numPr>
          <w:ilvl w:val="1"/>
          <w:numId w:val="83"/>
        </w:numPr>
        <w:tabs>
          <w:tab w:val="left" w:pos="1608"/>
          <w:tab w:val="left" w:pos="1853"/>
        </w:tabs>
        <w:spacing w:line="273" w:lineRule="auto"/>
        <w:ind w:right="120" w:hanging="1"/>
        <w:rPr>
          <w:rFonts w:ascii="Times New Roman" w:hAnsi="Times New Roman" w:cs="Times New Roman"/>
          <w:szCs w:val="22"/>
        </w:rPr>
      </w:pPr>
      <w:r w:rsidRPr="00731F8E">
        <w:rPr>
          <w:rFonts w:ascii="Times New Roman" w:hAnsi="Times New Roman" w:cs="Times New Roman"/>
          <w:szCs w:val="22"/>
        </w:rPr>
        <w:t>General and technical information regarding the Marine Tankers to be used in the transportation of the LNG to be brought by the Applicant,</w:t>
      </w:r>
    </w:p>
    <w:p w14:paraId="47448BB3" w14:textId="77777777" w:rsidR="004C0A79" w:rsidRPr="00731F8E" w:rsidRDefault="004C0A79" w:rsidP="004C0A79">
      <w:pPr>
        <w:pStyle w:val="GvdeMetni"/>
        <w:spacing w:before="45"/>
        <w:rPr>
          <w:rFonts w:cs="Times New Roman"/>
          <w:szCs w:val="22"/>
        </w:rPr>
      </w:pPr>
    </w:p>
    <w:p w14:paraId="2BB01CCF" w14:textId="77777777" w:rsidR="004C0A79" w:rsidRPr="00731F8E" w:rsidRDefault="004C0A79" w:rsidP="00A86526">
      <w:pPr>
        <w:pStyle w:val="P68B1DB1-ListParagraph3"/>
        <w:numPr>
          <w:ilvl w:val="1"/>
          <w:numId w:val="83"/>
        </w:numPr>
        <w:tabs>
          <w:tab w:val="left" w:pos="1825"/>
        </w:tabs>
        <w:spacing w:before="1"/>
        <w:ind w:left="1825" w:hanging="217"/>
        <w:rPr>
          <w:rFonts w:ascii="Times New Roman" w:hAnsi="Times New Roman" w:cs="Times New Roman"/>
          <w:szCs w:val="22"/>
        </w:rPr>
      </w:pPr>
      <w:r w:rsidRPr="00731F8E">
        <w:rPr>
          <w:rFonts w:ascii="Times New Roman" w:hAnsi="Times New Roman" w:cs="Times New Roman"/>
          <w:szCs w:val="22"/>
        </w:rPr>
        <w:t>Statement to be obtained from the LNG supplier covering the following information:</w:t>
      </w:r>
    </w:p>
    <w:p w14:paraId="1E4DEF51" w14:textId="77777777" w:rsidR="004C0A79" w:rsidRPr="00731F8E" w:rsidRDefault="004C0A79" w:rsidP="004C0A79">
      <w:pPr>
        <w:pStyle w:val="GvdeMetni"/>
        <w:spacing w:before="79"/>
        <w:rPr>
          <w:rFonts w:cs="Times New Roman"/>
          <w:szCs w:val="22"/>
        </w:rPr>
      </w:pPr>
    </w:p>
    <w:p w14:paraId="2EE2C028" w14:textId="77777777" w:rsidR="004C0A79" w:rsidRPr="00731F8E" w:rsidRDefault="004C0A79" w:rsidP="00A86526">
      <w:pPr>
        <w:pStyle w:val="P68B1DB1-ListParagraph3"/>
        <w:numPr>
          <w:ilvl w:val="2"/>
          <w:numId w:val="83"/>
        </w:numPr>
        <w:tabs>
          <w:tab w:val="left" w:pos="1763"/>
        </w:tabs>
        <w:ind w:left="1763" w:hanging="155"/>
        <w:rPr>
          <w:rFonts w:ascii="Times New Roman" w:hAnsi="Times New Roman" w:cs="Times New Roman"/>
          <w:szCs w:val="22"/>
        </w:rPr>
      </w:pPr>
      <w:r w:rsidRPr="00731F8E">
        <w:rPr>
          <w:rFonts w:ascii="Times New Roman" w:hAnsi="Times New Roman" w:cs="Times New Roman"/>
          <w:szCs w:val="22"/>
        </w:rPr>
        <w:t>Commencement date of import,</w:t>
      </w:r>
    </w:p>
    <w:p w14:paraId="4BF28E2E" w14:textId="77777777" w:rsidR="004C0A79" w:rsidRPr="00731F8E" w:rsidRDefault="004C0A79" w:rsidP="00A86526">
      <w:pPr>
        <w:pStyle w:val="P68B1DB1-ListParagraph3"/>
        <w:numPr>
          <w:ilvl w:val="2"/>
          <w:numId w:val="83"/>
        </w:numPr>
        <w:tabs>
          <w:tab w:val="left" w:pos="1812"/>
        </w:tabs>
        <w:spacing w:before="41"/>
        <w:ind w:left="1812" w:hanging="204"/>
        <w:rPr>
          <w:rFonts w:ascii="Times New Roman" w:hAnsi="Times New Roman" w:cs="Times New Roman"/>
          <w:szCs w:val="22"/>
        </w:rPr>
      </w:pPr>
      <w:r w:rsidRPr="00731F8E">
        <w:rPr>
          <w:rFonts w:ascii="Times New Roman" w:hAnsi="Times New Roman" w:cs="Times New Roman"/>
          <w:szCs w:val="22"/>
        </w:rPr>
        <w:t>Duration of the contract or delivery date range,</w:t>
      </w:r>
    </w:p>
    <w:p w14:paraId="334557C6" w14:textId="77777777" w:rsidR="004C0A79" w:rsidRPr="00731F8E" w:rsidRDefault="004C0A79" w:rsidP="00A86526">
      <w:pPr>
        <w:pStyle w:val="P68B1DB1-ListParagraph3"/>
        <w:numPr>
          <w:ilvl w:val="2"/>
          <w:numId w:val="83"/>
        </w:numPr>
        <w:tabs>
          <w:tab w:val="left" w:pos="1925"/>
        </w:tabs>
        <w:spacing w:before="39" w:line="276" w:lineRule="auto"/>
        <w:ind w:right="121" w:firstLine="0"/>
        <w:rPr>
          <w:rFonts w:ascii="Times New Roman" w:hAnsi="Times New Roman" w:cs="Times New Roman"/>
          <w:szCs w:val="22"/>
        </w:rPr>
      </w:pPr>
      <w:r w:rsidRPr="00731F8E">
        <w:rPr>
          <w:rFonts w:ascii="Times New Roman" w:hAnsi="Times New Roman" w:cs="Times New Roman"/>
          <w:szCs w:val="22"/>
        </w:rPr>
        <w:t>The total amount or number of cargoes per year and the amount of cargoes, 3 monthly distributions of the annual amount,</w:t>
      </w:r>
    </w:p>
    <w:p w14:paraId="06451156" w14:textId="77777777" w:rsidR="004C0A79" w:rsidRPr="00731F8E" w:rsidRDefault="004C0A79" w:rsidP="004C0A79">
      <w:pPr>
        <w:pStyle w:val="GvdeMetni"/>
        <w:spacing w:before="40"/>
        <w:rPr>
          <w:rFonts w:cs="Times New Roman"/>
          <w:szCs w:val="22"/>
        </w:rPr>
      </w:pPr>
    </w:p>
    <w:p w14:paraId="22B6D1E2" w14:textId="77777777" w:rsidR="004C0A79" w:rsidRPr="00731F8E" w:rsidRDefault="004C0A79" w:rsidP="00A86526">
      <w:pPr>
        <w:pStyle w:val="P68B1DB1-ListParagraph3"/>
        <w:numPr>
          <w:ilvl w:val="1"/>
          <w:numId w:val="83"/>
        </w:numPr>
        <w:tabs>
          <w:tab w:val="left" w:pos="1851"/>
        </w:tabs>
        <w:spacing w:line="276" w:lineRule="auto"/>
        <w:ind w:right="119" w:firstLine="0"/>
        <w:rPr>
          <w:rFonts w:ascii="Times New Roman" w:hAnsi="Times New Roman" w:cs="Times New Roman"/>
          <w:szCs w:val="22"/>
        </w:rPr>
      </w:pPr>
      <w:r w:rsidRPr="00731F8E">
        <w:rPr>
          <w:rFonts w:ascii="Times New Roman" w:hAnsi="Times New Roman" w:cs="Times New Roman"/>
          <w:szCs w:val="22"/>
        </w:rPr>
        <w:t>Gaseous quality values of the LNG to be brought by the Applicant (shall be in accordance with the analysis values given in Article 10),</w:t>
      </w:r>
    </w:p>
    <w:p w14:paraId="5A9E8312" w14:textId="77777777" w:rsidR="004C0A79" w:rsidRPr="00731F8E" w:rsidRDefault="004C0A79" w:rsidP="004C0A79">
      <w:pPr>
        <w:pStyle w:val="GvdeMetni"/>
        <w:spacing w:before="42"/>
        <w:rPr>
          <w:rFonts w:cs="Times New Roman"/>
          <w:szCs w:val="22"/>
        </w:rPr>
      </w:pPr>
    </w:p>
    <w:p w14:paraId="0E173DAE" w14:textId="77777777" w:rsidR="004C0A79" w:rsidRPr="00731F8E" w:rsidRDefault="004C0A79" w:rsidP="00A86526">
      <w:pPr>
        <w:pStyle w:val="P68B1DB1-ListParagraph3"/>
        <w:numPr>
          <w:ilvl w:val="1"/>
          <w:numId w:val="83"/>
        </w:numPr>
        <w:tabs>
          <w:tab w:val="left" w:pos="1608"/>
          <w:tab w:val="left" w:pos="1868"/>
        </w:tabs>
        <w:spacing w:before="39" w:line="276" w:lineRule="auto"/>
        <w:ind w:right="123" w:firstLine="0"/>
        <w:rPr>
          <w:rFonts w:ascii="Times New Roman" w:hAnsi="Times New Roman" w:cs="Times New Roman"/>
          <w:szCs w:val="22"/>
        </w:rPr>
      </w:pPr>
      <w:r w:rsidRPr="00731F8E">
        <w:rPr>
          <w:rFonts w:ascii="Times New Roman" w:hAnsi="Times New Roman" w:cs="Times New Roman"/>
          <w:szCs w:val="22"/>
        </w:rPr>
        <w:t>For Applicants with a Wholesale or Export License, the provisions of their contract with the Importer Company regarding the shipment (BDLNG will accept that the Wholesale Companies signing the ths have received the LNG purchased from the Importer Companies at the Terminal Acceptance Point),</w:t>
      </w:r>
    </w:p>
    <w:p w14:paraId="2CA60485" w14:textId="77777777" w:rsidR="004C0A79" w:rsidRPr="00731F8E" w:rsidRDefault="004C0A79" w:rsidP="00A86526">
      <w:pPr>
        <w:pStyle w:val="P68B1DB1-ListParagraph3"/>
        <w:numPr>
          <w:ilvl w:val="1"/>
          <w:numId w:val="83"/>
        </w:numPr>
        <w:tabs>
          <w:tab w:val="left" w:pos="1608"/>
          <w:tab w:val="left" w:pos="1868"/>
        </w:tabs>
        <w:spacing w:before="39" w:line="276" w:lineRule="auto"/>
        <w:ind w:right="123" w:firstLine="0"/>
        <w:rPr>
          <w:rFonts w:ascii="Times New Roman" w:hAnsi="Times New Roman" w:cs="Times New Roman"/>
          <w:szCs w:val="22"/>
        </w:rPr>
      </w:pPr>
      <w:r w:rsidRPr="00731F8E">
        <w:rPr>
          <w:rFonts w:ascii="Times New Roman" w:hAnsi="Times New Roman" w:cs="Times New Roman"/>
          <w:szCs w:val="22"/>
        </w:rPr>
        <w:t xml:space="preserve">If more than one Service Receiver's LNG is to be unloaded in the same cargo, the protocol to </w:t>
      </w:r>
      <w:r w:rsidRPr="00731F8E">
        <w:rPr>
          <w:rFonts w:ascii="Times New Roman" w:hAnsi="Times New Roman" w:cs="Times New Roman"/>
          <w:szCs w:val="22"/>
        </w:rPr>
        <w:lastRenderedPageBreak/>
        <w:t>be submitted by these Service Receivers regarding the allocation of the LNG to be unloaded between the relevant Service Receivers shall be attached.</w:t>
      </w:r>
    </w:p>
    <w:p w14:paraId="780820A7" w14:textId="77777777" w:rsidR="004C0A79" w:rsidRPr="00731F8E" w:rsidRDefault="004C0A79" w:rsidP="00A86526">
      <w:pPr>
        <w:pStyle w:val="P68B1DB1-ListParagraph3"/>
        <w:numPr>
          <w:ilvl w:val="0"/>
          <w:numId w:val="83"/>
        </w:numPr>
        <w:tabs>
          <w:tab w:val="left" w:pos="1868"/>
        </w:tabs>
        <w:spacing w:before="39" w:line="276" w:lineRule="auto"/>
        <w:ind w:left="1608" w:right="123" w:firstLine="0"/>
        <w:rPr>
          <w:rFonts w:ascii="Times New Roman" w:hAnsi="Times New Roman" w:cs="Times New Roman"/>
          <w:szCs w:val="22"/>
        </w:rPr>
      </w:pPr>
      <w:r w:rsidRPr="00731F8E">
        <w:rPr>
          <w:rFonts w:ascii="Times New Roman" w:hAnsi="Times New Roman" w:cs="Times New Roman"/>
          <w:szCs w:val="22"/>
        </w:rPr>
        <w:t>Regarding the Applicant's LNG to be gasified, the daily minimum and maximum amounts of LNG to be gasified and the distribution of the annual amount on a monthly basis.</w:t>
      </w:r>
    </w:p>
    <w:p w14:paraId="6AD9ABAA" w14:textId="77777777" w:rsidR="004C0A79" w:rsidRPr="00731F8E" w:rsidRDefault="004C0A79" w:rsidP="004C0A79">
      <w:pPr>
        <w:pStyle w:val="GvdeMetni"/>
        <w:spacing w:before="40"/>
        <w:rPr>
          <w:rFonts w:cs="Times New Roman"/>
          <w:szCs w:val="22"/>
        </w:rPr>
      </w:pPr>
    </w:p>
    <w:p w14:paraId="3B9B827B"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The fact that the Applicant completes the Capacity Request Application Form and submits it to BDLNG in writing means that he/she also accepts the provisions of this Kue.</w:t>
      </w:r>
    </w:p>
    <w:p w14:paraId="57E98DE9" w14:textId="77777777" w:rsidR="004C0A79" w:rsidRPr="00731F8E" w:rsidRDefault="004C0A79" w:rsidP="004C0A79">
      <w:pPr>
        <w:pStyle w:val="GvdeMetni"/>
        <w:spacing w:before="40"/>
        <w:rPr>
          <w:rFonts w:cs="Times New Roman"/>
          <w:szCs w:val="22"/>
        </w:rPr>
      </w:pPr>
    </w:p>
    <w:p w14:paraId="35F60CB2"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The information and documents requested in the capacity applications and detailed in this article are submitted separately to BDLNG for each Gas Year following the first Gas Year by the Service Recipients who have Long-Term Capacity Reservation.</w:t>
      </w:r>
    </w:p>
    <w:p w14:paraId="3B51D577" w14:textId="77777777" w:rsidR="004C0A79" w:rsidRPr="00731F8E" w:rsidRDefault="004C0A79" w:rsidP="004C0A79">
      <w:pPr>
        <w:pStyle w:val="GvdeMetni"/>
        <w:spacing w:before="41"/>
        <w:rPr>
          <w:rFonts w:cs="Times New Roman"/>
          <w:szCs w:val="22"/>
        </w:rPr>
      </w:pPr>
    </w:p>
    <w:p w14:paraId="4D77170A" w14:textId="77777777" w:rsidR="004C0A79" w:rsidRPr="00731F8E" w:rsidRDefault="004C0A79" w:rsidP="004C0A79">
      <w:pPr>
        <w:pStyle w:val="GvdeMetni"/>
        <w:spacing w:line="276" w:lineRule="auto"/>
        <w:ind w:left="1608" w:right="120"/>
        <w:rPr>
          <w:rFonts w:cs="Times New Roman"/>
          <w:szCs w:val="22"/>
        </w:rPr>
      </w:pPr>
      <w:r w:rsidRPr="00731F8E">
        <w:rPr>
          <w:rFonts w:cs="Times New Roman"/>
          <w:szCs w:val="22"/>
        </w:rPr>
        <w:t>BDLNG may request additional information and documents in order to ensure the safe and efficient operation of the System in case of hesitation due to incomplete or insufficient explanation in the information provided to BDLNG. In such cases, if the applicant does not complete the missing information and documents within 5 (five) Business Days without a reasonable justification, he/she shall be deemed to have withdrawn his/her request. If the failure to provide the requested information and documents within 5 (five) Business Days is based on a reasonable justification, the requested information and documents together with the justification shall be provided as soon as possible. The requested information and documents are delivered to BDLNG in a way that does not disrupt the capacity reservation calendar.</w:t>
      </w:r>
    </w:p>
    <w:p w14:paraId="6CBBA82E" w14:textId="77777777" w:rsidR="004C0A79" w:rsidRPr="00731F8E" w:rsidRDefault="004C0A79" w:rsidP="004C0A79">
      <w:pPr>
        <w:pStyle w:val="GvdeMetni"/>
        <w:spacing w:before="19"/>
        <w:rPr>
          <w:rFonts w:cs="Times New Roman"/>
          <w:szCs w:val="22"/>
        </w:rPr>
      </w:pPr>
    </w:p>
    <w:p w14:paraId="762FECD6" w14:textId="77777777" w:rsidR="004C0A79" w:rsidRPr="00731F8E" w:rsidRDefault="004C0A79" w:rsidP="00A86526">
      <w:pPr>
        <w:pStyle w:val="ListeParagraf"/>
        <w:widowControl w:val="0"/>
        <w:numPr>
          <w:ilvl w:val="0"/>
          <w:numId w:val="82"/>
        </w:numPr>
        <w:tabs>
          <w:tab w:val="left" w:pos="1608"/>
        </w:tabs>
        <w:autoSpaceDE w:val="0"/>
        <w:autoSpaceDN w:val="0"/>
        <w:spacing w:after="0" w:line="240" w:lineRule="auto"/>
        <w:contextualSpacing w:val="0"/>
        <w:jc w:val="left"/>
        <w:rPr>
          <w:rFonts w:ascii="Times New Roman" w:hAnsi="Times New Roman"/>
        </w:rPr>
      </w:pPr>
      <w:r w:rsidRPr="00731F8E">
        <w:rPr>
          <w:rFonts w:ascii="Times New Roman" w:hAnsi="Times New Roman"/>
        </w:rPr>
        <w:t>Article 4.1. of the KUE is amended as follows:</w:t>
      </w:r>
    </w:p>
    <w:p w14:paraId="279DBEF6" w14:textId="77777777" w:rsidR="004C0A79" w:rsidRPr="00731F8E" w:rsidRDefault="004C0A79" w:rsidP="004C0A79">
      <w:pPr>
        <w:pStyle w:val="GvdeMetni"/>
        <w:spacing w:before="63"/>
        <w:rPr>
          <w:rFonts w:cs="Times New Roman"/>
          <w:i/>
          <w:szCs w:val="22"/>
        </w:rPr>
      </w:pPr>
    </w:p>
    <w:p w14:paraId="69B3A886" w14:textId="77777777" w:rsidR="004C0A79" w:rsidRPr="00731F8E" w:rsidRDefault="004C0A79" w:rsidP="004C0A79">
      <w:pPr>
        <w:pStyle w:val="Balk2"/>
        <w:ind w:left="1609"/>
        <w:rPr>
          <w:rFonts w:ascii="Times New Roman" w:hAnsi="Times New Roman" w:cs="Times New Roman"/>
          <w:szCs w:val="22"/>
        </w:rPr>
      </w:pPr>
      <w:r w:rsidRPr="00731F8E">
        <w:rPr>
          <w:rFonts w:ascii="Times New Roman" w:hAnsi="Times New Roman" w:cs="Times New Roman"/>
          <w:szCs w:val="22"/>
        </w:rPr>
        <w:t>4.1. Capacity Application Periods and Application Calendar</w:t>
      </w:r>
    </w:p>
    <w:p w14:paraId="2C550F9F" w14:textId="77777777" w:rsidR="004C0A79" w:rsidRPr="00731F8E" w:rsidRDefault="004C0A79" w:rsidP="004C0A79">
      <w:pPr>
        <w:pStyle w:val="GvdeMetni"/>
        <w:spacing w:before="80"/>
        <w:rPr>
          <w:rFonts w:cs="Times New Roman"/>
          <w:b/>
          <w:szCs w:val="22"/>
        </w:rPr>
      </w:pPr>
    </w:p>
    <w:p w14:paraId="564512AA" w14:textId="77777777" w:rsidR="004C0A79" w:rsidRPr="00731F8E" w:rsidRDefault="004C0A79" w:rsidP="004C0A79">
      <w:pPr>
        <w:pStyle w:val="GvdeMetni"/>
        <w:spacing w:line="276" w:lineRule="auto"/>
        <w:ind w:left="1609" w:right="119"/>
        <w:rPr>
          <w:rFonts w:cs="Times New Roman"/>
          <w:szCs w:val="22"/>
        </w:rPr>
      </w:pPr>
      <w:r w:rsidRPr="00731F8E">
        <w:rPr>
          <w:rFonts w:cs="Times New Roman"/>
          <w:szCs w:val="22"/>
        </w:rPr>
        <w:t>BDLNG shall make capacity reservations for the Terminal Service taking into account the principles that the gasification capacity of the LNG Terminal will be used for storage purposes for the periods specified in this Kue, that the main function of the Terminal will be gasified at the end of a limited period of time and sent to the Natural Gas Main Transmission Network, and taking into account the Capacity and Idle Capacity application calendars.</w:t>
      </w:r>
    </w:p>
    <w:p w14:paraId="32E9DDAC" w14:textId="77777777" w:rsidR="004C0A79" w:rsidRPr="00731F8E" w:rsidRDefault="004C0A79" w:rsidP="004C0A79">
      <w:pPr>
        <w:pStyle w:val="GvdeMetni"/>
        <w:spacing w:before="39"/>
        <w:rPr>
          <w:rFonts w:cs="Times New Roman"/>
          <w:szCs w:val="22"/>
        </w:rPr>
      </w:pPr>
    </w:p>
    <w:p w14:paraId="50E9E820" w14:textId="77777777" w:rsidR="004C0A79" w:rsidRPr="00731F8E" w:rsidRDefault="004C0A79" w:rsidP="004C0A79">
      <w:pPr>
        <w:pStyle w:val="GvdeMetni"/>
        <w:spacing w:line="276" w:lineRule="auto"/>
        <w:ind w:left="1609" w:right="120"/>
        <w:rPr>
          <w:rFonts w:cs="Times New Roman"/>
          <w:szCs w:val="22"/>
        </w:rPr>
      </w:pPr>
      <w:r w:rsidRPr="00731F8E">
        <w:rPr>
          <w:rFonts w:cs="Times New Roman"/>
          <w:szCs w:val="22"/>
        </w:rPr>
        <w:t>Accordingly, capacity reservations that will be the basis of VSAs will be made for the total service to be requested before each Gas Year, and the annual service capacities that can be safely provided by BDLNG with the principle of uninterrupted service are announced as of July 15 before each Gas Year in line with the daily maximum gasification capacity that can be provided.</w:t>
      </w:r>
    </w:p>
    <w:p w14:paraId="387AE8E5" w14:textId="77777777" w:rsidR="004C0A79" w:rsidRPr="00731F8E" w:rsidRDefault="004C0A79" w:rsidP="004C0A79">
      <w:pPr>
        <w:pStyle w:val="GvdeMetni"/>
        <w:spacing w:before="39"/>
        <w:rPr>
          <w:rFonts w:cs="Times New Roman"/>
          <w:szCs w:val="22"/>
        </w:rPr>
      </w:pPr>
    </w:p>
    <w:p w14:paraId="5E4567CA" w14:textId="77777777" w:rsidR="004C0A79" w:rsidRPr="00731F8E" w:rsidRDefault="004C0A79" w:rsidP="004C0A79">
      <w:pPr>
        <w:pStyle w:val="GvdeMetni"/>
        <w:spacing w:line="276" w:lineRule="auto"/>
        <w:ind w:left="1609" w:right="120"/>
        <w:rPr>
          <w:rFonts w:cs="Times New Roman"/>
          <w:szCs w:val="22"/>
        </w:rPr>
      </w:pPr>
      <w:r w:rsidRPr="00731F8E">
        <w:rPr>
          <w:rFonts w:cs="Times New Roman"/>
          <w:szCs w:val="22"/>
        </w:rPr>
        <w:t>BDLNG considers the following Terminal facilities and features when making capacity allocations:</w:t>
      </w:r>
    </w:p>
    <w:p w14:paraId="27AB9EFB" w14:textId="77777777" w:rsidR="004C0A79" w:rsidRPr="00731F8E" w:rsidRDefault="004C0A79" w:rsidP="004C0A79">
      <w:pPr>
        <w:pStyle w:val="GvdeMetni"/>
        <w:spacing w:before="40"/>
        <w:rPr>
          <w:rFonts w:cs="Times New Roman"/>
          <w:szCs w:val="22"/>
        </w:rPr>
      </w:pPr>
    </w:p>
    <w:p w14:paraId="7DFEBA8D" w14:textId="77777777" w:rsidR="004C0A79" w:rsidRPr="00731F8E" w:rsidRDefault="004C0A79" w:rsidP="00A86526">
      <w:pPr>
        <w:pStyle w:val="P68B1DB1-ListParagraph3"/>
        <w:numPr>
          <w:ilvl w:val="0"/>
          <w:numId w:val="81"/>
        </w:numPr>
        <w:tabs>
          <w:tab w:val="left" w:pos="1826"/>
        </w:tabs>
        <w:ind w:left="1826" w:hanging="217"/>
        <w:rPr>
          <w:rFonts w:ascii="Times New Roman" w:hAnsi="Times New Roman" w:cs="Times New Roman"/>
          <w:szCs w:val="22"/>
        </w:rPr>
      </w:pPr>
      <w:r w:rsidRPr="00731F8E">
        <w:rPr>
          <w:rFonts w:ascii="Times New Roman" w:hAnsi="Times New Roman" w:cs="Times New Roman"/>
          <w:szCs w:val="22"/>
        </w:rPr>
        <w:t>The maximum discharge rate from the vessel to the FSRU storage tanks is 10,000 m3/h LNG.</w:t>
      </w:r>
    </w:p>
    <w:p w14:paraId="3047BC58" w14:textId="77777777" w:rsidR="004C0A79" w:rsidRPr="00731F8E" w:rsidRDefault="004C0A79" w:rsidP="004C0A79">
      <w:pPr>
        <w:pStyle w:val="GvdeMetni"/>
        <w:spacing w:before="82"/>
        <w:rPr>
          <w:rFonts w:cs="Times New Roman"/>
          <w:szCs w:val="22"/>
        </w:rPr>
      </w:pPr>
    </w:p>
    <w:p w14:paraId="4B113F07" w14:textId="77777777" w:rsidR="004C0A79" w:rsidRPr="00731F8E" w:rsidRDefault="004C0A79" w:rsidP="00A86526">
      <w:pPr>
        <w:pStyle w:val="P68B1DB1-ListParagraph3"/>
        <w:numPr>
          <w:ilvl w:val="0"/>
          <w:numId w:val="81"/>
        </w:numPr>
        <w:tabs>
          <w:tab w:val="left" w:pos="1872"/>
        </w:tabs>
        <w:spacing w:line="273" w:lineRule="auto"/>
        <w:ind w:left="1609" w:right="120" w:firstLine="0"/>
        <w:rPr>
          <w:rFonts w:ascii="Times New Roman" w:hAnsi="Times New Roman" w:cs="Times New Roman"/>
          <w:szCs w:val="22"/>
        </w:rPr>
      </w:pPr>
      <w:r w:rsidRPr="00731F8E">
        <w:rPr>
          <w:rFonts w:ascii="Times New Roman" w:hAnsi="Times New Roman" w:cs="Times New Roman"/>
          <w:szCs w:val="22"/>
        </w:rPr>
        <w:t>Terminal minimum sending capacity 100 m3/hour LNG (= 58.000 Sm3/hour Gas) If this value is lowered, Zero Send Out operation mode is switched.</w:t>
      </w:r>
    </w:p>
    <w:p w14:paraId="6FABDF2F" w14:textId="77777777" w:rsidR="004C0A79" w:rsidRPr="00731F8E" w:rsidRDefault="004C0A79" w:rsidP="004C0A79">
      <w:pPr>
        <w:pStyle w:val="GvdeMetni"/>
        <w:spacing w:before="46"/>
        <w:rPr>
          <w:rFonts w:cs="Times New Roman"/>
          <w:szCs w:val="22"/>
        </w:rPr>
      </w:pPr>
    </w:p>
    <w:p w14:paraId="2F9E00A4" w14:textId="77777777" w:rsidR="004C0A79" w:rsidRPr="00731F8E" w:rsidRDefault="004C0A79" w:rsidP="00A86526">
      <w:pPr>
        <w:pStyle w:val="P68B1DB1-ListParagraph3"/>
        <w:numPr>
          <w:ilvl w:val="0"/>
          <w:numId w:val="81"/>
        </w:numPr>
        <w:tabs>
          <w:tab w:val="left" w:pos="1835"/>
        </w:tabs>
        <w:spacing w:line="276" w:lineRule="auto"/>
        <w:ind w:left="1609" w:right="120" w:firstLine="0"/>
        <w:rPr>
          <w:rFonts w:ascii="Times New Roman" w:hAnsi="Times New Roman" w:cs="Times New Roman"/>
          <w:szCs w:val="22"/>
        </w:rPr>
      </w:pPr>
      <w:r w:rsidRPr="00731F8E">
        <w:rPr>
          <w:rFonts w:ascii="Times New Roman" w:hAnsi="Times New Roman" w:cs="Times New Roman"/>
          <w:szCs w:val="22"/>
        </w:rPr>
        <w:t>The Daily Gasification Capacity of the Terminal is 21 million Sm3/day and this amount can be up to approximately 28 million Sm3/day (Maximum Daily Gasification Capacity) if appropriate conditions occur.</w:t>
      </w:r>
    </w:p>
    <w:p w14:paraId="0D64C565" w14:textId="77777777" w:rsidR="004C0A79" w:rsidRPr="00731F8E" w:rsidRDefault="004C0A79" w:rsidP="00A86526">
      <w:pPr>
        <w:pStyle w:val="ListeParagraf"/>
        <w:widowControl w:val="0"/>
        <w:numPr>
          <w:ilvl w:val="0"/>
          <w:numId w:val="82"/>
        </w:numPr>
        <w:tabs>
          <w:tab w:val="left" w:pos="1608"/>
        </w:tabs>
        <w:autoSpaceDE w:val="0"/>
        <w:autoSpaceDN w:val="0"/>
        <w:spacing w:before="69" w:after="0" w:line="240" w:lineRule="auto"/>
        <w:contextualSpacing w:val="0"/>
        <w:jc w:val="left"/>
        <w:rPr>
          <w:rFonts w:ascii="Times New Roman" w:hAnsi="Times New Roman"/>
        </w:rPr>
      </w:pPr>
      <w:r w:rsidRPr="00731F8E">
        <w:rPr>
          <w:rFonts w:ascii="Times New Roman" w:hAnsi="Times New Roman"/>
        </w:rPr>
        <w:t>Article 5.1.1. of the KUE is amended as follows:</w:t>
      </w:r>
    </w:p>
    <w:p w14:paraId="6DF55FF9" w14:textId="4907691F" w:rsidR="004C0A79" w:rsidRDefault="004C0A79" w:rsidP="004C0A79">
      <w:pPr>
        <w:pStyle w:val="GvdeMetni"/>
        <w:spacing w:before="61"/>
        <w:rPr>
          <w:rFonts w:cs="Times New Roman"/>
          <w:i/>
          <w:szCs w:val="22"/>
        </w:rPr>
      </w:pPr>
    </w:p>
    <w:p w14:paraId="3C58B8C8" w14:textId="77777777" w:rsidR="00C32187" w:rsidRPr="00731F8E" w:rsidRDefault="00C32187" w:rsidP="004C0A79">
      <w:pPr>
        <w:pStyle w:val="GvdeMetni"/>
        <w:spacing w:before="61"/>
        <w:rPr>
          <w:rFonts w:cs="Times New Roman"/>
          <w:i/>
          <w:szCs w:val="22"/>
        </w:rPr>
      </w:pPr>
    </w:p>
    <w:p w14:paraId="796FBAB4" w14:textId="77777777" w:rsidR="004C0A79" w:rsidRPr="00731F8E" w:rsidRDefault="004C0A79" w:rsidP="004C0A79">
      <w:pPr>
        <w:pStyle w:val="Balk2"/>
        <w:ind w:right="119"/>
        <w:rPr>
          <w:rFonts w:ascii="Times New Roman" w:hAnsi="Times New Roman" w:cs="Times New Roman"/>
          <w:szCs w:val="22"/>
        </w:rPr>
      </w:pPr>
      <w:r w:rsidRPr="00731F8E">
        <w:rPr>
          <w:rFonts w:ascii="Times New Roman" w:hAnsi="Times New Roman" w:cs="Times New Roman"/>
          <w:szCs w:val="22"/>
        </w:rPr>
        <w:lastRenderedPageBreak/>
        <w:t>5.1.1. Programs for Delivery of LNG to BDLNG within the Scope of Terminal Services</w:t>
      </w:r>
    </w:p>
    <w:p w14:paraId="4E5A9748" w14:textId="77777777" w:rsidR="004C0A79" w:rsidRPr="00731F8E" w:rsidRDefault="004C0A79" w:rsidP="004C0A79">
      <w:pPr>
        <w:pStyle w:val="GvdeMetni"/>
        <w:spacing w:before="40"/>
        <w:rPr>
          <w:rFonts w:cs="Times New Roman"/>
          <w:b/>
          <w:szCs w:val="22"/>
        </w:rPr>
      </w:pPr>
    </w:p>
    <w:p w14:paraId="046A83CB" w14:textId="77777777" w:rsidR="004C0A79" w:rsidRPr="00E00911" w:rsidRDefault="004C0A79" w:rsidP="004C0A79">
      <w:pPr>
        <w:pStyle w:val="GvdeMetni"/>
        <w:spacing w:line="276" w:lineRule="auto"/>
        <w:ind w:left="1608" w:right="119"/>
        <w:rPr>
          <w:rFonts w:cs="Times New Roman"/>
          <w:sz w:val="22"/>
          <w:szCs w:val="22"/>
        </w:rPr>
      </w:pPr>
      <w:r w:rsidRPr="00E00911">
        <w:rPr>
          <w:rFonts w:cs="Times New Roman"/>
          <w:sz w:val="22"/>
          <w:szCs w:val="22"/>
        </w:rPr>
        <w:t>Theoretically, the maximum number of ships/cargoes to discharge to BDLNG Terminal is 50 (fifty)per year. However, this number may increase or decrease according to the cargo sizes after the ship schedule is determined. The Vessel arrival dates shall be arranged with a maximum of 1 (one) cargo to each 7 (seven) day Window and at least 6 (six) days between the previous and the next Vessel arrival date of each Vessel arrival date. In order to ensure the economical, efficient and safe operation of the Terminal, as well as the number of cargoes that can be unloaded if necessary due to Force Majeure, Emergency or Maintenance Program, and the periods between the Window and LNG unloading dates related to the Terminal Acceptance Program may be reduced or increased by BDLNG.</w:t>
      </w:r>
    </w:p>
    <w:p w14:paraId="054EC609" w14:textId="77777777" w:rsidR="004C0A79" w:rsidRPr="00E00911" w:rsidRDefault="004C0A79" w:rsidP="004C0A79">
      <w:pPr>
        <w:pStyle w:val="GvdeMetni"/>
        <w:spacing w:before="40"/>
        <w:rPr>
          <w:rFonts w:cs="Times New Roman"/>
          <w:sz w:val="22"/>
          <w:szCs w:val="22"/>
        </w:rPr>
      </w:pPr>
    </w:p>
    <w:p w14:paraId="3A0FFF18" w14:textId="77777777" w:rsidR="004C0A79" w:rsidRPr="00E00911" w:rsidRDefault="004C0A79" w:rsidP="004C0A79">
      <w:pPr>
        <w:pStyle w:val="GvdeMetni"/>
        <w:spacing w:line="276" w:lineRule="auto"/>
        <w:ind w:left="1608" w:right="120"/>
        <w:rPr>
          <w:rFonts w:cs="Times New Roman"/>
          <w:sz w:val="22"/>
          <w:szCs w:val="22"/>
        </w:rPr>
      </w:pPr>
      <w:r w:rsidRPr="00E00911">
        <w:rPr>
          <w:rFonts w:cs="Times New Roman"/>
          <w:sz w:val="22"/>
          <w:szCs w:val="22"/>
        </w:rPr>
        <w:t>Each program displays the Service Recipient's VAS number and the information requested below regarding the quantities of LNG to be taken into storage.</w:t>
      </w:r>
    </w:p>
    <w:p w14:paraId="12B9FB90" w14:textId="77777777" w:rsidR="004C0A79" w:rsidRPr="00731F8E" w:rsidRDefault="004C0A79" w:rsidP="004C0A79">
      <w:pPr>
        <w:pStyle w:val="GvdeMetni"/>
        <w:spacing w:before="40"/>
        <w:rPr>
          <w:rFonts w:cs="Times New Roman"/>
          <w:szCs w:val="22"/>
        </w:rPr>
      </w:pPr>
    </w:p>
    <w:p w14:paraId="03F46D80" w14:textId="77777777" w:rsidR="004C0A79" w:rsidRPr="00731F8E" w:rsidRDefault="004C0A79" w:rsidP="00A86526">
      <w:pPr>
        <w:pStyle w:val="P68B1DB1-ListParagraph3"/>
        <w:numPr>
          <w:ilvl w:val="0"/>
          <w:numId w:val="80"/>
        </w:numPr>
        <w:tabs>
          <w:tab w:val="left" w:pos="2242"/>
        </w:tabs>
        <w:rPr>
          <w:rFonts w:ascii="Times New Roman" w:hAnsi="Times New Roman" w:cs="Times New Roman"/>
          <w:szCs w:val="22"/>
        </w:rPr>
      </w:pPr>
      <w:r w:rsidRPr="00731F8E">
        <w:rPr>
          <w:rFonts w:ascii="Times New Roman" w:hAnsi="Times New Roman" w:cs="Times New Roman"/>
          <w:szCs w:val="22"/>
        </w:rPr>
        <w:t>The day/(s) on which the LNG will be brought to the BDLNG Terminal,</w:t>
      </w:r>
    </w:p>
    <w:p w14:paraId="53198517" w14:textId="77777777" w:rsidR="004C0A79" w:rsidRPr="00731F8E" w:rsidRDefault="004C0A79" w:rsidP="00A86526">
      <w:pPr>
        <w:pStyle w:val="P68B1DB1-ListParagraph3"/>
        <w:numPr>
          <w:ilvl w:val="0"/>
          <w:numId w:val="80"/>
        </w:numPr>
        <w:tabs>
          <w:tab w:val="left" w:pos="2242"/>
        </w:tabs>
        <w:spacing w:before="41"/>
        <w:ind w:hanging="633"/>
        <w:rPr>
          <w:rFonts w:ascii="Times New Roman" w:hAnsi="Times New Roman" w:cs="Times New Roman"/>
          <w:szCs w:val="22"/>
        </w:rPr>
      </w:pPr>
      <w:r w:rsidRPr="00731F8E">
        <w:rPr>
          <w:rFonts w:ascii="Times New Roman" w:hAnsi="Times New Roman" w:cs="Times New Roman"/>
          <w:szCs w:val="22"/>
        </w:rPr>
        <w:t>The amount of LNG to be brought,</w:t>
      </w:r>
    </w:p>
    <w:p w14:paraId="1513A909" w14:textId="77777777" w:rsidR="004C0A79" w:rsidRPr="00731F8E" w:rsidRDefault="004C0A79" w:rsidP="00A86526">
      <w:pPr>
        <w:pStyle w:val="P68B1DB1-ListParagraph3"/>
        <w:numPr>
          <w:ilvl w:val="0"/>
          <w:numId w:val="80"/>
        </w:numPr>
        <w:tabs>
          <w:tab w:val="left" w:pos="2242"/>
        </w:tabs>
        <w:spacing w:before="39"/>
        <w:ind w:hanging="633"/>
        <w:rPr>
          <w:rFonts w:ascii="Times New Roman" w:hAnsi="Times New Roman" w:cs="Times New Roman"/>
          <w:szCs w:val="22"/>
        </w:rPr>
      </w:pPr>
      <w:r w:rsidRPr="00731F8E">
        <w:rPr>
          <w:rFonts w:ascii="Times New Roman" w:hAnsi="Times New Roman" w:cs="Times New Roman"/>
          <w:szCs w:val="22"/>
        </w:rPr>
        <w:t>Estimated composition and calorific value of LNG,</w:t>
      </w:r>
    </w:p>
    <w:p w14:paraId="2E488467" w14:textId="77777777" w:rsidR="004C0A79" w:rsidRPr="00731F8E" w:rsidRDefault="004C0A79" w:rsidP="00A86526">
      <w:pPr>
        <w:pStyle w:val="P68B1DB1-ListParagraph3"/>
        <w:numPr>
          <w:ilvl w:val="0"/>
          <w:numId w:val="80"/>
        </w:numPr>
        <w:tabs>
          <w:tab w:val="left" w:pos="2242"/>
        </w:tabs>
        <w:spacing w:before="41"/>
        <w:ind w:hanging="633"/>
        <w:rPr>
          <w:rFonts w:ascii="Times New Roman" w:hAnsi="Times New Roman" w:cs="Times New Roman"/>
          <w:szCs w:val="22"/>
        </w:rPr>
      </w:pPr>
      <w:r w:rsidRPr="00731F8E">
        <w:rPr>
          <w:rFonts w:ascii="Times New Roman" w:hAnsi="Times New Roman" w:cs="Times New Roman"/>
          <w:szCs w:val="22"/>
        </w:rPr>
        <w:t>The country where the LNG is imported,</w:t>
      </w:r>
    </w:p>
    <w:p w14:paraId="2F0C3DDC" w14:textId="77777777" w:rsidR="004C0A79" w:rsidRPr="00731F8E" w:rsidRDefault="004C0A79" w:rsidP="00A86526">
      <w:pPr>
        <w:pStyle w:val="P68B1DB1-ListParagraph3"/>
        <w:numPr>
          <w:ilvl w:val="0"/>
          <w:numId w:val="80"/>
        </w:numPr>
        <w:tabs>
          <w:tab w:val="left" w:pos="2243"/>
        </w:tabs>
        <w:spacing w:before="41"/>
        <w:ind w:left="2243"/>
        <w:rPr>
          <w:rFonts w:ascii="Times New Roman" w:hAnsi="Times New Roman" w:cs="Times New Roman"/>
          <w:szCs w:val="22"/>
        </w:rPr>
      </w:pPr>
      <w:r w:rsidRPr="00731F8E">
        <w:rPr>
          <w:rFonts w:ascii="Times New Roman" w:hAnsi="Times New Roman" w:cs="Times New Roman"/>
          <w:szCs w:val="22"/>
        </w:rPr>
        <w:t>The estimated saturated pressure and temperature of the LNG when it reaches the Terminal,</w:t>
      </w:r>
    </w:p>
    <w:p w14:paraId="03ADDD9E" w14:textId="77777777" w:rsidR="004C0A79" w:rsidRPr="00731F8E" w:rsidRDefault="004C0A79" w:rsidP="00A86526">
      <w:pPr>
        <w:pStyle w:val="P68B1DB1-ListParagraph3"/>
        <w:numPr>
          <w:ilvl w:val="0"/>
          <w:numId w:val="80"/>
        </w:numPr>
        <w:tabs>
          <w:tab w:val="left" w:pos="2241"/>
        </w:tabs>
        <w:spacing w:before="38" w:line="276" w:lineRule="auto"/>
        <w:ind w:left="1609" w:right="120" w:firstLine="0"/>
        <w:rPr>
          <w:rFonts w:ascii="Times New Roman" w:hAnsi="Times New Roman" w:cs="Times New Roman"/>
          <w:szCs w:val="22"/>
        </w:rPr>
      </w:pPr>
      <w:r w:rsidRPr="00731F8E">
        <w:rPr>
          <w:rFonts w:ascii="Times New Roman" w:hAnsi="Times New Roman" w:cs="Times New Roman"/>
          <w:szCs w:val="22"/>
        </w:rPr>
        <w:t>Boiling Gas management program generated during the discharge of the vessel, including the Delivery Point (to be determined in line with the guidance of BDLNG, taking into account the Delivery Programs of other Service Recipients),</w:t>
      </w:r>
    </w:p>
    <w:p w14:paraId="401BAED2" w14:textId="77777777" w:rsidR="004C0A79" w:rsidRPr="00731F8E" w:rsidRDefault="004C0A79" w:rsidP="00A86526">
      <w:pPr>
        <w:pStyle w:val="P68B1DB1-ListParagraph3"/>
        <w:numPr>
          <w:ilvl w:val="0"/>
          <w:numId w:val="80"/>
        </w:numPr>
        <w:tabs>
          <w:tab w:val="left" w:pos="2241"/>
        </w:tabs>
        <w:spacing w:line="268" w:lineRule="exact"/>
        <w:ind w:left="2241" w:hanging="632"/>
        <w:rPr>
          <w:rFonts w:ascii="Times New Roman" w:hAnsi="Times New Roman" w:cs="Times New Roman"/>
          <w:szCs w:val="22"/>
        </w:rPr>
      </w:pPr>
      <w:r w:rsidRPr="00731F8E">
        <w:rPr>
          <w:rFonts w:ascii="Times New Roman" w:hAnsi="Times New Roman" w:cs="Times New Roman"/>
          <w:szCs w:val="22"/>
        </w:rPr>
        <w:t>Information on the LNG vessel (its suitability must be approved by BDLNG).</w:t>
      </w:r>
    </w:p>
    <w:p w14:paraId="010E7F84" w14:textId="77777777" w:rsidR="004C0A79" w:rsidRPr="00731F8E" w:rsidRDefault="004C0A79" w:rsidP="004C0A79">
      <w:pPr>
        <w:pStyle w:val="GvdeMetni"/>
        <w:spacing w:before="63"/>
        <w:rPr>
          <w:rFonts w:cs="Times New Roman"/>
          <w:szCs w:val="22"/>
        </w:rPr>
      </w:pPr>
    </w:p>
    <w:p w14:paraId="243E9A89" w14:textId="77777777" w:rsidR="004C0A79" w:rsidRPr="00731F8E" w:rsidRDefault="004C0A79" w:rsidP="00A86526">
      <w:pPr>
        <w:pStyle w:val="ListeParagraf"/>
        <w:widowControl w:val="0"/>
        <w:numPr>
          <w:ilvl w:val="0"/>
          <w:numId w:val="82"/>
        </w:numPr>
        <w:tabs>
          <w:tab w:val="left" w:pos="1609"/>
        </w:tabs>
        <w:autoSpaceDE w:val="0"/>
        <w:autoSpaceDN w:val="0"/>
        <w:spacing w:after="0" w:line="240" w:lineRule="auto"/>
        <w:ind w:left="1609"/>
        <w:contextualSpacing w:val="0"/>
        <w:jc w:val="left"/>
        <w:rPr>
          <w:rFonts w:ascii="Times New Roman" w:hAnsi="Times New Roman"/>
        </w:rPr>
      </w:pPr>
      <w:r w:rsidRPr="00731F8E">
        <w:rPr>
          <w:rFonts w:ascii="Times New Roman" w:hAnsi="Times New Roman"/>
        </w:rPr>
        <w:t>Article 5.1.5. of the KUE is amended as follows:</w:t>
      </w:r>
    </w:p>
    <w:p w14:paraId="10BB3A5D" w14:textId="77777777" w:rsidR="004C0A79" w:rsidRPr="00731F8E" w:rsidRDefault="004C0A79" w:rsidP="004C0A79">
      <w:pPr>
        <w:pStyle w:val="GvdeMetni"/>
        <w:spacing w:before="60"/>
        <w:rPr>
          <w:rFonts w:cs="Times New Roman"/>
          <w:i/>
          <w:szCs w:val="22"/>
        </w:rPr>
      </w:pPr>
    </w:p>
    <w:p w14:paraId="79BAB06D" w14:textId="77777777" w:rsidR="004C0A79" w:rsidRPr="00731F8E" w:rsidRDefault="004C0A79" w:rsidP="004C0A79">
      <w:pPr>
        <w:pStyle w:val="Balk2"/>
        <w:ind w:left="1609"/>
        <w:rPr>
          <w:rFonts w:ascii="Times New Roman" w:hAnsi="Times New Roman" w:cs="Times New Roman"/>
          <w:szCs w:val="22"/>
        </w:rPr>
      </w:pPr>
      <w:r w:rsidRPr="00731F8E">
        <w:rPr>
          <w:rFonts w:ascii="Times New Roman" w:hAnsi="Times New Roman" w:cs="Times New Roman"/>
          <w:szCs w:val="22"/>
        </w:rPr>
        <w:t>5.1.5. Ways of Submitting Programs</w:t>
      </w:r>
    </w:p>
    <w:p w14:paraId="0A0F355B" w14:textId="77777777" w:rsidR="004C0A79" w:rsidRPr="00731F8E" w:rsidRDefault="004C0A79" w:rsidP="004C0A79">
      <w:pPr>
        <w:pStyle w:val="GvdeMetni"/>
        <w:spacing w:before="82"/>
        <w:rPr>
          <w:rFonts w:cs="Times New Roman"/>
          <w:b/>
          <w:szCs w:val="22"/>
        </w:rPr>
      </w:pPr>
    </w:p>
    <w:p w14:paraId="047EA793" w14:textId="77777777" w:rsidR="004C0A79" w:rsidRPr="00E00911" w:rsidRDefault="004C0A79" w:rsidP="004C0A79">
      <w:pPr>
        <w:pStyle w:val="GvdeMetni"/>
        <w:spacing w:line="273" w:lineRule="auto"/>
        <w:ind w:left="1609" w:right="122"/>
        <w:rPr>
          <w:rFonts w:cs="Times New Roman"/>
          <w:sz w:val="22"/>
          <w:szCs w:val="22"/>
        </w:rPr>
      </w:pPr>
      <w:r w:rsidRPr="00E00911">
        <w:rPr>
          <w:rFonts w:cs="Times New Roman"/>
          <w:sz w:val="22"/>
          <w:szCs w:val="22"/>
        </w:rPr>
        <w:t>Programs can be submitted in writing to the following address or Discharge Programs can be notified via registered electronic mail (REM), Delivery Programs can be notified via DEBT.</w:t>
      </w:r>
    </w:p>
    <w:p w14:paraId="09EF58C5" w14:textId="77777777" w:rsidR="004C0A79" w:rsidRPr="00E00911" w:rsidRDefault="004C0A79" w:rsidP="004C0A79">
      <w:pPr>
        <w:pStyle w:val="GvdeMetni"/>
        <w:spacing w:before="46"/>
        <w:rPr>
          <w:rFonts w:cs="Times New Roman"/>
          <w:sz w:val="22"/>
          <w:szCs w:val="22"/>
        </w:rPr>
      </w:pPr>
    </w:p>
    <w:p w14:paraId="3E2D310B" w14:textId="77777777" w:rsidR="004C0A79" w:rsidRPr="00E00911" w:rsidRDefault="004C0A79" w:rsidP="004C0A79">
      <w:pPr>
        <w:pStyle w:val="GvdeMetni"/>
        <w:spacing w:line="273" w:lineRule="auto"/>
        <w:ind w:left="1609" w:right="2531"/>
        <w:rPr>
          <w:rFonts w:cs="Times New Roman"/>
          <w:sz w:val="22"/>
          <w:szCs w:val="22"/>
        </w:rPr>
      </w:pPr>
      <w:r w:rsidRPr="00E00911">
        <w:rPr>
          <w:rFonts w:cs="Times New Roman"/>
          <w:sz w:val="22"/>
          <w:szCs w:val="22"/>
        </w:rPr>
        <w:t>BOTAŞ Petroleum Operations Regional Directorate Dörtyol Terminal Yeniyurt Location, Dörtyol, Hatay</w:t>
      </w:r>
    </w:p>
    <w:p w14:paraId="66BF44AA" w14:textId="77777777" w:rsidR="004C0A79" w:rsidRPr="00E00911" w:rsidRDefault="004C0A79" w:rsidP="004C0A79">
      <w:pPr>
        <w:pStyle w:val="GvdeMetni"/>
        <w:spacing w:before="4"/>
        <w:ind w:left="1609"/>
        <w:rPr>
          <w:rFonts w:cs="Times New Roman"/>
          <w:sz w:val="22"/>
          <w:szCs w:val="22"/>
        </w:rPr>
      </w:pPr>
      <w:r w:rsidRPr="00E00911">
        <w:rPr>
          <w:rFonts w:cs="Times New Roman"/>
          <w:sz w:val="22"/>
          <w:szCs w:val="22"/>
        </w:rPr>
        <w:t xml:space="preserve">REM address: </w:t>
      </w:r>
      <w:hyperlink r:id="rId21">
        <w:r w:rsidRPr="00E00911">
          <w:rPr>
            <w:rFonts w:cs="Times New Roman"/>
            <w:color w:val="0563C1"/>
            <w:sz w:val="22"/>
            <w:szCs w:val="22"/>
            <w:u w:val="single" w:color="0563C1"/>
          </w:rPr>
          <w:t>botas.petrol-ibm@hs01.kep.tr</w:t>
        </w:r>
      </w:hyperlink>
    </w:p>
    <w:p w14:paraId="52BA2D82" w14:textId="77777777" w:rsidR="004C0A79" w:rsidRPr="00E00911" w:rsidRDefault="004C0A79" w:rsidP="004C0A79">
      <w:pPr>
        <w:pStyle w:val="GvdeMetni"/>
        <w:spacing w:before="81"/>
        <w:rPr>
          <w:rFonts w:cs="Times New Roman"/>
          <w:sz w:val="22"/>
          <w:szCs w:val="22"/>
        </w:rPr>
      </w:pPr>
    </w:p>
    <w:p w14:paraId="4B70C8D1" w14:textId="77777777" w:rsidR="004C0A79" w:rsidRPr="00E00911" w:rsidRDefault="004C0A79" w:rsidP="00A86526">
      <w:pPr>
        <w:pStyle w:val="ListeParagraf"/>
        <w:widowControl w:val="0"/>
        <w:numPr>
          <w:ilvl w:val="0"/>
          <w:numId w:val="82"/>
        </w:numPr>
        <w:tabs>
          <w:tab w:val="left" w:pos="1608"/>
        </w:tabs>
        <w:autoSpaceDE w:val="0"/>
        <w:autoSpaceDN w:val="0"/>
        <w:spacing w:before="1" w:after="0" w:line="240" w:lineRule="auto"/>
        <w:contextualSpacing w:val="0"/>
        <w:jc w:val="left"/>
        <w:rPr>
          <w:rFonts w:ascii="Times New Roman" w:hAnsi="Times New Roman"/>
        </w:rPr>
      </w:pPr>
      <w:r w:rsidRPr="00E00911">
        <w:rPr>
          <w:rFonts w:ascii="Times New Roman" w:hAnsi="Times New Roman"/>
        </w:rPr>
        <w:t>Article 7.2.7 of the KUE is amended as follows:</w:t>
      </w:r>
    </w:p>
    <w:p w14:paraId="40D4C5AE" w14:textId="77777777" w:rsidR="004C0A79" w:rsidRPr="00E00911" w:rsidRDefault="004C0A79" w:rsidP="004C0A79">
      <w:pPr>
        <w:pStyle w:val="GvdeMetni"/>
        <w:spacing w:before="62"/>
        <w:rPr>
          <w:rFonts w:cs="Times New Roman"/>
          <w:i/>
          <w:sz w:val="22"/>
          <w:szCs w:val="22"/>
        </w:rPr>
      </w:pPr>
    </w:p>
    <w:p w14:paraId="3DB07030" w14:textId="77777777" w:rsidR="004C0A79" w:rsidRPr="00E00911" w:rsidRDefault="004C0A79" w:rsidP="004C0A79">
      <w:pPr>
        <w:pStyle w:val="GvdeMetni"/>
        <w:spacing w:line="276" w:lineRule="auto"/>
        <w:ind w:left="1609"/>
        <w:rPr>
          <w:rFonts w:cs="Times New Roman"/>
          <w:sz w:val="22"/>
          <w:szCs w:val="22"/>
        </w:rPr>
        <w:sectPr w:rsidR="004C0A79" w:rsidRPr="00E00911">
          <w:pgSz w:w="11910" w:h="16840"/>
          <w:pgMar w:top="1620" w:right="440" w:bottom="280" w:left="1300" w:header="720" w:footer="720" w:gutter="0"/>
          <w:cols w:space="720"/>
        </w:sectPr>
      </w:pPr>
      <w:r w:rsidRPr="00E00911">
        <w:rPr>
          <w:rFonts w:cs="Times New Roman"/>
          <w:sz w:val="22"/>
          <w:szCs w:val="22"/>
        </w:rPr>
        <w:t>7.2.7. Unloading Time is 42 (forty-two) hours, which is the time taken from the point where a conventional sized Ship (carrying 140,000 m³ LNG) gives a "Notification of Readiness" until it is towed back to the same point after unloading its cargo.</w:t>
      </w:r>
    </w:p>
    <w:p w14:paraId="34CCC252" w14:textId="77777777" w:rsidR="004C0A79" w:rsidRPr="00E00911" w:rsidRDefault="004C0A79" w:rsidP="004C0A79">
      <w:pPr>
        <w:pStyle w:val="GvdeMetni"/>
        <w:spacing w:before="39" w:line="276" w:lineRule="auto"/>
        <w:ind w:left="1701" w:right="122"/>
        <w:rPr>
          <w:rFonts w:cs="Times New Roman"/>
          <w:sz w:val="22"/>
          <w:szCs w:val="22"/>
        </w:rPr>
      </w:pPr>
      <w:r w:rsidRPr="00E00911">
        <w:rPr>
          <w:rFonts w:cs="Times New Roman"/>
          <w:sz w:val="22"/>
          <w:szCs w:val="22"/>
        </w:rPr>
        <w:lastRenderedPageBreak/>
        <w:t>For each 5,000 m³ exceeding this amount, 1 (one) hour is added to the Discharge Time.</w:t>
      </w:r>
    </w:p>
    <w:p w14:paraId="2E47984F" w14:textId="77777777" w:rsidR="004C0A79" w:rsidRPr="00E00911" w:rsidRDefault="004C0A79" w:rsidP="004C0A79">
      <w:pPr>
        <w:pStyle w:val="GvdeMetni"/>
        <w:spacing w:before="40"/>
        <w:rPr>
          <w:rFonts w:cs="Times New Roman"/>
          <w:sz w:val="22"/>
          <w:szCs w:val="22"/>
        </w:rPr>
      </w:pPr>
    </w:p>
    <w:p w14:paraId="0BAAE459" w14:textId="77777777" w:rsidR="004C0A79" w:rsidRPr="00E00911" w:rsidRDefault="004C0A79" w:rsidP="004C0A79">
      <w:pPr>
        <w:pStyle w:val="GvdeMetni"/>
        <w:ind w:left="1608"/>
        <w:rPr>
          <w:rFonts w:cs="Times New Roman"/>
          <w:sz w:val="22"/>
          <w:szCs w:val="22"/>
        </w:rPr>
      </w:pPr>
      <w:r w:rsidRPr="00E00911">
        <w:rPr>
          <w:rFonts w:cs="Times New Roman"/>
          <w:sz w:val="22"/>
          <w:szCs w:val="22"/>
        </w:rPr>
        <w:t>The following periods shall not be counted from the Discharge Period;</w:t>
      </w:r>
    </w:p>
    <w:p w14:paraId="3606CF0C" w14:textId="77777777" w:rsidR="004C0A79" w:rsidRPr="00E00911" w:rsidRDefault="004C0A79" w:rsidP="004C0A79">
      <w:pPr>
        <w:pStyle w:val="GvdeMetni"/>
        <w:spacing w:before="79"/>
        <w:rPr>
          <w:rFonts w:cs="Times New Roman"/>
          <w:sz w:val="22"/>
          <w:szCs w:val="22"/>
        </w:rPr>
      </w:pPr>
    </w:p>
    <w:p w14:paraId="3E41D959" w14:textId="77777777" w:rsidR="004C0A79" w:rsidRPr="00731F8E" w:rsidRDefault="004C0A79" w:rsidP="00A86526">
      <w:pPr>
        <w:pStyle w:val="P68B1DB1-ListParagraph3"/>
        <w:numPr>
          <w:ilvl w:val="0"/>
          <w:numId w:val="79"/>
        </w:numPr>
        <w:tabs>
          <w:tab w:val="left" w:pos="1921"/>
        </w:tabs>
        <w:spacing w:before="1" w:line="276" w:lineRule="auto"/>
        <w:ind w:right="121" w:firstLine="0"/>
        <w:rPr>
          <w:rFonts w:ascii="Times New Roman" w:hAnsi="Times New Roman" w:cs="Times New Roman"/>
          <w:szCs w:val="22"/>
        </w:rPr>
      </w:pPr>
      <w:r w:rsidRPr="00731F8E">
        <w:rPr>
          <w:rFonts w:ascii="Times New Roman" w:hAnsi="Times New Roman" w:cs="Times New Roman"/>
          <w:szCs w:val="22"/>
        </w:rPr>
        <w:t>The periods during which the Vessel is not allowed to dock/leave the Terminal by the Iskenderun Port Authority,</w:t>
      </w:r>
    </w:p>
    <w:p w14:paraId="7F3C0AF0" w14:textId="77777777" w:rsidR="004C0A79" w:rsidRPr="00731F8E" w:rsidRDefault="004C0A79" w:rsidP="004C0A79">
      <w:pPr>
        <w:pStyle w:val="GvdeMetni"/>
        <w:spacing w:before="39"/>
        <w:rPr>
          <w:rFonts w:cs="Times New Roman"/>
          <w:szCs w:val="22"/>
        </w:rPr>
      </w:pPr>
    </w:p>
    <w:p w14:paraId="3D7C90B3" w14:textId="77777777" w:rsidR="004C0A79" w:rsidRPr="00731F8E" w:rsidRDefault="004C0A79" w:rsidP="00A86526">
      <w:pPr>
        <w:pStyle w:val="P68B1DB1-ListParagraph3"/>
        <w:numPr>
          <w:ilvl w:val="0"/>
          <w:numId w:val="79"/>
        </w:numPr>
        <w:tabs>
          <w:tab w:val="left" w:pos="1837"/>
        </w:tabs>
        <w:spacing w:before="1"/>
        <w:ind w:left="1837" w:hanging="229"/>
        <w:rPr>
          <w:rFonts w:ascii="Times New Roman" w:hAnsi="Times New Roman" w:cs="Times New Roman"/>
          <w:szCs w:val="22"/>
        </w:rPr>
      </w:pPr>
      <w:r w:rsidRPr="00731F8E">
        <w:rPr>
          <w:rFonts w:ascii="Times New Roman" w:hAnsi="Times New Roman" w:cs="Times New Roman"/>
          <w:szCs w:val="22"/>
        </w:rPr>
        <w:t>The time the Vessel waits to dock at the Terminal due to bad weather conditions,</w:t>
      </w:r>
    </w:p>
    <w:p w14:paraId="6EC7F213" w14:textId="77777777" w:rsidR="004C0A79" w:rsidRPr="00731F8E" w:rsidRDefault="004C0A79" w:rsidP="004C0A79">
      <w:pPr>
        <w:pStyle w:val="GvdeMetni"/>
        <w:spacing w:before="81"/>
        <w:rPr>
          <w:rFonts w:cs="Times New Roman"/>
          <w:szCs w:val="22"/>
        </w:rPr>
      </w:pPr>
    </w:p>
    <w:p w14:paraId="079EB4F2" w14:textId="77777777" w:rsidR="004C0A79" w:rsidRPr="00731F8E" w:rsidRDefault="004C0A79" w:rsidP="00A86526">
      <w:pPr>
        <w:pStyle w:val="P68B1DB1-ListParagraph3"/>
        <w:numPr>
          <w:ilvl w:val="0"/>
          <w:numId w:val="79"/>
        </w:numPr>
        <w:tabs>
          <w:tab w:val="left" w:pos="1830"/>
        </w:tabs>
        <w:spacing w:before="1" w:line="273" w:lineRule="auto"/>
        <w:ind w:right="123" w:firstLine="0"/>
        <w:rPr>
          <w:rFonts w:ascii="Times New Roman" w:hAnsi="Times New Roman" w:cs="Times New Roman"/>
          <w:szCs w:val="22"/>
        </w:rPr>
      </w:pPr>
      <w:r w:rsidRPr="00731F8E">
        <w:rPr>
          <w:rFonts w:ascii="Times New Roman" w:hAnsi="Times New Roman" w:cs="Times New Roman"/>
          <w:szCs w:val="22"/>
        </w:rPr>
        <w:t>Time spent due to defects attributable to the captain, crew, owner or operator of the Service Receiver Vessel,</w:t>
      </w:r>
    </w:p>
    <w:p w14:paraId="6E906D12" w14:textId="77777777" w:rsidR="004C0A79" w:rsidRPr="00731F8E" w:rsidRDefault="004C0A79" w:rsidP="004C0A79">
      <w:pPr>
        <w:pStyle w:val="GvdeMetni"/>
        <w:spacing w:before="45"/>
        <w:rPr>
          <w:rFonts w:cs="Times New Roman"/>
          <w:szCs w:val="22"/>
        </w:rPr>
      </w:pPr>
    </w:p>
    <w:p w14:paraId="35B53E7B" w14:textId="77777777" w:rsidR="004C0A79" w:rsidRPr="00731F8E" w:rsidRDefault="004C0A79" w:rsidP="00A86526">
      <w:pPr>
        <w:pStyle w:val="P68B1DB1-ListParagraph3"/>
        <w:numPr>
          <w:ilvl w:val="0"/>
          <w:numId w:val="79"/>
        </w:numPr>
        <w:tabs>
          <w:tab w:val="left" w:pos="1837"/>
        </w:tabs>
        <w:ind w:left="1837" w:hanging="229"/>
        <w:rPr>
          <w:rFonts w:ascii="Times New Roman" w:hAnsi="Times New Roman" w:cs="Times New Roman"/>
          <w:szCs w:val="22"/>
        </w:rPr>
      </w:pPr>
      <w:r w:rsidRPr="00731F8E">
        <w:rPr>
          <w:rFonts w:ascii="Times New Roman" w:hAnsi="Times New Roman" w:cs="Times New Roman"/>
          <w:szCs w:val="22"/>
        </w:rPr>
        <w:t>Periods elapsed due to Force Majeure.</w:t>
      </w:r>
    </w:p>
    <w:p w14:paraId="052AC0BD" w14:textId="77777777" w:rsidR="004C0A79" w:rsidRPr="00731F8E" w:rsidRDefault="004C0A79" w:rsidP="004C0A79">
      <w:pPr>
        <w:pStyle w:val="GvdeMetni"/>
        <w:spacing w:before="79"/>
        <w:rPr>
          <w:rFonts w:cs="Times New Roman"/>
          <w:szCs w:val="22"/>
        </w:rPr>
      </w:pPr>
    </w:p>
    <w:p w14:paraId="5430D426" w14:textId="77777777" w:rsidR="004C0A79" w:rsidRPr="00731F8E" w:rsidRDefault="004C0A79" w:rsidP="00A86526">
      <w:pPr>
        <w:pStyle w:val="ListeParagraf"/>
        <w:widowControl w:val="0"/>
        <w:numPr>
          <w:ilvl w:val="0"/>
          <w:numId w:val="82"/>
        </w:numPr>
        <w:tabs>
          <w:tab w:val="left" w:pos="1608"/>
        </w:tabs>
        <w:autoSpaceDE w:val="0"/>
        <w:autoSpaceDN w:val="0"/>
        <w:spacing w:before="1" w:after="0" w:line="240" w:lineRule="auto"/>
        <w:contextualSpacing w:val="0"/>
        <w:jc w:val="left"/>
        <w:rPr>
          <w:rFonts w:ascii="Times New Roman" w:hAnsi="Times New Roman"/>
        </w:rPr>
      </w:pPr>
      <w:r w:rsidRPr="00731F8E">
        <w:rPr>
          <w:rFonts w:ascii="Times New Roman" w:hAnsi="Times New Roman"/>
        </w:rPr>
        <w:t>Article 7.4.2. of the KUE is amended as follows:</w:t>
      </w:r>
    </w:p>
    <w:p w14:paraId="70478633" w14:textId="77777777" w:rsidR="004C0A79" w:rsidRPr="00731F8E" w:rsidRDefault="004C0A79" w:rsidP="004C0A79">
      <w:pPr>
        <w:pStyle w:val="GvdeMetni"/>
        <w:spacing w:before="62"/>
        <w:rPr>
          <w:rFonts w:cs="Times New Roman"/>
          <w:i/>
          <w:szCs w:val="22"/>
        </w:rPr>
      </w:pPr>
    </w:p>
    <w:p w14:paraId="02F44EEA" w14:textId="77777777" w:rsidR="004C0A79" w:rsidRPr="00731F8E" w:rsidRDefault="004C0A79" w:rsidP="004C0A79">
      <w:pPr>
        <w:pStyle w:val="GvdeMetni"/>
        <w:spacing w:line="276" w:lineRule="auto"/>
        <w:ind w:left="1609" w:right="117"/>
        <w:rPr>
          <w:rFonts w:cs="Times New Roman"/>
          <w:szCs w:val="22"/>
        </w:rPr>
      </w:pPr>
      <w:r w:rsidRPr="00731F8E">
        <w:rPr>
          <w:rFonts w:cs="Times New Roman"/>
          <w:b/>
          <w:szCs w:val="22"/>
        </w:rPr>
        <w:t xml:space="preserve">7.4.2. </w:t>
      </w:r>
      <w:r w:rsidRPr="00731F8E">
        <w:rPr>
          <w:rFonts w:cs="Times New Roman"/>
          <w:szCs w:val="22"/>
        </w:rPr>
        <w:t>BDLNG may not ship Gasified LNG if the total Gasified LNG Delivery Schedule determined for any day is less than the Minimum Gasification Amount (58,000 Sm3/hour).</w:t>
      </w:r>
    </w:p>
    <w:p w14:paraId="71840833" w14:textId="77777777" w:rsidR="004C0A79" w:rsidRPr="00731F8E" w:rsidRDefault="004C0A79" w:rsidP="004C0A79">
      <w:pPr>
        <w:pStyle w:val="GvdeMetni"/>
        <w:spacing w:before="39"/>
        <w:rPr>
          <w:rFonts w:cs="Times New Roman"/>
          <w:szCs w:val="22"/>
        </w:rPr>
      </w:pPr>
    </w:p>
    <w:p w14:paraId="713B7846" w14:textId="77777777" w:rsidR="004C0A79" w:rsidRPr="00731F8E" w:rsidRDefault="004C0A79" w:rsidP="00A86526">
      <w:pPr>
        <w:pStyle w:val="ListeParagraf"/>
        <w:widowControl w:val="0"/>
        <w:numPr>
          <w:ilvl w:val="0"/>
          <w:numId w:val="82"/>
        </w:numPr>
        <w:tabs>
          <w:tab w:val="left" w:pos="1608"/>
        </w:tabs>
        <w:autoSpaceDE w:val="0"/>
        <w:autoSpaceDN w:val="0"/>
        <w:spacing w:after="0" w:line="240" w:lineRule="auto"/>
        <w:ind w:hanging="359"/>
        <w:contextualSpacing w:val="0"/>
        <w:jc w:val="left"/>
        <w:rPr>
          <w:rFonts w:ascii="Times New Roman" w:hAnsi="Times New Roman"/>
        </w:rPr>
      </w:pPr>
      <w:r w:rsidRPr="00731F8E">
        <w:rPr>
          <w:rFonts w:ascii="Times New Roman" w:hAnsi="Times New Roman"/>
        </w:rPr>
        <w:t>Article 7.5.1. of the KUE is amended as follows:</w:t>
      </w:r>
    </w:p>
    <w:p w14:paraId="11820DFE" w14:textId="77777777" w:rsidR="004C0A79" w:rsidRPr="00731F8E" w:rsidRDefault="004C0A79" w:rsidP="004C0A79">
      <w:pPr>
        <w:pStyle w:val="GvdeMetni"/>
        <w:spacing w:before="62"/>
        <w:rPr>
          <w:rFonts w:cs="Times New Roman"/>
          <w:i/>
          <w:szCs w:val="22"/>
        </w:rPr>
      </w:pPr>
    </w:p>
    <w:p w14:paraId="455F86CA" w14:textId="77777777" w:rsidR="004C0A79" w:rsidRPr="00731F8E" w:rsidRDefault="004C0A79" w:rsidP="004C0A79">
      <w:pPr>
        <w:pStyle w:val="GvdeMetni"/>
        <w:ind w:left="1609"/>
        <w:rPr>
          <w:rFonts w:cs="Times New Roman"/>
          <w:szCs w:val="22"/>
        </w:rPr>
      </w:pPr>
      <w:r w:rsidRPr="00731F8E">
        <w:rPr>
          <w:rFonts w:cs="Times New Roman"/>
          <w:b/>
          <w:szCs w:val="22"/>
        </w:rPr>
        <w:t xml:space="preserve">7.5.1. </w:t>
      </w:r>
      <w:r w:rsidRPr="00731F8E">
        <w:rPr>
          <w:rFonts w:cs="Times New Roman"/>
          <w:szCs w:val="22"/>
        </w:rPr>
        <w:t xml:space="preserve">Each Service User is obliged to contribute to heel LNG, which must be constantly kept in the Terminal tanks, in the sharing manner specified in Article 7.5.2, and to keep its share of the heel LNG in the Terminal tanks for as long as necessary. </w:t>
      </w:r>
    </w:p>
    <w:p w14:paraId="7CC2D217" w14:textId="77777777" w:rsidR="004C0A79" w:rsidRPr="00731F8E" w:rsidRDefault="004C0A79" w:rsidP="004C0A79">
      <w:pPr>
        <w:pStyle w:val="GvdeMetni"/>
        <w:spacing w:before="38" w:line="276" w:lineRule="auto"/>
        <w:ind w:left="1609" w:right="120"/>
        <w:rPr>
          <w:rFonts w:cs="Times New Roman"/>
          <w:szCs w:val="22"/>
        </w:rPr>
      </w:pPr>
      <w:r w:rsidRPr="00731F8E">
        <w:rPr>
          <w:rFonts w:cs="Times New Roman"/>
          <w:szCs w:val="22"/>
        </w:rPr>
        <w:t>Heel LNG Amount is approximately 7.500 m3 total LNG. The amount of heel LNG can be increased or decreased by BDLNG according to the arrival date of the next cargo. In case of any change in the amount of heel LNG, BDLNG shall notify the Service Recipients of the change and the reasons leading to the change through DEBT.</w:t>
      </w:r>
    </w:p>
    <w:p w14:paraId="5902ACF9" w14:textId="77777777" w:rsidR="004C0A79" w:rsidRPr="00731F8E" w:rsidRDefault="004C0A79" w:rsidP="004C0A79">
      <w:pPr>
        <w:pStyle w:val="GvdeMetni"/>
        <w:spacing w:before="40"/>
        <w:rPr>
          <w:rFonts w:cs="Times New Roman"/>
          <w:szCs w:val="22"/>
        </w:rPr>
      </w:pPr>
    </w:p>
    <w:p w14:paraId="56B2A698" w14:textId="77777777" w:rsidR="004C0A79" w:rsidRPr="00731F8E" w:rsidRDefault="004C0A79" w:rsidP="00A86526">
      <w:pPr>
        <w:pStyle w:val="ListeParagraf"/>
        <w:widowControl w:val="0"/>
        <w:numPr>
          <w:ilvl w:val="0"/>
          <w:numId w:val="82"/>
        </w:numPr>
        <w:tabs>
          <w:tab w:val="left" w:pos="1608"/>
        </w:tabs>
        <w:autoSpaceDE w:val="0"/>
        <w:autoSpaceDN w:val="0"/>
        <w:spacing w:before="1" w:after="0" w:line="240" w:lineRule="auto"/>
        <w:ind w:hanging="359"/>
        <w:contextualSpacing w:val="0"/>
        <w:jc w:val="left"/>
        <w:rPr>
          <w:rFonts w:ascii="Times New Roman" w:hAnsi="Times New Roman"/>
        </w:rPr>
      </w:pPr>
      <w:r w:rsidRPr="00731F8E">
        <w:rPr>
          <w:rFonts w:ascii="Times New Roman" w:hAnsi="Times New Roman"/>
        </w:rPr>
        <w:t>Article 8.1.2. of the KUE is amended as follows:</w:t>
      </w:r>
    </w:p>
    <w:p w14:paraId="1EAE02C4" w14:textId="77777777" w:rsidR="004C0A79" w:rsidRPr="00731F8E" w:rsidRDefault="004C0A79" w:rsidP="004C0A79">
      <w:pPr>
        <w:pStyle w:val="GvdeMetni"/>
        <w:spacing w:before="62"/>
        <w:rPr>
          <w:rFonts w:cs="Times New Roman"/>
          <w:i/>
          <w:szCs w:val="22"/>
        </w:rPr>
      </w:pPr>
    </w:p>
    <w:p w14:paraId="14ACE21C" w14:textId="77777777" w:rsidR="004C0A79" w:rsidRPr="00731F8E" w:rsidRDefault="004C0A79" w:rsidP="004C0A79">
      <w:pPr>
        <w:pStyle w:val="Balk2"/>
        <w:ind w:left="1609"/>
        <w:rPr>
          <w:rFonts w:ascii="Times New Roman" w:hAnsi="Times New Roman" w:cs="Times New Roman"/>
          <w:szCs w:val="22"/>
        </w:rPr>
      </w:pPr>
      <w:r w:rsidRPr="00731F8E">
        <w:rPr>
          <w:rFonts w:ascii="Times New Roman" w:hAnsi="Times New Roman" w:cs="Times New Roman"/>
          <w:szCs w:val="22"/>
        </w:rPr>
        <w:t>8.1.2. Boiling Gas in Vessel Discharge and the Next Day</w:t>
      </w:r>
    </w:p>
    <w:p w14:paraId="476B1BE5" w14:textId="77777777" w:rsidR="004C0A79" w:rsidRPr="00731F8E" w:rsidRDefault="004C0A79" w:rsidP="004C0A79">
      <w:pPr>
        <w:pStyle w:val="GvdeMetni"/>
        <w:spacing w:before="80"/>
        <w:rPr>
          <w:rFonts w:cs="Times New Roman"/>
          <w:b/>
          <w:szCs w:val="22"/>
        </w:rPr>
      </w:pPr>
    </w:p>
    <w:p w14:paraId="731A0438" w14:textId="77777777" w:rsidR="004C0A79" w:rsidRPr="00E00911" w:rsidRDefault="004C0A79" w:rsidP="004C0A79">
      <w:pPr>
        <w:pStyle w:val="GvdeMetni"/>
        <w:spacing w:line="276" w:lineRule="auto"/>
        <w:ind w:left="1609" w:right="122"/>
        <w:rPr>
          <w:rFonts w:cs="Times New Roman"/>
          <w:sz w:val="22"/>
          <w:szCs w:val="22"/>
        </w:rPr>
      </w:pPr>
      <w:r w:rsidRPr="00E00911">
        <w:rPr>
          <w:rFonts w:cs="Times New Roman"/>
          <w:sz w:val="22"/>
          <w:szCs w:val="22"/>
        </w:rPr>
        <w:t>BDLNG shall make the necessary effort to remove the Boiling Gas generated during the discharge of any Service Receiving Vessel from the environment with the existing compressor systems (if there are enough shipments).</w:t>
      </w:r>
    </w:p>
    <w:p w14:paraId="4820C4FD" w14:textId="77777777" w:rsidR="004C0A79" w:rsidRPr="00E00911" w:rsidRDefault="004C0A79" w:rsidP="004C0A79">
      <w:pPr>
        <w:pStyle w:val="GvdeMetni"/>
        <w:spacing w:before="41"/>
        <w:rPr>
          <w:rFonts w:cs="Times New Roman"/>
          <w:sz w:val="22"/>
          <w:szCs w:val="22"/>
        </w:rPr>
      </w:pPr>
    </w:p>
    <w:p w14:paraId="545F8864" w14:textId="77777777" w:rsidR="00E00911" w:rsidRPr="00E00911" w:rsidRDefault="004C0A79" w:rsidP="00E00911">
      <w:pPr>
        <w:pStyle w:val="GvdeMetni"/>
        <w:spacing w:line="276" w:lineRule="auto"/>
        <w:ind w:left="1609" w:right="120"/>
        <w:rPr>
          <w:rFonts w:cs="Times New Roman"/>
          <w:sz w:val="22"/>
          <w:szCs w:val="22"/>
        </w:rPr>
      </w:pPr>
      <w:r w:rsidRPr="00E00911">
        <w:rPr>
          <w:rFonts w:cs="Times New Roman"/>
          <w:sz w:val="22"/>
          <w:szCs w:val="22"/>
        </w:rPr>
        <w:t>If sufficient shipment cannot be made to manage the Boiling Gas generated during the discharge of the Vessel, the agreement signed between the Service Receiver and the LNG Vessel operator shall be used if it allows the Vessel to be discharged at low speeds and the Vessel discharge time to be extended accordingly in order to reduce the Boiling Gas production. If sufficient shipment cannot be made or the Ship discharge rate cannot be reduced, the excess Boiling Gas is necessarily burned or removed from the system.</w:t>
      </w:r>
    </w:p>
    <w:p w14:paraId="162DB914" w14:textId="08F2597B" w:rsidR="004C0A79" w:rsidRPr="00E00911" w:rsidRDefault="004C0A79" w:rsidP="00E00911">
      <w:pPr>
        <w:pStyle w:val="GvdeMetni"/>
        <w:spacing w:line="276" w:lineRule="auto"/>
        <w:ind w:left="1609" w:right="120"/>
        <w:rPr>
          <w:rFonts w:cs="Times New Roman"/>
          <w:sz w:val="22"/>
          <w:szCs w:val="22"/>
        </w:rPr>
      </w:pPr>
      <w:r w:rsidRPr="00E00911">
        <w:rPr>
          <w:rFonts w:cs="Times New Roman"/>
          <w:sz w:val="22"/>
          <w:szCs w:val="22"/>
        </w:rPr>
        <w:t>This Gas vessel, which is burned or removed from the system, is deducted from the amount of LNG taken into the tank on behalf of the discharged Service Receiver.</w:t>
      </w:r>
    </w:p>
    <w:p w14:paraId="7321E531" w14:textId="77777777" w:rsidR="004C0A79" w:rsidRPr="00E00911" w:rsidRDefault="004C0A79" w:rsidP="004C0A79">
      <w:pPr>
        <w:pStyle w:val="GvdeMetni"/>
        <w:spacing w:before="40"/>
        <w:rPr>
          <w:rFonts w:cs="Times New Roman"/>
          <w:sz w:val="22"/>
          <w:szCs w:val="22"/>
        </w:rPr>
      </w:pPr>
    </w:p>
    <w:p w14:paraId="76627A17" w14:textId="77777777" w:rsidR="004C0A79" w:rsidRPr="00E00911" w:rsidRDefault="004C0A79" w:rsidP="004C0A79">
      <w:pPr>
        <w:pStyle w:val="GvdeMetni"/>
        <w:spacing w:line="276" w:lineRule="auto"/>
        <w:ind w:left="1608" w:right="118"/>
        <w:rPr>
          <w:rFonts w:cs="Times New Roman"/>
          <w:sz w:val="22"/>
          <w:szCs w:val="22"/>
        </w:rPr>
      </w:pPr>
      <w:r w:rsidRPr="00E00911">
        <w:rPr>
          <w:rFonts w:cs="Times New Roman"/>
          <w:sz w:val="22"/>
          <w:szCs w:val="22"/>
        </w:rPr>
        <w:t xml:space="preserve">Although the Conventional type Ship discharge is completed in 42 (forty-two) hours, in some cases, high Boiling Gas production continues the next day due to the temperature and chemical composition of the discharged LNG and its mixing with the existing LNG in the warehouses. If the Boiling Gas is burned due to this situation, this Gas, which is burned within 24 (twenty-four) </w:t>
      </w:r>
      <w:r w:rsidRPr="00E00911">
        <w:rPr>
          <w:rFonts w:cs="Times New Roman"/>
          <w:sz w:val="22"/>
          <w:szCs w:val="22"/>
        </w:rPr>
        <w:lastRenderedPageBreak/>
        <w:t>hours following the end time of the ship discharge, is deducted from the amount of LNG in the warehouse of the Service Receiver whose ship is unloaded. If a second Vessel is taken on discharge within 24 (twenty-four) hours after discharge, the amount of Boiling Gas increase from the first Vessel upon commencement of discharge shall not be taken into account. However, BDLNG makes the necessary evaluations for the fair determination of the amount of Boiling Gas for each Service Receiver.</w:t>
      </w:r>
    </w:p>
    <w:p w14:paraId="3AF2B6C6" w14:textId="77777777" w:rsidR="004C0A79" w:rsidRPr="00E00911" w:rsidRDefault="004C0A79" w:rsidP="004C0A79">
      <w:pPr>
        <w:pStyle w:val="GvdeMetni"/>
        <w:spacing w:before="40"/>
        <w:rPr>
          <w:rFonts w:cs="Times New Roman"/>
          <w:sz w:val="22"/>
          <w:szCs w:val="22"/>
        </w:rPr>
      </w:pPr>
    </w:p>
    <w:p w14:paraId="0C5A8B7F" w14:textId="77777777" w:rsidR="004C0A79" w:rsidRPr="00E00911" w:rsidRDefault="004C0A79" w:rsidP="004C0A79">
      <w:pPr>
        <w:pStyle w:val="GvdeMetni"/>
        <w:spacing w:line="276" w:lineRule="auto"/>
        <w:ind w:left="1608" w:right="120"/>
        <w:rPr>
          <w:rFonts w:cs="Times New Roman"/>
          <w:sz w:val="22"/>
          <w:szCs w:val="22"/>
        </w:rPr>
      </w:pPr>
      <w:r w:rsidRPr="00E00911">
        <w:rPr>
          <w:rFonts w:cs="Times New Roman"/>
          <w:sz w:val="22"/>
          <w:szCs w:val="22"/>
        </w:rPr>
        <w:t>A program for the management of the Boiling Gas is requested from the Service Receiver whose vessel is discharged during the discharge of the ship and for the management of the Boiling Gas that occurs the next day. With the Boiling Gas management offered by the Service Receiver, the Boiling Gas formed by the Ship discharge and the Boiling Gas management offered for the second day, if it cannot be removed from the environment, the excess Gas is removed from the system. The Gas removed from the system in this way is deducted from the amount of LNG in the LNG tanks of the Service Receiver whose Vessel is discharged.</w:t>
      </w:r>
    </w:p>
    <w:p w14:paraId="08A63825" w14:textId="77777777" w:rsidR="004C0A79" w:rsidRPr="00E00911" w:rsidRDefault="004C0A79" w:rsidP="004C0A79">
      <w:pPr>
        <w:pStyle w:val="GvdeMetni"/>
        <w:spacing w:before="38"/>
        <w:rPr>
          <w:rFonts w:cs="Times New Roman"/>
          <w:sz w:val="22"/>
          <w:szCs w:val="22"/>
        </w:rPr>
      </w:pPr>
    </w:p>
    <w:p w14:paraId="6BC48EF9" w14:textId="77777777" w:rsidR="004C0A79" w:rsidRPr="00E00911" w:rsidRDefault="004C0A79" w:rsidP="00A86526">
      <w:pPr>
        <w:pStyle w:val="ListeParagraf"/>
        <w:widowControl w:val="0"/>
        <w:numPr>
          <w:ilvl w:val="0"/>
          <w:numId w:val="82"/>
        </w:numPr>
        <w:tabs>
          <w:tab w:val="left" w:pos="1608"/>
        </w:tabs>
        <w:autoSpaceDE w:val="0"/>
        <w:autoSpaceDN w:val="0"/>
        <w:spacing w:after="0" w:line="240" w:lineRule="auto"/>
        <w:contextualSpacing w:val="0"/>
        <w:jc w:val="left"/>
        <w:rPr>
          <w:rFonts w:ascii="Times New Roman" w:hAnsi="Times New Roman"/>
        </w:rPr>
      </w:pPr>
      <w:r w:rsidRPr="00E00911">
        <w:rPr>
          <w:rFonts w:ascii="Times New Roman" w:hAnsi="Times New Roman"/>
        </w:rPr>
        <w:t>Article 23.4. of the KUE is amended as follows:</w:t>
      </w:r>
    </w:p>
    <w:p w14:paraId="6EADD4C0" w14:textId="77777777" w:rsidR="004C0A79" w:rsidRPr="00E00911" w:rsidRDefault="004C0A79" w:rsidP="004C0A79">
      <w:pPr>
        <w:pStyle w:val="GvdeMetni"/>
        <w:spacing w:before="63"/>
        <w:rPr>
          <w:rFonts w:cs="Times New Roman"/>
          <w:i/>
          <w:sz w:val="22"/>
          <w:szCs w:val="22"/>
        </w:rPr>
      </w:pPr>
    </w:p>
    <w:p w14:paraId="1DC7B1FA" w14:textId="77777777" w:rsidR="004C0A79" w:rsidRPr="00E00911" w:rsidRDefault="004C0A79" w:rsidP="004C0A79">
      <w:pPr>
        <w:pStyle w:val="GvdeMetni"/>
        <w:spacing w:line="276" w:lineRule="auto"/>
        <w:ind w:left="1608" w:right="119"/>
        <w:rPr>
          <w:rFonts w:cs="Times New Roman"/>
          <w:sz w:val="22"/>
          <w:szCs w:val="22"/>
        </w:rPr>
      </w:pPr>
      <w:r w:rsidRPr="00E00911">
        <w:rPr>
          <w:rFonts w:cs="Times New Roman"/>
          <w:sz w:val="22"/>
          <w:szCs w:val="22"/>
        </w:rPr>
        <w:t>Quantity measurement for Gasified LNG delivery in 23.4.2022 and 2023 will be made with existing meters on FSRU, and then the metering station data to be installed on land will be the basis for the relevant quantities.</w:t>
      </w:r>
    </w:p>
    <w:p w14:paraId="110390C6" w14:textId="77777777" w:rsidR="004C0A79" w:rsidRPr="00E00911" w:rsidRDefault="004C0A79" w:rsidP="004C0A79">
      <w:pPr>
        <w:pStyle w:val="GvdeMetni"/>
        <w:spacing w:before="41"/>
        <w:rPr>
          <w:rFonts w:cs="Times New Roman"/>
          <w:sz w:val="22"/>
          <w:szCs w:val="22"/>
        </w:rPr>
      </w:pPr>
    </w:p>
    <w:p w14:paraId="50D5C44F" w14:textId="77777777" w:rsidR="004C0A79" w:rsidRPr="00E00911" w:rsidRDefault="004C0A79" w:rsidP="00A86526">
      <w:pPr>
        <w:pStyle w:val="ListeParagraf"/>
        <w:widowControl w:val="0"/>
        <w:numPr>
          <w:ilvl w:val="0"/>
          <w:numId w:val="78"/>
        </w:numPr>
        <w:tabs>
          <w:tab w:val="left" w:pos="836"/>
          <w:tab w:val="left" w:pos="838"/>
        </w:tabs>
        <w:autoSpaceDE w:val="0"/>
        <w:autoSpaceDN w:val="0"/>
        <w:spacing w:after="0" w:line="259" w:lineRule="auto"/>
        <w:ind w:right="122"/>
        <w:contextualSpacing w:val="0"/>
        <w:rPr>
          <w:rFonts w:ascii="Times New Roman" w:hAnsi="Times New Roman"/>
        </w:rPr>
      </w:pPr>
      <w:r w:rsidRPr="00E00911">
        <w:rPr>
          <w:rFonts w:ascii="Times New Roman" w:hAnsi="Times New Roman"/>
        </w:rPr>
        <w:t>• With the Board Decision dated 29.12.2022 and numbered 11520 published in the Official Gazette dated 30.12.2022 and numbered 32059, the following paragraph was added to Article 14 of the Procedures and Principles Concerning the Determination of Income Ceilings Based on Tariffs of Natural Gas Transmission License Holding Companies.</w:t>
      </w:r>
    </w:p>
    <w:p w14:paraId="33D8F65F" w14:textId="77777777" w:rsidR="004C0A79" w:rsidRPr="00E00911" w:rsidRDefault="004C0A79" w:rsidP="004C0A79">
      <w:pPr>
        <w:pStyle w:val="GvdeMetni"/>
        <w:spacing w:before="63"/>
        <w:rPr>
          <w:rFonts w:cs="Times New Roman"/>
          <w:i/>
          <w:sz w:val="22"/>
          <w:szCs w:val="22"/>
        </w:rPr>
      </w:pPr>
    </w:p>
    <w:p w14:paraId="25707507" w14:textId="77777777" w:rsidR="004C0A79" w:rsidRPr="00E00911" w:rsidRDefault="004C0A79" w:rsidP="004C0A79">
      <w:pPr>
        <w:pStyle w:val="GvdeMetni"/>
        <w:spacing w:line="276" w:lineRule="auto"/>
        <w:ind w:left="1608" w:right="120"/>
        <w:rPr>
          <w:rFonts w:cs="Times New Roman"/>
          <w:sz w:val="22"/>
          <w:szCs w:val="22"/>
        </w:rPr>
      </w:pPr>
      <w:r w:rsidRPr="00E00911">
        <w:rPr>
          <w:rFonts w:cs="Times New Roman"/>
          <w:sz w:val="22"/>
          <w:szCs w:val="22"/>
        </w:rPr>
        <w:t>"(5) Changes in the operating expense items included in the regulated operating expenses that constitute the basis for the annual income requirement calculations and determined to be uncontrollable by the Board during the tariff application period shall be taken into account in the income ceiling calculations made in accordance with Article 15. The parameters to be taken into account in the determination of such changes shall be determined separately by the Board. "</w:t>
      </w:r>
    </w:p>
    <w:p w14:paraId="66465134" w14:textId="77777777" w:rsidR="004C0A79" w:rsidRPr="00731F8E" w:rsidRDefault="004C0A79" w:rsidP="004C0A79">
      <w:pPr>
        <w:pStyle w:val="GvdeMetni"/>
        <w:spacing w:before="40"/>
        <w:rPr>
          <w:rFonts w:cs="Times New Roman"/>
          <w:szCs w:val="22"/>
        </w:rPr>
      </w:pPr>
    </w:p>
    <w:p w14:paraId="32A6128E" w14:textId="77777777" w:rsidR="004C0A79" w:rsidRPr="00731F8E" w:rsidRDefault="004C0A79" w:rsidP="00A86526">
      <w:pPr>
        <w:pStyle w:val="ListeParagraf"/>
        <w:widowControl w:val="0"/>
        <w:numPr>
          <w:ilvl w:val="1"/>
          <w:numId w:val="78"/>
        </w:numPr>
        <w:tabs>
          <w:tab w:val="left" w:pos="1608"/>
        </w:tabs>
        <w:autoSpaceDE w:val="0"/>
        <w:autoSpaceDN w:val="0"/>
        <w:spacing w:after="0" w:line="240" w:lineRule="auto"/>
        <w:contextualSpacing w:val="0"/>
        <w:jc w:val="left"/>
        <w:rPr>
          <w:rFonts w:ascii="Times New Roman" w:hAnsi="Times New Roman"/>
        </w:rPr>
      </w:pPr>
      <w:r w:rsidRPr="00731F8E">
        <w:rPr>
          <w:rFonts w:ascii="Times New Roman" w:hAnsi="Times New Roman"/>
        </w:rPr>
        <w:t>The first paragraph of Article 15 has been amended as follows.</w:t>
      </w:r>
    </w:p>
    <w:p w14:paraId="2822A32F" w14:textId="77777777" w:rsidR="004C0A79" w:rsidRPr="00731F8E" w:rsidRDefault="004C0A79" w:rsidP="004C0A79">
      <w:pPr>
        <w:pStyle w:val="GvdeMetni"/>
        <w:spacing w:before="60"/>
        <w:rPr>
          <w:rFonts w:cs="Times New Roman"/>
          <w:i/>
          <w:szCs w:val="22"/>
        </w:rPr>
      </w:pPr>
    </w:p>
    <w:p w14:paraId="53DB147F" w14:textId="77777777" w:rsidR="004C0A79" w:rsidRPr="00731F8E" w:rsidRDefault="004C0A79" w:rsidP="004C0A79">
      <w:pPr>
        <w:pStyle w:val="GvdeMetni"/>
        <w:spacing w:line="276" w:lineRule="auto"/>
        <w:ind w:left="1608" w:right="121"/>
        <w:rPr>
          <w:rFonts w:cs="Times New Roman"/>
          <w:szCs w:val="22"/>
        </w:rPr>
      </w:pPr>
      <w:r w:rsidRPr="00731F8E">
        <w:rPr>
          <w:rFonts w:cs="Times New Roman"/>
          <w:szCs w:val="22"/>
        </w:rPr>
        <w:t>"(1) In the calculation of the unit prices related to the transmission and shipment control to be determined for each tariff year of the transmission company, the revenue ceiling calculated according to Equation (10) is taken as a basis.</w:t>
      </w:r>
    </w:p>
    <w:p w14:paraId="16AE1E7C" w14:textId="77777777" w:rsidR="004C0A79" w:rsidRPr="00731F8E" w:rsidRDefault="004C0A79" w:rsidP="004C0A79">
      <w:pPr>
        <w:pStyle w:val="GvdeMetni"/>
        <w:spacing w:before="2" w:line="273" w:lineRule="auto"/>
        <w:ind w:left="2242" w:right="4732" w:hanging="635"/>
        <w:rPr>
          <w:rFonts w:cs="Times New Roman"/>
          <w:szCs w:val="22"/>
        </w:rPr>
      </w:pPr>
      <w:r w:rsidRPr="00731F8E">
        <w:rPr>
          <w:rFonts w:cs="Times New Roman"/>
          <w:szCs w:val="22"/>
        </w:rPr>
        <w:t>GTt = GGGt * (1 ¬¬¬-Xt) + KİGBt +GFDBt (10)</w:t>
      </w:r>
    </w:p>
    <w:p w14:paraId="30D4466D" w14:textId="77777777" w:rsidR="004C0A79" w:rsidRPr="00731F8E" w:rsidRDefault="004C0A79" w:rsidP="004C0A79">
      <w:pPr>
        <w:spacing w:line="273" w:lineRule="auto"/>
        <w:rPr>
          <w:rFonts w:ascii="Times New Roman" w:hAnsi="Times New Roman"/>
        </w:rPr>
        <w:sectPr w:rsidR="004C0A79" w:rsidRPr="00731F8E">
          <w:pgSz w:w="11910" w:h="16840"/>
          <w:pgMar w:top="1360" w:right="440" w:bottom="280" w:left="1300" w:header="720" w:footer="720" w:gutter="0"/>
          <w:cols w:space="720"/>
        </w:sectPr>
      </w:pPr>
    </w:p>
    <w:p w14:paraId="5A9E9318" w14:textId="77777777" w:rsidR="004C0A79" w:rsidRPr="00731F8E" w:rsidRDefault="004C0A79" w:rsidP="004C0A79">
      <w:pPr>
        <w:pStyle w:val="GvdeMetni"/>
        <w:tabs>
          <w:tab w:val="left" w:pos="2242"/>
        </w:tabs>
        <w:spacing w:before="39" w:line="276" w:lineRule="auto"/>
        <w:ind w:left="1608" w:right="3375"/>
        <w:rPr>
          <w:rFonts w:cs="Times New Roman"/>
          <w:szCs w:val="22"/>
        </w:rPr>
      </w:pPr>
      <w:r w:rsidRPr="00731F8E">
        <w:rPr>
          <w:rFonts w:cs="Times New Roman"/>
          <w:szCs w:val="22"/>
        </w:rPr>
        <w:lastRenderedPageBreak/>
        <w:t>t:</w:t>
      </w:r>
      <w:r w:rsidRPr="00731F8E">
        <w:rPr>
          <w:rFonts w:cs="Times New Roman"/>
          <w:szCs w:val="22"/>
        </w:rPr>
        <w:tab/>
        <w:t>Each Tariff Year in the Tariff Application Period, GTt:</w:t>
      </w:r>
      <w:r w:rsidRPr="00731F8E">
        <w:rPr>
          <w:rFonts w:cs="Times New Roman"/>
          <w:szCs w:val="22"/>
        </w:rPr>
        <w:tab/>
        <w:t>t Tariff Year Revenue Ceiling,</w:t>
      </w:r>
    </w:p>
    <w:p w14:paraId="107DF536" w14:textId="77777777" w:rsidR="004C0A79" w:rsidRPr="00731F8E" w:rsidRDefault="004C0A79" w:rsidP="004C0A79">
      <w:pPr>
        <w:pStyle w:val="GvdeMetni"/>
        <w:spacing w:line="268" w:lineRule="exact"/>
        <w:ind w:left="1608"/>
        <w:rPr>
          <w:rFonts w:cs="Times New Roman"/>
          <w:szCs w:val="22"/>
        </w:rPr>
      </w:pPr>
      <w:r w:rsidRPr="00731F8E">
        <w:rPr>
          <w:rFonts w:cs="Times New Roman"/>
          <w:szCs w:val="22"/>
        </w:rPr>
        <w:t>GGGt : t refers to the updated Revenue Requirement calculated according to Equation (11) for the Tariff Year,</w:t>
      </w:r>
    </w:p>
    <w:p w14:paraId="4B34C4E6" w14:textId="77777777" w:rsidR="004C0A79" w:rsidRPr="00731F8E" w:rsidRDefault="004C0A79" w:rsidP="004C0A79">
      <w:pPr>
        <w:pStyle w:val="GvdeMetni"/>
        <w:tabs>
          <w:tab w:val="left" w:pos="2242"/>
        </w:tabs>
        <w:spacing w:before="41"/>
        <w:ind w:left="1608"/>
        <w:rPr>
          <w:rFonts w:cs="Times New Roman"/>
          <w:szCs w:val="22"/>
        </w:rPr>
      </w:pPr>
      <w:r w:rsidRPr="00731F8E">
        <w:rPr>
          <w:rFonts w:cs="Times New Roman"/>
          <w:szCs w:val="22"/>
        </w:rPr>
        <w:t>Xt:</w:t>
      </w:r>
      <w:r w:rsidRPr="00731F8E">
        <w:rPr>
          <w:rFonts w:cs="Times New Roman"/>
          <w:szCs w:val="22"/>
        </w:rPr>
        <w:tab/>
        <w:t>t refers to the efficiency parameter determined at the beginning of the implementation period for the Tariff Year,</w:t>
      </w:r>
    </w:p>
    <w:p w14:paraId="427292CE" w14:textId="77777777" w:rsidR="004C0A79" w:rsidRPr="00731F8E" w:rsidRDefault="004C0A79" w:rsidP="004C0A79">
      <w:pPr>
        <w:pStyle w:val="GvdeMetni"/>
        <w:spacing w:before="41" w:line="276" w:lineRule="auto"/>
        <w:ind w:left="1608" w:right="120"/>
        <w:rPr>
          <w:rFonts w:cs="Times New Roman"/>
          <w:szCs w:val="22"/>
        </w:rPr>
      </w:pPr>
      <w:r w:rsidRPr="00731F8E">
        <w:rPr>
          <w:rFonts w:cs="Times New Roman"/>
          <w:szCs w:val="22"/>
        </w:rPr>
        <w:t>KİGBt : The deviation in uncontrolled operating expenses determined within the scope of the fifth paragraph of Article 14, which will be taken into account in the income ceiling calculations of the t tariff year,</w:t>
      </w:r>
    </w:p>
    <w:p w14:paraId="4076CE37" w14:textId="77777777" w:rsidR="004C0A79" w:rsidRPr="00731F8E" w:rsidRDefault="004C0A79" w:rsidP="004C0A79">
      <w:pPr>
        <w:pStyle w:val="GvdeMetni"/>
        <w:spacing w:line="268" w:lineRule="exact"/>
        <w:ind w:left="1608"/>
        <w:rPr>
          <w:rFonts w:cs="Times New Roman"/>
          <w:szCs w:val="22"/>
        </w:rPr>
      </w:pPr>
      <w:r w:rsidRPr="00731F8E">
        <w:rPr>
          <w:rFonts w:cs="Times New Roman"/>
          <w:szCs w:val="22"/>
        </w:rPr>
        <w:t>GFDBt : t shows the Income Difference Adjustment Component calculated according to Equation (12) for Tariff Year."</w:t>
      </w:r>
    </w:p>
    <w:p w14:paraId="28D1E49B" w14:textId="77777777" w:rsidR="004C0A79" w:rsidRPr="00731F8E" w:rsidRDefault="004C0A79" w:rsidP="004C0A79">
      <w:pPr>
        <w:pStyle w:val="GvdeMetni"/>
        <w:spacing w:before="80"/>
        <w:rPr>
          <w:rFonts w:cs="Times New Roman"/>
          <w:szCs w:val="22"/>
        </w:rPr>
      </w:pPr>
    </w:p>
    <w:p w14:paraId="173BD2DF" w14:textId="77777777" w:rsidR="004C0A79" w:rsidRPr="00731F8E" w:rsidRDefault="004C0A79" w:rsidP="00A86526">
      <w:pPr>
        <w:pStyle w:val="ListeParagraf"/>
        <w:widowControl w:val="0"/>
        <w:numPr>
          <w:ilvl w:val="0"/>
          <w:numId w:val="78"/>
        </w:numPr>
        <w:tabs>
          <w:tab w:val="left" w:pos="836"/>
          <w:tab w:val="left" w:pos="838"/>
        </w:tabs>
        <w:autoSpaceDE w:val="0"/>
        <w:autoSpaceDN w:val="0"/>
        <w:spacing w:after="0" w:line="259" w:lineRule="auto"/>
        <w:ind w:right="120"/>
        <w:contextualSpacing w:val="0"/>
        <w:rPr>
          <w:rFonts w:ascii="Times New Roman" w:hAnsi="Times New Roman"/>
        </w:rPr>
      </w:pPr>
      <w:r w:rsidRPr="00731F8E">
        <w:rPr>
          <w:rFonts w:ascii="Times New Roman" w:hAnsi="Times New Roman"/>
        </w:rPr>
        <w:t>Within the framework of the "</w:t>
      </w:r>
      <w:r w:rsidRPr="00731F8E">
        <w:rPr>
          <w:rFonts w:ascii="Times New Roman" w:hAnsi="Times New Roman"/>
          <w:b/>
        </w:rPr>
        <w:t xml:space="preserve">Procedures and Principles Regarding the Determination of Income Ceilings Based on the Tariffs of Natural Gas Transmission License Holders" adopted by the Board Decision dated 03/10/2013 and numbered 4638-1 with the Board Decision dated 29.12.2022 and numbered 11521 published in the Official Gazette dated 30.12.2022 and </w:t>
      </w:r>
      <w:r w:rsidRPr="00731F8E">
        <w:rPr>
          <w:rFonts w:ascii="Times New Roman" w:hAnsi="Times New Roman"/>
        </w:rPr>
        <w:t>numbered 32059, it was decided to determine the annual income requirements based on the transmission and shipment control tariffs for the fourth tariff application period of the transmission license holder Boru Hatları ile Petrol Taşıma Anonim Şirketi (BOTAŞ) dated 23/05/2003 and numbered 148-17/021.</w:t>
      </w:r>
    </w:p>
    <w:p w14:paraId="6D157034" w14:textId="77777777" w:rsidR="004C0A79" w:rsidRPr="00731F8E" w:rsidRDefault="004C0A79" w:rsidP="004C0A79">
      <w:pPr>
        <w:pStyle w:val="GvdeMetni"/>
        <w:spacing w:before="38"/>
        <w:rPr>
          <w:rFonts w:cs="Times New Roman"/>
          <w:i/>
          <w:szCs w:val="22"/>
        </w:rPr>
      </w:pPr>
    </w:p>
    <w:p w14:paraId="6A7E67C2" w14:textId="77777777" w:rsidR="004C0A79" w:rsidRPr="00731F8E" w:rsidRDefault="004C0A79" w:rsidP="00A86526">
      <w:pPr>
        <w:pStyle w:val="ListeParagraf"/>
        <w:widowControl w:val="0"/>
        <w:numPr>
          <w:ilvl w:val="0"/>
          <w:numId w:val="78"/>
        </w:numPr>
        <w:tabs>
          <w:tab w:val="left" w:pos="836"/>
          <w:tab w:val="left" w:pos="838"/>
        </w:tabs>
        <w:autoSpaceDE w:val="0"/>
        <w:autoSpaceDN w:val="0"/>
        <w:spacing w:after="0" w:line="259" w:lineRule="auto"/>
        <w:ind w:right="119"/>
        <w:contextualSpacing w:val="0"/>
        <w:rPr>
          <w:rFonts w:ascii="Times New Roman" w:hAnsi="Times New Roman"/>
        </w:rPr>
      </w:pPr>
      <w:r w:rsidRPr="00731F8E">
        <w:rPr>
          <w:rFonts w:ascii="Times New Roman" w:hAnsi="Times New Roman"/>
        </w:rPr>
        <w:t>Within the framework of the "</w:t>
      </w:r>
      <w:r w:rsidRPr="00731F8E">
        <w:rPr>
          <w:rFonts w:ascii="Times New Roman" w:hAnsi="Times New Roman"/>
          <w:b/>
        </w:rPr>
        <w:t xml:space="preserve">Procedures and Principles Regarding the Determination of Income Ceilings Based on the Tariffs of Natural Gas Transmission License Holders" adopted by the Board Decision dated 03/10/2013 and numbered 4638-1 with the Board Decision dated 29.12.2022 and numbered 11522 published in the Official Gazette dated 30.12.2022 and </w:t>
      </w:r>
      <w:r w:rsidRPr="00731F8E">
        <w:rPr>
          <w:rFonts w:ascii="Times New Roman" w:hAnsi="Times New Roman"/>
        </w:rPr>
        <w:t>numbered 32059, it was decided to approve the attached Method Statement regarding the 2023-2025 tariff implementation period of the transmission license holder Boru Hatları ile Petrol Taşıma Anonim Şirketi (BOTAŞ) dated 23/05/2003 and numbered 148-17/021.</w:t>
      </w:r>
    </w:p>
    <w:p w14:paraId="0E5F7AD6" w14:textId="77777777" w:rsidR="004C0A79" w:rsidRPr="00731F8E" w:rsidRDefault="004C0A79" w:rsidP="004C0A79">
      <w:pPr>
        <w:pStyle w:val="GvdeMetni"/>
        <w:spacing w:before="39"/>
        <w:rPr>
          <w:rFonts w:cs="Times New Roman"/>
          <w:i/>
          <w:szCs w:val="22"/>
        </w:rPr>
      </w:pPr>
    </w:p>
    <w:p w14:paraId="7FF812CB" w14:textId="77777777" w:rsidR="004C0A79" w:rsidRPr="00731F8E" w:rsidRDefault="004C0A79" w:rsidP="00A86526">
      <w:pPr>
        <w:pStyle w:val="ListeParagraf"/>
        <w:widowControl w:val="0"/>
        <w:numPr>
          <w:ilvl w:val="0"/>
          <w:numId w:val="78"/>
        </w:numPr>
        <w:tabs>
          <w:tab w:val="left" w:pos="836"/>
          <w:tab w:val="left" w:pos="838"/>
        </w:tabs>
        <w:autoSpaceDE w:val="0"/>
        <w:autoSpaceDN w:val="0"/>
        <w:spacing w:after="0" w:line="259" w:lineRule="auto"/>
        <w:ind w:right="119"/>
        <w:contextualSpacing w:val="0"/>
        <w:rPr>
          <w:rFonts w:ascii="Times New Roman" w:hAnsi="Times New Roman"/>
        </w:rPr>
      </w:pPr>
      <w:r w:rsidRPr="00731F8E">
        <w:rPr>
          <w:rFonts w:ascii="Times New Roman" w:hAnsi="Times New Roman"/>
        </w:rPr>
        <w:t>Within the framework of the "</w:t>
      </w:r>
      <w:r w:rsidRPr="00731F8E">
        <w:rPr>
          <w:rFonts w:ascii="Times New Roman" w:hAnsi="Times New Roman"/>
          <w:b/>
        </w:rPr>
        <w:t xml:space="preserve">Procedures and Principles Regarding the Determination of Income Ceilings Based on the Tariffs of Natural Gas Transmission License Holders" adopted by the Board Decision dated 03/10/2013 and numbered 4638-1 with the Board Decision dated 29.12.2022 and numbered 11521 published in the Official Gazette dated 30.12.2022 and </w:t>
      </w:r>
      <w:r w:rsidRPr="00731F8E">
        <w:rPr>
          <w:rFonts w:ascii="Times New Roman" w:hAnsi="Times New Roman"/>
        </w:rPr>
        <w:t>numbered 32059, it was decided to determine the annual income requirements based on the transmission and shipment control tariffs for the fourth tariff application period of the transmission license holder Boru Hatları ile Petrol Taşıma Anonim Şirketi (BOTAŞ) dated 23/05/2003 and numbered 148-17/021.</w:t>
      </w:r>
    </w:p>
    <w:p w14:paraId="6AF5F8A5" w14:textId="77777777" w:rsidR="004C0A79" w:rsidRPr="00731F8E" w:rsidRDefault="004C0A79" w:rsidP="004C0A79">
      <w:pPr>
        <w:pStyle w:val="GvdeMetni"/>
        <w:spacing w:before="38"/>
        <w:rPr>
          <w:rFonts w:cs="Times New Roman"/>
          <w:i/>
          <w:szCs w:val="22"/>
        </w:rPr>
      </w:pPr>
    </w:p>
    <w:p w14:paraId="7950B85D" w14:textId="77777777" w:rsidR="004C0A79" w:rsidRPr="00731F8E" w:rsidRDefault="004C0A79" w:rsidP="00A86526">
      <w:pPr>
        <w:pStyle w:val="ListeParagraf"/>
        <w:widowControl w:val="0"/>
        <w:numPr>
          <w:ilvl w:val="0"/>
          <w:numId w:val="78"/>
        </w:numPr>
        <w:tabs>
          <w:tab w:val="left" w:pos="837"/>
          <w:tab w:val="left" w:pos="839"/>
        </w:tabs>
        <w:autoSpaceDE w:val="0"/>
        <w:autoSpaceDN w:val="0"/>
        <w:spacing w:after="0" w:line="259" w:lineRule="auto"/>
        <w:ind w:left="839" w:right="119"/>
        <w:contextualSpacing w:val="0"/>
        <w:rPr>
          <w:rFonts w:ascii="Times New Roman" w:hAnsi="Times New Roman"/>
        </w:rPr>
      </w:pPr>
      <w:r w:rsidRPr="00731F8E">
        <w:rPr>
          <w:rFonts w:ascii="Times New Roman" w:hAnsi="Times New Roman"/>
        </w:rPr>
        <w:t>• Regarding the applications that can be made to the Authority electronically by real and legal entities who operate or will operate in the natural gas market within the scope of the Natural Gas Market Law No. 4646 and the relevant legislation, with the Board Decision dated 29.12.2022 and numbered 11506 published in the Official Gazette dated 30.12.2022 and numbered 32059 the first sentence of the first paragraph of Article 2 of the "Board Decision dated 04/04/2019 and numbered 8522" has been amended as follows.</w:t>
      </w:r>
    </w:p>
    <w:p w14:paraId="28BDD3AE" w14:textId="77777777" w:rsidR="004C0A79" w:rsidRPr="00731F8E" w:rsidRDefault="004C0A79" w:rsidP="004C0A79">
      <w:pPr>
        <w:pStyle w:val="GvdeMetni"/>
        <w:spacing w:before="60"/>
        <w:rPr>
          <w:rFonts w:cs="Times New Roman"/>
          <w:i/>
          <w:szCs w:val="22"/>
        </w:rPr>
      </w:pPr>
    </w:p>
    <w:p w14:paraId="156E727C" w14:textId="77777777" w:rsidR="004C0A79" w:rsidRPr="00731F8E" w:rsidRDefault="004C0A79" w:rsidP="004C0A79">
      <w:pPr>
        <w:pStyle w:val="GvdeMetni"/>
        <w:spacing w:line="276" w:lineRule="auto"/>
        <w:ind w:left="1609" w:right="123"/>
        <w:rPr>
          <w:rFonts w:cs="Times New Roman"/>
          <w:szCs w:val="22"/>
        </w:rPr>
      </w:pPr>
      <w:r w:rsidRPr="00731F8E">
        <w:rPr>
          <w:rFonts w:cs="Times New Roman"/>
          <w:szCs w:val="22"/>
        </w:rPr>
        <w:t>"Applications specified in Article 1 shall continue to be received in writing until 31/12/2023."</w:t>
      </w:r>
    </w:p>
    <w:p w14:paraId="492AC255" w14:textId="77777777" w:rsidR="004C0A79" w:rsidRPr="00731F8E" w:rsidRDefault="004C0A79" w:rsidP="004C0A79">
      <w:pPr>
        <w:pStyle w:val="GvdeMetni"/>
        <w:spacing w:before="41"/>
        <w:rPr>
          <w:rFonts w:cs="Times New Roman"/>
          <w:szCs w:val="22"/>
        </w:rPr>
      </w:pPr>
    </w:p>
    <w:p w14:paraId="086E1511" w14:textId="77777777" w:rsidR="004C0A79" w:rsidRPr="00731F8E" w:rsidRDefault="004C0A79" w:rsidP="00A86526">
      <w:pPr>
        <w:pStyle w:val="ListeParagraf"/>
        <w:widowControl w:val="0"/>
        <w:numPr>
          <w:ilvl w:val="0"/>
          <w:numId w:val="78"/>
        </w:numPr>
        <w:tabs>
          <w:tab w:val="left" w:pos="837"/>
          <w:tab w:val="left" w:pos="839"/>
        </w:tabs>
        <w:autoSpaceDE w:val="0"/>
        <w:autoSpaceDN w:val="0"/>
        <w:spacing w:after="0" w:line="259" w:lineRule="auto"/>
        <w:ind w:left="839" w:right="121"/>
        <w:contextualSpacing w:val="0"/>
        <w:rPr>
          <w:rFonts w:ascii="Times New Roman" w:hAnsi="Times New Roman"/>
        </w:rPr>
      </w:pPr>
      <w:r w:rsidRPr="00731F8E">
        <w:rPr>
          <w:rFonts w:ascii="Times New Roman" w:hAnsi="Times New Roman"/>
        </w:rPr>
        <w:t>With the Board Decision dated 29.12.2022 and numbered 11525 published in the Official Gazette dated 30.12.2022 and numbered 32059, the following Decision was taken regarding the participation fee rate to be applied in 2023, which license holders operating in the Natural Gas Market are obliged to pay in 2023 for their 2022 activities.</w:t>
      </w:r>
    </w:p>
    <w:p w14:paraId="022AED05" w14:textId="77777777" w:rsidR="004C0A79" w:rsidRPr="00731F8E" w:rsidRDefault="004C0A79" w:rsidP="004C0A79">
      <w:pPr>
        <w:spacing w:line="259" w:lineRule="auto"/>
        <w:rPr>
          <w:rFonts w:ascii="Times New Roman" w:hAnsi="Times New Roman"/>
        </w:rPr>
        <w:sectPr w:rsidR="004C0A79" w:rsidRPr="00731F8E">
          <w:pgSz w:w="11910" w:h="16840"/>
          <w:pgMar w:top="1360" w:right="440" w:bottom="280" w:left="1300" w:header="720" w:footer="720" w:gutter="0"/>
          <w:cols w:space="720"/>
        </w:sectPr>
      </w:pPr>
    </w:p>
    <w:p w14:paraId="43D38300" w14:textId="77777777" w:rsidR="004C0A79" w:rsidRPr="00731F8E" w:rsidRDefault="004C0A79" w:rsidP="004C0A79">
      <w:pPr>
        <w:pStyle w:val="GvdeMetni"/>
        <w:spacing w:before="39" w:line="276" w:lineRule="auto"/>
        <w:ind w:left="1608" w:right="120"/>
        <w:rPr>
          <w:rFonts w:cs="Times New Roman"/>
          <w:szCs w:val="22"/>
        </w:rPr>
      </w:pPr>
      <w:r w:rsidRPr="00731F8E">
        <w:rPr>
          <w:rFonts w:cs="Times New Roman"/>
          <w:szCs w:val="22"/>
        </w:rPr>
        <w:lastRenderedPageBreak/>
        <w:t>ARTICLE 1- In accordance with clause (i) of the seventh paragraph of Article 5 of the Law No. 4628 on the Organization and Duties of the Energy Market Regulatory Authority and clause (a) of paragraph (B) amended by Article 10 of the Natural Gas Market Law No. 4646, as amended by Article 19 of the Natural Gas Market Law, and Articles 13 of the Natural Gas Market License Regulation and 13 of the Natural Gas Market Certificate Regulation, the following has been decided;</w:t>
      </w:r>
    </w:p>
    <w:p w14:paraId="24557AF5" w14:textId="77777777" w:rsidR="004C0A79" w:rsidRPr="00731F8E" w:rsidRDefault="004C0A79" w:rsidP="00A86526">
      <w:pPr>
        <w:pStyle w:val="P68B1DB1-ListParagraph3"/>
        <w:numPr>
          <w:ilvl w:val="0"/>
          <w:numId w:val="77"/>
        </w:numPr>
        <w:tabs>
          <w:tab w:val="left" w:pos="1968"/>
        </w:tabs>
        <w:spacing w:before="39" w:line="276" w:lineRule="auto"/>
        <w:ind w:right="120"/>
        <w:rPr>
          <w:rFonts w:ascii="Times New Roman" w:hAnsi="Times New Roman" w:cs="Times New Roman"/>
          <w:szCs w:val="22"/>
        </w:rPr>
      </w:pPr>
      <w:r w:rsidRPr="00731F8E">
        <w:rPr>
          <w:rFonts w:ascii="Times New Roman" w:hAnsi="Times New Roman" w:cs="Times New Roman"/>
          <w:szCs w:val="22"/>
        </w:rPr>
        <w:t>The ratio of the participation share of 2022 that licensee legal entities operating in the Natural Gas Market are obliged to pay in 2023 is 0.05% (five per ten thousand) of the net sales revenue amount in the income statements to be prepared for the 2022 operating period,</w:t>
      </w:r>
    </w:p>
    <w:p w14:paraId="7E5ADF51" w14:textId="77777777" w:rsidR="004C0A79" w:rsidRPr="00731F8E" w:rsidRDefault="004C0A79" w:rsidP="00A86526">
      <w:pPr>
        <w:pStyle w:val="P68B1DB1-ListParagraph3"/>
        <w:numPr>
          <w:ilvl w:val="0"/>
          <w:numId w:val="77"/>
        </w:numPr>
        <w:tabs>
          <w:tab w:val="left" w:pos="1968"/>
        </w:tabs>
        <w:spacing w:before="248" w:line="276" w:lineRule="auto"/>
        <w:ind w:right="122"/>
        <w:rPr>
          <w:rFonts w:ascii="Times New Roman" w:hAnsi="Times New Roman" w:cs="Times New Roman"/>
          <w:szCs w:val="22"/>
        </w:rPr>
      </w:pPr>
      <w:r w:rsidRPr="00731F8E">
        <w:rPr>
          <w:rFonts w:ascii="Times New Roman" w:hAnsi="Times New Roman" w:cs="Times New Roman"/>
          <w:szCs w:val="22"/>
        </w:rPr>
        <w:t>The rate of participation share that the legal entities with certificates operating in the Natural Gas Market are obliged to pay in 2023 is 0 (zero) for 2022 activities.</w:t>
      </w:r>
    </w:p>
    <w:p w14:paraId="7F363037" w14:textId="77777777" w:rsidR="004C0A79" w:rsidRPr="00731F8E" w:rsidRDefault="004C0A79" w:rsidP="00A86526">
      <w:pPr>
        <w:pStyle w:val="P68B1DB1-ListParagraph3"/>
        <w:numPr>
          <w:ilvl w:val="0"/>
          <w:numId w:val="77"/>
        </w:numPr>
        <w:tabs>
          <w:tab w:val="left" w:pos="1966"/>
          <w:tab w:val="left" w:pos="1968"/>
        </w:tabs>
        <w:spacing w:line="276" w:lineRule="auto"/>
        <w:ind w:right="121"/>
        <w:rPr>
          <w:rFonts w:ascii="Times New Roman" w:hAnsi="Times New Roman" w:cs="Times New Roman"/>
          <w:szCs w:val="22"/>
        </w:rPr>
      </w:pPr>
      <w:r w:rsidRPr="00731F8E">
        <w:rPr>
          <w:rFonts w:ascii="Times New Roman" w:hAnsi="Times New Roman" w:cs="Times New Roman"/>
          <w:szCs w:val="22"/>
        </w:rPr>
        <w:t>(Additional clause : OG-30/12/2022-32059) The participation fee amount to be collected by the Institution from the participation fee taxpayers according to the license type is calculated not to exceed 100,000,000.- (One Hundred Million) TL.</w:t>
      </w:r>
    </w:p>
    <w:p w14:paraId="5CE4AFAE" w14:textId="77777777" w:rsidR="004C0A79" w:rsidRPr="00731F8E" w:rsidRDefault="004C0A79" w:rsidP="004C0A79">
      <w:pPr>
        <w:pStyle w:val="GvdeMetni"/>
        <w:spacing w:before="41"/>
        <w:rPr>
          <w:rFonts w:cs="Times New Roman"/>
          <w:szCs w:val="22"/>
        </w:rPr>
      </w:pPr>
    </w:p>
    <w:p w14:paraId="4C34903C" w14:textId="77777777" w:rsidR="004C0A79" w:rsidRPr="00731F8E" w:rsidRDefault="004C0A79" w:rsidP="00A86526">
      <w:pPr>
        <w:pStyle w:val="ListeParagraf"/>
        <w:widowControl w:val="0"/>
        <w:numPr>
          <w:ilvl w:val="0"/>
          <w:numId w:val="78"/>
        </w:numPr>
        <w:tabs>
          <w:tab w:val="left" w:pos="838"/>
        </w:tabs>
        <w:autoSpaceDE w:val="0"/>
        <w:autoSpaceDN w:val="0"/>
        <w:spacing w:after="0" w:line="259" w:lineRule="auto"/>
        <w:ind w:right="121" w:hanging="360"/>
        <w:contextualSpacing w:val="0"/>
        <w:rPr>
          <w:rFonts w:ascii="Times New Roman" w:hAnsi="Times New Roman"/>
        </w:rPr>
      </w:pPr>
      <w:r w:rsidRPr="00731F8E">
        <w:rPr>
          <w:rFonts w:ascii="Times New Roman" w:hAnsi="Times New Roman"/>
        </w:rPr>
        <w:t>With the Board Decision dated 27.10.2022 and numbered 11335 published in the Official Gazette dated 30.10.2022 and numbered 31998, it was decided that the Board Decision dated 18.12.2014 and numbered 5362, which was taken to be applied throughout 2015 regarding the limit of being an eligible consumer in the natural gas market and published in the Official Gazette dated 26.12.2014 and numbered 29217, will be fully implemented throughout 2023. The change of the eligible consumer limit in the natural gas market over the years is given in Table 2.3.</w:t>
      </w:r>
    </w:p>
    <w:p w14:paraId="178E2877" w14:textId="77777777" w:rsidR="004C0A79" w:rsidRPr="00731F8E" w:rsidRDefault="004C0A79" w:rsidP="004C0A79">
      <w:pPr>
        <w:pStyle w:val="GvdeMetni"/>
        <w:spacing w:before="38"/>
        <w:rPr>
          <w:rFonts w:cs="Times New Roman"/>
          <w:i/>
          <w:szCs w:val="22"/>
        </w:rPr>
      </w:pPr>
    </w:p>
    <w:p w14:paraId="43B30877" w14:textId="77777777" w:rsidR="004C0A79" w:rsidRPr="00731F8E" w:rsidRDefault="004C0A79" w:rsidP="004C0A79">
      <w:pPr>
        <w:pStyle w:val="Balk1"/>
        <w:spacing w:after="42"/>
        <w:ind w:left="735"/>
        <w:rPr>
          <w:rFonts w:ascii="Times New Roman" w:hAnsi="Times New Roman" w:cs="Times New Roman"/>
          <w:szCs w:val="22"/>
        </w:rPr>
      </w:pPr>
      <w:bookmarkStart w:id="47" w:name="Tablo_2.3:_Yıllar_İtibarıyla_Doğal_Gaz_P"/>
      <w:bookmarkEnd w:id="47"/>
      <w:r w:rsidRPr="00731F8E">
        <w:rPr>
          <w:rFonts w:ascii="Times New Roman" w:hAnsi="Times New Roman" w:cs="Times New Roman"/>
          <w:szCs w:val="22"/>
        </w:rPr>
        <w:t>Table 2.3: Change of Eligible Consumer Limit in the Natural Gas Market by Years (2005-2022)</w:t>
      </w:r>
    </w:p>
    <w:tbl>
      <w:tblPr>
        <w:tblStyle w:val="TableNormal"/>
        <w:tblW w:w="0" w:type="auto"/>
        <w:tblInd w:w="62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Layout w:type="fixed"/>
        <w:tblLook w:val="01E0" w:firstRow="1" w:lastRow="1" w:firstColumn="1" w:lastColumn="1" w:noHBand="0" w:noVBand="0"/>
      </w:tblPr>
      <w:tblGrid>
        <w:gridCol w:w="1277"/>
        <w:gridCol w:w="2127"/>
        <w:gridCol w:w="3404"/>
        <w:gridCol w:w="2120"/>
      </w:tblGrid>
      <w:tr w:rsidR="004C0A79" w:rsidRPr="00731F8E" w14:paraId="4D0128EF" w14:textId="77777777" w:rsidTr="004C0A79">
        <w:trPr>
          <w:trHeight w:val="299"/>
        </w:trPr>
        <w:tc>
          <w:tcPr>
            <w:tcW w:w="1277" w:type="dxa"/>
            <w:vMerge w:val="restart"/>
            <w:shd w:val="clear" w:color="auto" w:fill="6E9ECA"/>
          </w:tcPr>
          <w:p w14:paraId="46588FA7" w14:textId="77777777" w:rsidR="004C0A79" w:rsidRPr="00731F8E" w:rsidRDefault="004C0A79" w:rsidP="004C0A79">
            <w:pPr>
              <w:pStyle w:val="TableParagraph"/>
              <w:spacing w:before="66"/>
              <w:rPr>
                <w:rFonts w:ascii="Times New Roman" w:hAnsi="Times New Roman" w:cs="Times New Roman"/>
                <w:b/>
                <w:szCs w:val="22"/>
              </w:rPr>
            </w:pPr>
          </w:p>
          <w:p w14:paraId="4E8BCC03" w14:textId="77777777" w:rsidR="004C0A79" w:rsidRPr="00731F8E" w:rsidRDefault="004C0A79" w:rsidP="004C0A79">
            <w:pPr>
              <w:pStyle w:val="P68B1DB1-TableParagraph1"/>
              <w:ind w:left="527" w:hanging="377"/>
              <w:jc w:val="left"/>
              <w:rPr>
                <w:rFonts w:ascii="Times New Roman" w:hAnsi="Times New Roman" w:cs="Times New Roman"/>
                <w:sz w:val="22"/>
                <w:szCs w:val="22"/>
              </w:rPr>
            </w:pPr>
            <w:r w:rsidRPr="00731F8E">
              <w:rPr>
                <w:rFonts w:ascii="Times New Roman" w:hAnsi="Times New Roman" w:cs="Times New Roman"/>
                <w:sz w:val="22"/>
                <w:szCs w:val="22"/>
              </w:rPr>
              <w:t>The Year Applied</w:t>
            </w:r>
          </w:p>
        </w:tc>
        <w:tc>
          <w:tcPr>
            <w:tcW w:w="2127" w:type="dxa"/>
            <w:vMerge w:val="restart"/>
            <w:shd w:val="clear" w:color="auto" w:fill="6E9ECA"/>
          </w:tcPr>
          <w:p w14:paraId="641E80D4" w14:textId="77777777" w:rsidR="004C0A79" w:rsidRPr="00731F8E" w:rsidRDefault="004C0A79" w:rsidP="004C0A79">
            <w:pPr>
              <w:pStyle w:val="TableParagraph"/>
              <w:spacing w:before="200"/>
              <w:rPr>
                <w:rFonts w:ascii="Times New Roman" w:hAnsi="Times New Roman" w:cs="Times New Roman"/>
                <w:b/>
                <w:szCs w:val="22"/>
              </w:rPr>
            </w:pPr>
          </w:p>
          <w:p w14:paraId="01413AE2" w14:textId="77777777" w:rsidR="004C0A79" w:rsidRPr="00731F8E" w:rsidRDefault="004C0A79" w:rsidP="004C0A79">
            <w:pPr>
              <w:pStyle w:val="P68B1DB1-TableParagraph1"/>
              <w:spacing w:before="1"/>
              <w:ind w:left="263"/>
              <w:jc w:val="left"/>
              <w:rPr>
                <w:rFonts w:ascii="Times New Roman" w:hAnsi="Times New Roman" w:cs="Times New Roman"/>
                <w:sz w:val="22"/>
                <w:szCs w:val="22"/>
              </w:rPr>
            </w:pPr>
            <w:r w:rsidRPr="00731F8E">
              <w:rPr>
                <w:rFonts w:ascii="Times New Roman" w:hAnsi="Times New Roman" w:cs="Times New Roman"/>
                <w:sz w:val="22"/>
                <w:szCs w:val="22"/>
              </w:rPr>
              <w:t>Board Decision Number</w:t>
            </w:r>
          </w:p>
        </w:tc>
        <w:tc>
          <w:tcPr>
            <w:tcW w:w="5524" w:type="dxa"/>
            <w:gridSpan w:val="2"/>
            <w:shd w:val="clear" w:color="auto" w:fill="6E9ECA"/>
          </w:tcPr>
          <w:p w14:paraId="3E7C98DD" w14:textId="77777777" w:rsidR="004C0A79" w:rsidRPr="00731F8E" w:rsidRDefault="004C0A79" w:rsidP="004C0A79">
            <w:pPr>
              <w:pStyle w:val="P68B1DB1-TableParagraph1"/>
              <w:spacing w:before="30" w:line="249" w:lineRule="exact"/>
              <w:ind w:left="1532"/>
              <w:jc w:val="left"/>
              <w:rPr>
                <w:rFonts w:ascii="Times New Roman" w:hAnsi="Times New Roman" w:cs="Times New Roman"/>
                <w:sz w:val="22"/>
                <w:szCs w:val="22"/>
              </w:rPr>
            </w:pPr>
            <w:r w:rsidRPr="00731F8E">
              <w:rPr>
                <w:rFonts w:ascii="Times New Roman" w:hAnsi="Times New Roman" w:cs="Times New Roman"/>
                <w:sz w:val="22"/>
                <w:szCs w:val="22"/>
              </w:rPr>
              <w:t>Eligible Consumer Limit (</w:t>
            </w:r>
            <w:r w:rsidRPr="00731F8E">
              <w:rPr>
                <w:rFonts w:ascii="Times New Roman" w:hAnsi="Times New Roman" w:cs="Times New Roman"/>
                <w:sz w:val="22"/>
                <w:szCs w:val="22"/>
                <w:vertAlign w:val="superscript"/>
              </w:rPr>
              <w:t>m3</w:t>
            </w:r>
            <w:r w:rsidRPr="00731F8E">
              <w:rPr>
                <w:rFonts w:ascii="Times New Roman" w:hAnsi="Times New Roman" w:cs="Times New Roman"/>
                <w:sz w:val="22"/>
                <w:szCs w:val="22"/>
              </w:rPr>
              <w:t>)</w:t>
            </w:r>
          </w:p>
        </w:tc>
      </w:tr>
      <w:tr w:rsidR="004C0A79" w:rsidRPr="00731F8E" w14:paraId="2C54A312" w14:textId="77777777" w:rsidTr="004C0A79">
        <w:trPr>
          <w:trHeight w:val="899"/>
        </w:trPr>
        <w:tc>
          <w:tcPr>
            <w:tcW w:w="1277" w:type="dxa"/>
            <w:vMerge/>
            <w:tcBorders>
              <w:top w:val="nil"/>
            </w:tcBorders>
            <w:shd w:val="clear" w:color="auto" w:fill="6E9ECA"/>
          </w:tcPr>
          <w:p w14:paraId="408C252D" w14:textId="77777777" w:rsidR="004C0A79" w:rsidRPr="00731F8E" w:rsidRDefault="004C0A79" w:rsidP="004C0A79">
            <w:pPr>
              <w:rPr>
                <w:rFonts w:ascii="Times New Roman" w:hAnsi="Times New Roman"/>
                <w:szCs w:val="22"/>
              </w:rPr>
            </w:pPr>
          </w:p>
        </w:tc>
        <w:tc>
          <w:tcPr>
            <w:tcW w:w="2127" w:type="dxa"/>
            <w:vMerge/>
            <w:tcBorders>
              <w:top w:val="nil"/>
            </w:tcBorders>
            <w:shd w:val="clear" w:color="auto" w:fill="6E9ECA"/>
          </w:tcPr>
          <w:p w14:paraId="5B7B0CB5" w14:textId="77777777" w:rsidR="004C0A79" w:rsidRPr="00731F8E" w:rsidRDefault="004C0A79" w:rsidP="004C0A79">
            <w:pPr>
              <w:rPr>
                <w:rFonts w:ascii="Times New Roman" w:hAnsi="Times New Roman"/>
                <w:szCs w:val="22"/>
              </w:rPr>
            </w:pPr>
          </w:p>
        </w:tc>
        <w:tc>
          <w:tcPr>
            <w:tcW w:w="3404" w:type="dxa"/>
            <w:shd w:val="clear" w:color="auto" w:fill="6E9ECA"/>
          </w:tcPr>
          <w:p w14:paraId="1AA36209" w14:textId="77777777" w:rsidR="004C0A79" w:rsidRPr="00731F8E" w:rsidRDefault="004C0A79" w:rsidP="004C0A79">
            <w:pPr>
              <w:pStyle w:val="P68B1DB1-TableParagraph1"/>
              <w:spacing w:before="47"/>
              <w:ind w:left="8"/>
              <w:rPr>
                <w:rFonts w:ascii="Times New Roman" w:hAnsi="Times New Roman" w:cs="Times New Roman"/>
                <w:sz w:val="22"/>
                <w:szCs w:val="22"/>
              </w:rPr>
            </w:pPr>
            <w:r w:rsidRPr="00731F8E">
              <w:rPr>
                <w:rFonts w:ascii="Times New Roman" w:hAnsi="Times New Roman" w:cs="Times New Roman"/>
                <w:sz w:val="22"/>
                <w:szCs w:val="22"/>
              </w:rPr>
              <w:t>Existing Companies and Tendered Companies Expiring 5 Years from the License Effective Date</w:t>
            </w:r>
          </w:p>
        </w:tc>
        <w:tc>
          <w:tcPr>
            <w:tcW w:w="2120" w:type="dxa"/>
            <w:shd w:val="clear" w:color="auto" w:fill="6E9ECA"/>
          </w:tcPr>
          <w:p w14:paraId="08F4A46D" w14:textId="77777777" w:rsidR="004C0A79" w:rsidRPr="00731F8E" w:rsidRDefault="004C0A79" w:rsidP="004C0A79">
            <w:pPr>
              <w:pStyle w:val="P68B1DB1-TableParagraph1"/>
              <w:spacing w:before="181"/>
              <w:ind w:left="406" w:hanging="238"/>
              <w:jc w:val="left"/>
              <w:rPr>
                <w:rFonts w:ascii="Times New Roman" w:hAnsi="Times New Roman" w:cs="Times New Roman"/>
                <w:sz w:val="22"/>
                <w:szCs w:val="22"/>
              </w:rPr>
            </w:pPr>
            <w:r w:rsidRPr="00731F8E">
              <w:rPr>
                <w:rFonts w:ascii="Times New Roman" w:hAnsi="Times New Roman" w:cs="Times New Roman"/>
                <w:sz w:val="22"/>
                <w:szCs w:val="22"/>
              </w:rPr>
              <w:t>Other Companies Licensed by Tender</w:t>
            </w:r>
          </w:p>
        </w:tc>
      </w:tr>
      <w:tr w:rsidR="004C0A79" w:rsidRPr="00731F8E" w14:paraId="40EA3C1C" w14:textId="77777777" w:rsidTr="004C0A79">
        <w:trPr>
          <w:trHeight w:val="316"/>
        </w:trPr>
        <w:tc>
          <w:tcPr>
            <w:tcW w:w="1277" w:type="dxa"/>
          </w:tcPr>
          <w:p w14:paraId="4600A93A"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2005</w:t>
            </w:r>
          </w:p>
        </w:tc>
        <w:tc>
          <w:tcPr>
            <w:tcW w:w="2127" w:type="dxa"/>
          </w:tcPr>
          <w:p w14:paraId="2268FF0C" w14:textId="77777777" w:rsidR="004C0A79" w:rsidRPr="00731F8E" w:rsidRDefault="004C0A79" w:rsidP="004C0A79">
            <w:pPr>
              <w:pStyle w:val="TableParagraph"/>
              <w:spacing w:before="23"/>
              <w:ind w:left="11" w:right="5"/>
              <w:rPr>
                <w:rFonts w:ascii="Times New Roman" w:hAnsi="Times New Roman" w:cs="Times New Roman"/>
                <w:szCs w:val="22"/>
              </w:rPr>
            </w:pPr>
            <w:r w:rsidRPr="00731F8E">
              <w:rPr>
                <w:rFonts w:ascii="Times New Roman" w:hAnsi="Times New Roman" w:cs="Times New Roman"/>
                <w:szCs w:val="22"/>
              </w:rPr>
              <w:t>408</w:t>
            </w:r>
          </w:p>
        </w:tc>
        <w:tc>
          <w:tcPr>
            <w:tcW w:w="3404" w:type="dxa"/>
          </w:tcPr>
          <w:p w14:paraId="310D3532" w14:textId="77777777" w:rsidR="004C0A79" w:rsidRPr="00731F8E" w:rsidRDefault="004C0A79" w:rsidP="004C0A79">
            <w:pPr>
              <w:pStyle w:val="TableParagraph"/>
              <w:spacing w:before="47" w:line="249" w:lineRule="exact"/>
              <w:ind w:right="57"/>
              <w:jc w:val="right"/>
              <w:rPr>
                <w:rFonts w:ascii="Times New Roman" w:hAnsi="Times New Roman" w:cs="Times New Roman"/>
                <w:szCs w:val="22"/>
              </w:rPr>
            </w:pPr>
            <w:r w:rsidRPr="00731F8E">
              <w:rPr>
                <w:rFonts w:ascii="Times New Roman" w:hAnsi="Times New Roman" w:cs="Times New Roman"/>
                <w:szCs w:val="22"/>
              </w:rPr>
              <w:t>1.000.000</w:t>
            </w:r>
          </w:p>
        </w:tc>
        <w:tc>
          <w:tcPr>
            <w:tcW w:w="2120" w:type="dxa"/>
          </w:tcPr>
          <w:p w14:paraId="62BE7DBA" w14:textId="77777777" w:rsidR="004C0A79" w:rsidRPr="00731F8E" w:rsidRDefault="004C0A79" w:rsidP="004C0A79">
            <w:pPr>
              <w:pStyle w:val="TableParagraph"/>
              <w:spacing w:before="47"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74C4911E" w14:textId="77777777" w:rsidTr="004C0A79">
        <w:trPr>
          <w:trHeight w:val="314"/>
        </w:trPr>
        <w:tc>
          <w:tcPr>
            <w:tcW w:w="1277" w:type="dxa"/>
          </w:tcPr>
          <w:p w14:paraId="7510DB74"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2006</w:t>
            </w:r>
          </w:p>
        </w:tc>
        <w:tc>
          <w:tcPr>
            <w:tcW w:w="2127" w:type="dxa"/>
          </w:tcPr>
          <w:p w14:paraId="22BFF6D1" w14:textId="77777777" w:rsidR="004C0A79" w:rsidRPr="00731F8E" w:rsidRDefault="004C0A79" w:rsidP="004C0A79">
            <w:pPr>
              <w:pStyle w:val="TableParagraph"/>
              <w:spacing w:before="23"/>
              <w:ind w:left="11" w:right="5"/>
              <w:rPr>
                <w:rFonts w:ascii="Times New Roman" w:hAnsi="Times New Roman" w:cs="Times New Roman"/>
                <w:szCs w:val="22"/>
              </w:rPr>
            </w:pPr>
            <w:r w:rsidRPr="00731F8E">
              <w:rPr>
                <w:rFonts w:ascii="Times New Roman" w:hAnsi="Times New Roman" w:cs="Times New Roman"/>
                <w:szCs w:val="22"/>
              </w:rPr>
              <w:t>629</w:t>
            </w:r>
          </w:p>
        </w:tc>
        <w:tc>
          <w:tcPr>
            <w:tcW w:w="3404" w:type="dxa"/>
          </w:tcPr>
          <w:p w14:paraId="396C6533" w14:textId="77777777" w:rsidR="004C0A79" w:rsidRPr="00731F8E" w:rsidRDefault="004C0A79" w:rsidP="004C0A79">
            <w:pPr>
              <w:pStyle w:val="TableParagraph"/>
              <w:spacing w:before="44" w:line="249" w:lineRule="exact"/>
              <w:ind w:right="57"/>
              <w:jc w:val="right"/>
              <w:rPr>
                <w:rFonts w:ascii="Times New Roman" w:hAnsi="Times New Roman" w:cs="Times New Roman"/>
                <w:szCs w:val="22"/>
              </w:rPr>
            </w:pPr>
            <w:r w:rsidRPr="00731F8E">
              <w:rPr>
                <w:rFonts w:ascii="Times New Roman" w:hAnsi="Times New Roman" w:cs="Times New Roman"/>
                <w:szCs w:val="22"/>
              </w:rPr>
              <w:t>1.000.000</w:t>
            </w:r>
          </w:p>
        </w:tc>
        <w:tc>
          <w:tcPr>
            <w:tcW w:w="2120" w:type="dxa"/>
          </w:tcPr>
          <w:p w14:paraId="0E7334FD" w14:textId="77777777" w:rsidR="004C0A79" w:rsidRPr="00731F8E" w:rsidRDefault="004C0A79" w:rsidP="004C0A79">
            <w:pPr>
              <w:pStyle w:val="TableParagraph"/>
              <w:spacing w:before="44"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3E795403" w14:textId="77777777" w:rsidTr="004C0A79">
        <w:trPr>
          <w:trHeight w:val="316"/>
        </w:trPr>
        <w:tc>
          <w:tcPr>
            <w:tcW w:w="1277" w:type="dxa"/>
          </w:tcPr>
          <w:p w14:paraId="3400297B"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2007</w:t>
            </w:r>
          </w:p>
        </w:tc>
        <w:tc>
          <w:tcPr>
            <w:tcW w:w="2127" w:type="dxa"/>
          </w:tcPr>
          <w:p w14:paraId="054417A6"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1032</w:t>
            </w:r>
          </w:p>
        </w:tc>
        <w:tc>
          <w:tcPr>
            <w:tcW w:w="3404" w:type="dxa"/>
          </w:tcPr>
          <w:p w14:paraId="204BE51E" w14:textId="77777777" w:rsidR="004C0A79" w:rsidRPr="00731F8E" w:rsidRDefault="004C0A79" w:rsidP="004C0A79">
            <w:pPr>
              <w:pStyle w:val="TableParagraph"/>
              <w:spacing w:before="47" w:line="249" w:lineRule="exact"/>
              <w:ind w:right="57"/>
              <w:jc w:val="right"/>
              <w:rPr>
                <w:rFonts w:ascii="Times New Roman" w:hAnsi="Times New Roman" w:cs="Times New Roman"/>
                <w:szCs w:val="22"/>
              </w:rPr>
            </w:pPr>
            <w:r w:rsidRPr="00731F8E">
              <w:rPr>
                <w:rFonts w:ascii="Times New Roman" w:hAnsi="Times New Roman" w:cs="Times New Roman"/>
                <w:szCs w:val="22"/>
              </w:rPr>
              <w:t>1.000.000</w:t>
            </w:r>
          </w:p>
        </w:tc>
        <w:tc>
          <w:tcPr>
            <w:tcW w:w="2120" w:type="dxa"/>
          </w:tcPr>
          <w:p w14:paraId="1AA17104" w14:textId="77777777" w:rsidR="004C0A79" w:rsidRPr="00731F8E" w:rsidRDefault="004C0A79" w:rsidP="004C0A79">
            <w:pPr>
              <w:pStyle w:val="TableParagraph"/>
              <w:spacing w:before="47"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07F458BC" w14:textId="77777777" w:rsidTr="004C0A79">
        <w:trPr>
          <w:trHeight w:val="313"/>
        </w:trPr>
        <w:tc>
          <w:tcPr>
            <w:tcW w:w="1277" w:type="dxa"/>
          </w:tcPr>
          <w:p w14:paraId="4F98BB59" w14:textId="77777777" w:rsidR="004C0A79" w:rsidRPr="00731F8E" w:rsidRDefault="004C0A79" w:rsidP="004C0A79">
            <w:pPr>
              <w:pStyle w:val="TableParagraph"/>
              <w:spacing w:before="20"/>
              <w:ind w:left="11"/>
              <w:rPr>
                <w:rFonts w:ascii="Times New Roman" w:hAnsi="Times New Roman" w:cs="Times New Roman"/>
                <w:szCs w:val="22"/>
              </w:rPr>
            </w:pPr>
            <w:r w:rsidRPr="00731F8E">
              <w:rPr>
                <w:rFonts w:ascii="Times New Roman" w:hAnsi="Times New Roman" w:cs="Times New Roman"/>
                <w:szCs w:val="22"/>
              </w:rPr>
              <w:t>2008</w:t>
            </w:r>
          </w:p>
        </w:tc>
        <w:tc>
          <w:tcPr>
            <w:tcW w:w="2127" w:type="dxa"/>
          </w:tcPr>
          <w:p w14:paraId="31583161" w14:textId="77777777" w:rsidR="004C0A79" w:rsidRPr="00731F8E" w:rsidRDefault="004C0A79" w:rsidP="004C0A79">
            <w:pPr>
              <w:pStyle w:val="TableParagraph"/>
              <w:spacing w:before="20"/>
              <w:ind w:left="11" w:right="1"/>
              <w:rPr>
                <w:rFonts w:ascii="Times New Roman" w:hAnsi="Times New Roman" w:cs="Times New Roman"/>
                <w:szCs w:val="22"/>
              </w:rPr>
            </w:pPr>
            <w:r w:rsidRPr="00731F8E">
              <w:rPr>
                <w:rFonts w:ascii="Times New Roman" w:hAnsi="Times New Roman" w:cs="Times New Roman"/>
                <w:szCs w:val="22"/>
              </w:rPr>
              <w:t>1438 and 1808/1</w:t>
            </w:r>
          </w:p>
        </w:tc>
        <w:tc>
          <w:tcPr>
            <w:tcW w:w="3404" w:type="dxa"/>
          </w:tcPr>
          <w:p w14:paraId="1F6B2D3B" w14:textId="77777777" w:rsidR="004C0A79" w:rsidRPr="00731F8E" w:rsidRDefault="004C0A79" w:rsidP="004C0A79">
            <w:pPr>
              <w:pStyle w:val="TableParagraph"/>
              <w:spacing w:before="44" w:line="249" w:lineRule="exact"/>
              <w:ind w:right="57"/>
              <w:jc w:val="right"/>
              <w:rPr>
                <w:rFonts w:ascii="Times New Roman" w:hAnsi="Times New Roman" w:cs="Times New Roman"/>
                <w:szCs w:val="22"/>
              </w:rPr>
            </w:pPr>
            <w:r w:rsidRPr="00731F8E">
              <w:rPr>
                <w:rFonts w:ascii="Times New Roman" w:hAnsi="Times New Roman" w:cs="Times New Roman"/>
                <w:szCs w:val="22"/>
              </w:rPr>
              <w:t>1.000.000</w:t>
            </w:r>
          </w:p>
        </w:tc>
        <w:tc>
          <w:tcPr>
            <w:tcW w:w="2120" w:type="dxa"/>
          </w:tcPr>
          <w:p w14:paraId="6DB305D9" w14:textId="77777777" w:rsidR="004C0A79" w:rsidRPr="00731F8E" w:rsidRDefault="004C0A79" w:rsidP="004C0A79">
            <w:pPr>
              <w:pStyle w:val="TableParagraph"/>
              <w:spacing w:before="44"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21DE7757" w14:textId="77777777" w:rsidTr="004C0A79">
        <w:trPr>
          <w:trHeight w:val="316"/>
        </w:trPr>
        <w:tc>
          <w:tcPr>
            <w:tcW w:w="1277" w:type="dxa"/>
          </w:tcPr>
          <w:p w14:paraId="43FCE45C"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2009</w:t>
            </w:r>
          </w:p>
        </w:tc>
        <w:tc>
          <w:tcPr>
            <w:tcW w:w="2127" w:type="dxa"/>
          </w:tcPr>
          <w:p w14:paraId="57D182E0" w14:textId="77777777" w:rsidR="004C0A79" w:rsidRPr="00731F8E" w:rsidRDefault="004C0A79" w:rsidP="004C0A79">
            <w:pPr>
              <w:pStyle w:val="TableParagraph"/>
              <w:spacing w:before="23"/>
              <w:ind w:left="11" w:right="1"/>
              <w:rPr>
                <w:rFonts w:ascii="Times New Roman" w:hAnsi="Times New Roman" w:cs="Times New Roman"/>
                <w:szCs w:val="22"/>
              </w:rPr>
            </w:pPr>
            <w:r w:rsidRPr="00731F8E">
              <w:rPr>
                <w:rFonts w:ascii="Times New Roman" w:hAnsi="Times New Roman" w:cs="Times New Roman"/>
                <w:szCs w:val="22"/>
              </w:rPr>
              <w:t>1896/1</w:t>
            </w:r>
          </w:p>
        </w:tc>
        <w:tc>
          <w:tcPr>
            <w:tcW w:w="3404" w:type="dxa"/>
          </w:tcPr>
          <w:p w14:paraId="1B96A2F8" w14:textId="77777777" w:rsidR="004C0A79" w:rsidRPr="00731F8E" w:rsidRDefault="004C0A79" w:rsidP="004C0A79">
            <w:pPr>
              <w:pStyle w:val="TableParagraph"/>
              <w:spacing w:before="47" w:line="249" w:lineRule="exact"/>
              <w:ind w:right="57"/>
              <w:jc w:val="right"/>
              <w:rPr>
                <w:rFonts w:ascii="Times New Roman" w:hAnsi="Times New Roman" w:cs="Times New Roman"/>
                <w:szCs w:val="22"/>
              </w:rPr>
            </w:pPr>
            <w:r w:rsidRPr="00731F8E">
              <w:rPr>
                <w:rFonts w:ascii="Times New Roman" w:hAnsi="Times New Roman" w:cs="Times New Roman"/>
                <w:szCs w:val="22"/>
              </w:rPr>
              <w:t>1.000.000</w:t>
            </w:r>
          </w:p>
        </w:tc>
        <w:tc>
          <w:tcPr>
            <w:tcW w:w="2120" w:type="dxa"/>
          </w:tcPr>
          <w:p w14:paraId="7CF6C487" w14:textId="77777777" w:rsidR="004C0A79" w:rsidRPr="00731F8E" w:rsidRDefault="004C0A79" w:rsidP="004C0A79">
            <w:pPr>
              <w:pStyle w:val="TableParagraph"/>
              <w:spacing w:before="47"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1C1F1B61" w14:textId="77777777" w:rsidTr="004C0A79">
        <w:trPr>
          <w:trHeight w:val="314"/>
        </w:trPr>
        <w:tc>
          <w:tcPr>
            <w:tcW w:w="1277" w:type="dxa"/>
          </w:tcPr>
          <w:p w14:paraId="6E9507AA" w14:textId="77777777" w:rsidR="004C0A79" w:rsidRPr="00731F8E" w:rsidRDefault="004C0A79" w:rsidP="004C0A79">
            <w:pPr>
              <w:pStyle w:val="TableParagraph"/>
              <w:spacing w:before="20"/>
              <w:ind w:left="11"/>
              <w:rPr>
                <w:rFonts w:ascii="Times New Roman" w:hAnsi="Times New Roman" w:cs="Times New Roman"/>
                <w:szCs w:val="22"/>
              </w:rPr>
            </w:pPr>
            <w:r w:rsidRPr="00731F8E">
              <w:rPr>
                <w:rFonts w:ascii="Times New Roman" w:hAnsi="Times New Roman" w:cs="Times New Roman"/>
                <w:szCs w:val="22"/>
              </w:rPr>
              <w:t>2010</w:t>
            </w:r>
          </w:p>
        </w:tc>
        <w:tc>
          <w:tcPr>
            <w:tcW w:w="2127" w:type="dxa"/>
          </w:tcPr>
          <w:p w14:paraId="6653F466" w14:textId="77777777" w:rsidR="004C0A79" w:rsidRPr="00731F8E" w:rsidRDefault="004C0A79" w:rsidP="004C0A79">
            <w:pPr>
              <w:pStyle w:val="TableParagraph"/>
              <w:spacing w:before="20"/>
              <w:ind w:left="11"/>
              <w:rPr>
                <w:rFonts w:ascii="Times New Roman" w:hAnsi="Times New Roman" w:cs="Times New Roman"/>
                <w:szCs w:val="22"/>
              </w:rPr>
            </w:pPr>
            <w:r w:rsidRPr="00731F8E">
              <w:rPr>
                <w:rFonts w:ascii="Times New Roman" w:hAnsi="Times New Roman" w:cs="Times New Roman"/>
                <w:szCs w:val="22"/>
              </w:rPr>
              <w:t>2378</w:t>
            </w:r>
          </w:p>
        </w:tc>
        <w:tc>
          <w:tcPr>
            <w:tcW w:w="3404" w:type="dxa"/>
          </w:tcPr>
          <w:p w14:paraId="3DD3DFC5" w14:textId="77777777" w:rsidR="004C0A79" w:rsidRPr="00731F8E" w:rsidRDefault="004C0A79" w:rsidP="004C0A79">
            <w:pPr>
              <w:pStyle w:val="TableParagraph"/>
              <w:spacing w:before="44" w:line="249" w:lineRule="exact"/>
              <w:ind w:right="59"/>
              <w:jc w:val="right"/>
              <w:rPr>
                <w:rFonts w:ascii="Times New Roman" w:hAnsi="Times New Roman" w:cs="Times New Roman"/>
                <w:szCs w:val="22"/>
              </w:rPr>
            </w:pPr>
            <w:r w:rsidRPr="00731F8E">
              <w:rPr>
                <w:rFonts w:ascii="Times New Roman" w:hAnsi="Times New Roman" w:cs="Times New Roman"/>
                <w:szCs w:val="22"/>
              </w:rPr>
              <w:t>800.000</w:t>
            </w:r>
          </w:p>
        </w:tc>
        <w:tc>
          <w:tcPr>
            <w:tcW w:w="2120" w:type="dxa"/>
          </w:tcPr>
          <w:p w14:paraId="043C65EE" w14:textId="77777777" w:rsidR="004C0A79" w:rsidRPr="00731F8E" w:rsidRDefault="004C0A79" w:rsidP="004C0A79">
            <w:pPr>
              <w:pStyle w:val="TableParagraph"/>
              <w:spacing w:before="44"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2CCAD58E" w14:textId="77777777" w:rsidTr="004C0A79">
        <w:trPr>
          <w:trHeight w:val="313"/>
        </w:trPr>
        <w:tc>
          <w:tcPr>
            <w:tcW w:w="1277" w:type="dxa"/>
          </w:tcPr>
          <w:p w14:paraId="706A0963"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2011</w:t>
            </w:r>
          </w:p>
        </w:tc>
        <w:tc>
          <w:tcPr>
            <w:tcW w:w="2127" w:type="dxa"/>
          </w:tcPr>
          <w:p w14:paraId="2EF7212A"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2966</w:t>
            </w:r>
          </w:p>
        </w:tc>
        <w:tc>
          <w:tcPr>
            <w:tcW w:w="3404" w:type="dxa"/>
          </w:tcPr>
          <w:p w14:paraId="59C00805" w14:textId="77777777" w:rsidR="004C0A79" w:rsidRPr="00731F8E" w:rsidRDefault="004C0A79" w:rsidP="004C0A79">
            <w:pPr>
              <w:pStyle w:val="TableParagraph"/>
              <w:spacing w:before="44" w:line="249" w:lineRule="exact"/>
              <w:ind w:right="59"/>
              <w:jc w:val="right"/>
              <w:rPr>
                <w:rFonts w:ascii="Times New Roman" w:hAnsi="Times New Roman" w:cs="Times New Roman"/>
                <w:szCs w:val="22"/>
              </w:rPr>
            </w:pPr>
            <w:r w:rsidRPr="00731F8E">
              <w:rPr>
                <w:rFonts w:ascii="Times New Roman" w:hAnsi="Times New Roman" w:cs="Times New Roman"/>
                <w:szCs w:val="22"/>
              </w:rPr>
              <w:t>700.000</w:t>
            </w:r>
          </w:p>
        </w:tc>
        <w:tc>
          <w:tcPr>
            <w:tcW w:w="2120" w:type="dxa"/>
          </w:tcPr>
          <w:p w14:paraId="370097C3" w14:textId="77777777" w:rsidR="004C0A79" w:rsidRPr="00731F8E" w:rsidRDefault="004C0A79" w:rsidP="004C0A79">
            <w:pPr>
              <w:pStyle w:val="TableParagraph"/>
              <w:spacing w:before="44"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73B0091B" w14:textId="77777777" w:rsidTr="004C0A79">
        <w:trPr>
          <w:trHeight w:val="316"/>
        </w:trPr>
        <w:tc>
          <w:tcPr>
            <w:tcW w:w="1277" w:type="dxa"/>
          </w:tcPr>
          <w:p w14:paraId="7C6F6786"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2012</w:t>
            </w:r>
          </w:p>
        </w:tc>
        <w:tc>
          <w:tcPr>
            <w:tcW w:w="2127" w:type="dxa"/>
          </w:tcPr>
          <w:p w14:paraId="58E36FB2" w14:textId="77777777" w:rsidR="004C0A79" w:rsidRPr="00731F8E" w:rsidRDefault="004C0A79" w:rsidP="004C0A79">
            <w:pPr>
              <w:pStyle w:val="TableParagraph"/>
              <w:spacing w:before="23"/>
              <w:ind w:left="11"/>
              <w:rPr>
                <w:rFonts w:ascii="Times New Roman" w:hAnsi="Times New Roman" w:cs="Times New Roman"/>
                <w:szCs w:val="22"/>
              </w:rPr>
            </w:pPr>
            <w:r w:rsidRPr="00731F8E">
              <w:rPr>
                <w:rFonts w:ascii="Times New Roman" w:hAnsi="Times New Roman" w:cs="Times New Roman"/>
                <w:szCs w:val="22"/>
              </w:rPr>
              <w:t>3600</w:t>
            </w:r>
          </w:p>
        </w:tc>
        <w:tc>
          <w:tcPr>
            <w:tcW w:w="3404" w:type="dxa"/>
          </w:tcPr>
          <w:p w14:paraId="2840EEC9" w14:textId="77777777" w:rsidR="004C0A79" w:rsidRPr="00731F8E" w:rsidRDefault="004C0A79" w:rsidP="004C0A79">
            <w:pPr>
              <w:pStyle w:val="TableParagraph"/>
              <w:spacing w:before="47" w:line="249" w:lineRule="exact"/>
              <w:ind w:right="59"/>
              <w:jc w:val="right"/>
              <w:rPr>
                <w:rFonts w:ascii="Times New Roman" w:hAnsi="Times New Roman" w:cs="Times New Roman"/>
                <w:szCs w:val="22"/>
              </w:rPr>
            </w:pPr>
            <w:r w:rsidRPr="00731F8E">
              <w:rPr>
                <w:rFonts w:ascii="Times New Roman" w:hAnsi="Times New Roman" w:cs="Times New Roman"/>
                <w:szCs w:val="22"/>
              </w:rPr>
              <w:t>300.000</w:t>
            </w:r>
          </w:p>
        </w:tc>
        <w:tc>
          <w:tcPr>
            <w:tcW w:w="2120" w:type="dxa"/>
          </w:tcPr>
          <w:p w14:paraId="5E1556CE" w14:textId="77777777" w:rsidR="004C0A79" w:rsidRPr="00731F8E" w:rsidRDefault="004C0A79" w:rsidP="004C0A79">
            <w:pPr>
              <w:pStyle w:val="TableParagraph"/>
              <w:spacing w:before="47" w:line="249" w:lineRule="exact"/>
              <w:ind w:right="58"/>
              <w:jc w:val="right"/>
              <w:rPr>
                <w:rFonts w:ascii="Times New Roman" w:hAnsi="Times New Roman" w:cs="Times New Roman"/>
                <w:szCs w:val="22"/>
              </w:rPr>
            </w:pPr>
            <w:r w:rsidRPr="00731F8E">
              <w:rPr>
                <w:rFonts w:ascii="Times New Roman" w:hAnsi="Times New Roman" w:cs="Times New Roman"/>
                <w:szCs w:val="22"/>
              </w:rPr>
              <w:t>15.000.000</w:t>
            </w:r>
          </w:p>
        </w:tc>
      </w:tr>
      <w:tr w:rsidR="004C0A79" w:rsidRPr="00731F8E" w14:paraId="57A79816" w14:textId="77777777" w:rsidTr="004C0A79">
        <w:trPr>
          <w:trHeight w:val="1077"/>
        </w:trPr>
        <w:tc>
          <w:tcPr>
            <w:tcW w:w="1277" w:type="dxa"/>
          </w:tcPr>
          <w:p w14:paraId="435A3CB5" w14:textId="77777777" w:rsidR="004C0A79" w:rsidRPr="00731F8E" w:rsidRDefault="004C0A79" w:rsidP="004C0A79">
            <w:pPr>
              <w:pStyle w:val="TableParagraph"/>
              <w:spacing w:before="136"/>
              <w:rPr>
                <w:rFonts w:ascii="Times New Roman" w:hAnsi="Times New Roman" w:cs="Times New Roman"/>
                <w:b/>
                <w:szCs w:val="22"/>
              </w:rPr>
            </w:pPr>
          </w:p>
          <w:p w14:paraId="77D7B4CE"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2013</w:t>
            </w:r>
          </w:p>
        </w:tc>
        <w:tc>
          <w:tcPr>
            <w:tcW w:w="2127" w:type="dxa"/>
          </w:tcPr>
          <w:p w14:paraId="294046DC" w14:textId="77777777" w:rsidR="004C0A79" w:rsidRPr="00731F8E" w:rsidRDefault="004C0A79" w:rsidP="004C0A79">
            <w:pPr>
              <w:pStyle w:val="TableParagraph"/>
              <w:spacing w:before="136"/>
              <w:rPr>
                <w:rFonts w:ascii="Times New Roman" w:hAnsi="Times New Roman" w:cs="Times New Roman"/>
                <w:b/>
                <w:szCs w:val="22"/>
              </w:rPr>
            </w:pPr>
          </w:p>
          <w:p w14:paraId="21EB41DC"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4168</w:t>
            </w:r>
          </w:p>
        </w:tc>
        <w:tc>
          <w:tcPr>
            <w:tcW w:w="3404" w:type="dxa"/>
          </w:tcPr>
          <w:p w14:paraId="594A69E4" w14:textId="77777777" w:rsidR="004C0A79" w:rsidRPr="00731F8E" w:rsidRDefault="004C0A79" w:rsidP="004C0A79">
            <w:pPr>
              <w:pStyle w:val="TableParagraph"/>
              <w:spacing w:line="270" w:lineRule="atLeast"/>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300,000m3.*</w:t>
            </w:r>
          </w:p>
        </w:tc>
        <w:tc>
          <w:tcPr>
            <w:tcW w:w="2120" w:type="dxa"/>
          </w:tcPr>
          <w:p w14:paraId="16CD28EC" w14:textId="77777777" w:rsidR="004C0A79" w:rsidRPr="00731F8E" w:rsidRDefault="004C0A79" w:rsidP="004C0A79">
            <w:pPr>
              <w:pStyle w:val="TableParagraph"/>
              <w:spacing w:before="136"/>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bl>
    <w:p w14:paraId="5382603A" w14:textId="77777777" w:rsidR="004C0A79" w:rsidRPr="00731F8E" w:rsidRDefault="004C0A79" w:rsidP="004C0A79">
      <w:pPr>
        <w:rPr>
          <w:rFonts w:ascii="Times New Roman" w:hAnsi="Times New Roman"/>
        </w:rPr>
        <w:sectPr w:rsidR="004C0A79" w:rsidRPr="00731F8E">
          <w:pgSz w:w="11910" w:h="16840"/>
          <w:pgMar w:top="1360" w:right="440" w:bottom="1956" w:left="1300" w:header="720" w:footer="720" w:gutter="0"/>
          <w:cols w:space="720"/>
        </w:sectPr>
      </w:pPr>
    </w:p>
    <w:tbl>
      <w:tblPr>
        <w:tblStyle w:val="TableNormal"/>
        <w:tblW w:w="0" w:type="auto"/>
        <w:tblInd w:w="62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Layout w:type="fixed"/>
        <w:tblLook w:val="01E0" w:firstRow="1" w:lastRow="1" w:firstColumn="1" w:lastColumn="1" w:noHBand="0" w:noVBand="0"/>
      </w:tblPr>
      <w:tblGrid>
        <w:gridCol w:w="1277"/>
        <w:gridCol w:w="2127"/>
        <w:gridCol w:w="3404"/>
        <w:gridCol w:w="2120"/>
      </w:tblGrid>
      <w:tr w:rsidR="004C0A79" w:rsidRPr="00731F8E" w14:paraId="1E0C46FE" w14:textId="77777777" w:rsidTr="004C0A79">
        <w:trPr>
          <w:trHeight w:val="299"/>
        </w:trPr>
        <w:tc>
          <w:tcPr>
            <w:tcW w:w="1277" w:type="dxa"/>
            <w:vMerge w:val="restart"/>
            <w:shd w:val="clear" w:color="auto" w:fill="6E9ECA"/>
          </w:tcPr>
          <w:p w14:paraId="4BB281E9" w14:textId="77777777" w:rsidR="004C0A79" w:rsidRPr="00731F8E" w:rsidRDefault="004C0A79" w:rsidP="004C0A79">
            <w:pPr>
              <w:pStyle w:val="TableParagraph"/>
              <w:spacing w:before="66"/>
              <w:rPr>
                <w:rFonts w:ascii="Times New Roman" w:hAnsi="Times New Roman" w:cs="Times New Roman"/>
                <w:b/>
                <w:szCs w:val="22"/>
              </w:rPr>
            </w:pPr>
          </w:p>
          <w:p w14:paraId="1A2EB69E" w14:textId="77777777" w:rsidR="004C0A79" w:rsidRPr="00731F8E" w:rsidRDefault="004C0A79" w:rsidP="004C0A79">
            <w:pPr>
              <w:pStyle w:val="P68B1DB1-TableParagraph1"/>
              <w:ind w:left="527" w:hanging="377"/>
              <w:jc w:val="left"/>
              <w:rPr>
                <w:rFonts w:ascii="Times New Roman" w:hAnsi="Times New Roman" w:cs="Times New Roman"/>
                <w:sz w:val="22"/>
                <w:szCs w:val="22"/>
              </w:rPr>
            </w:pPr>
            <w:r w:rsidRPr="00731F8E">
              <w:rPr>
                <w:rFonts w:ascii="Times New Roman" w:hAnsi="Times New Roman" w:cs="Times New Roman"/>
                <w:sz w:val="22"/>
                <w:szCs w:val="22"/>
              </w:rPr>
              <w:t>The Year Applied</w:t>
            </w:r>
          </w:p>
        </w:tc>
        <w:tc>
          <w:tcPr>
            <w:tcW w:w="2127" w:type="dxa"/>
            <w:vMerge w:val="restart"/>
            <w:shd w:val="clear" w:color="auto" w:fill="6E9ECA"/>
          </w:tcPr>
          <w:p w14:paraId="0D207F41" w14:textId="77777777" w:rsidR="004C0A79" w:rsidRPr="00731F8E" w:rsidRDefault="004C0A79" w:rsidP="004C0A79">
            <w:pPr>
              <w:pStyle w:val="TableParagraph"/>
              <w:spacing w:before="200"/>
              <w:rPr>
                <w:rFonts w:ascii="Times New Roman" w:hAnsi="Times New Roman" w:cs="Times New Roman"/>
                <w:b/>
                <w:szCs w:val="22"/>
              </w:rPr>
            </w:pPr>
          </w:p>
          <w:p w14:paraId="32BE8867" w14:textId="77777777" w:rsidR="004C0A79" w:rsidRPr="00731F8E" w:rsidRDefault="004C0A79" w:rsidP="004C0A79">
            <w:pPr>
              <w:pStyle w:val="P68B1DB1-TableParagraph1"/>
              <w:spacing w:before="1"/>
              <w:ind w:left="263"/>
              <w:jc w:val="left"/>
              <w:rPr>
                <w:rFonts w:ascii="Times New Roman" w:hAnsi="Times New Roman" w:cs="Times New Roman"/>
                <w:sz w:val="22"/>
                <w:szCs w:val="22"/>
              </w:rPr>
            </w:pPr>
            <w:r w:rsidRPr="00731F8E">
              <w:rPr>
                <w:rFonts w:ascii="Times New Roman" w:hAnsi="Times New Roman" w:cs="Times New Roman"/>
                <w:sz w:val="22"/>
                <w:szCs w:val="22"/>
              </w:rPr>
              <w:t>Board Decision Number</w:t>
            </w:r>
          </w:p>
        </w:tc>
        <w:tc>
          <w:tcPr>
            <w:tcW w:w="5524" w:type="dxa"/>
            <w:gridSpan w:val="2"/>
            <w:shd w:val="clear" w:color="auto" w:fill="6E9ECA"/>
          </w:tcPr>
          <w:p w14:paraId="52839C34" w14:textId="77777777" w:rsidR="004C0A79" w:rsidRPr="00731F8E" w:rsidRDefault="004C0A79" w:rsidP="004C0A79">
            <w:pPr>
              <w:pStyle w:val="P68B1DB1-TableParagraph1"/>
              <w:spacing w:before="30" w:line="249" w:lineRule="exact"/>
              <w:ind w:left="1532"/>
              <w:jc w:val="left"/>
              <w:rPr>
                <w:rFonts w:ascii="Times New Roman" w:hAnsi="Times New Roman" w:cs="Times New Roman"/>
                <w:sz w:val="22"/>
                <w:szCs w:val="22"/>
              </w:rPr>
            </w:pPr>
            <w:r w:rsidRPr="00731F8E">
              <w:rPr>
                <w:rFonts w:ascii="Times New Roman" w:hAnsi="Times New Roman" w:cs="Times New Roman"/>
                <w:sz w:val="22"/>
                <w:szCs w:val="22"/>
              </w:rPr>
              <w:t>Eligible Consumer Limit (</w:t>
            </w:r>
            <w:r w:rsidRPr="00731F8E">
              <w:rPr>
                <w:rFonts w:ascii="Times New Roman" w:hAnsi="Times New Roman" w:cs="Times New Roman"/>
                <w:sz w:val="22"/>
                <w:szCs w:val="22"/>
                <w:vertAlign w:val="superscript"/>
              </w:rPr>
              <w:t>m3</w:t>
            </w:r>
            <w:r w:rsidRPr="00731F8E">
              <w:rPr>
                <w:rFonts w:ascii="Times New Roman" w:hAnsi="Times New Roman" w:cs="Times New Roman"/>
                <w:sz w:val="22"/>
                <w:szCs w:val="22"/>
              </w:rPr>
              <w:t>)</w:t>
            </w:r>
          </w:p>
        </w:tc>
      </w:tr>
      <w:tr w:rsidR="004C0A79" w:rsidRPr="00731F8E" w14:paraId="50380C4A" w14:textId="77777777" w:rsidTr="004C0A79">
        <w:trPr>
          <w:trHeight w:val="899"/>
        </w:trPr>
        <w:tc>
          <w:tcPr>
            <w:tcW w:w="1277" w:type="dxa"/>
            <w:vMerge/>
            <w:tcBorders>
              <w:top w:val="nil"/>
            </w:tcBorders>
            <w:shd w:val="clear" w:color="auto" w:fill="6E9ECA"/>
          </w:tcPr>
          <w:p w14:paraId="580C386B" w14:textId="77777777" w:rsidR="004C0A79" w:rsidRPr="00731F8E" w:rsidRDefault="004C0A79" w:rsidP="004C0A79">
            <w:pPr>
              <w:rPr>
                <w:rFonts w:ascii="Times New Roman" w:hAnsi="Times New Roman"/>
                <w:szCs w:val="22"/>
              </w:rPr>
            </w:pPr>
          </w:p>
        </w:tc>
        <w:tc>
          <w:tcPr>
            <w:tcW w:w="2127" w:type="dxa"/>
            <w:vMerge/>
            <w:tcBorders>
              <w:top w:val="nil"/>
            </w:tcBorders>
            <w:shd w:val="clear" w:color="auto" w:fill="6E9ECA"/>
          </w:tcPr>
          <w:p w14:paraId="67DD38E9" w14:textId="77777777" w:rsidR="004C0A79" w:rsidRPr="00731F8E" w:rsidRDefault="004C0A79" w:rsidP="004C0A79">
            <w:pPr>
              <w:rPr>
                <w:rFonts w:ascii="Times New Roman" w:hAnsi="Times New Roman"/>
                <w:szCs w:val="22"/>
              </w:rPr>
            </w:pPr>
          </w:p>
        </w:tc>
        <w:tc>
          <w:tcPr>
            <w:tcW w:w="3404" w:type="dxa"/>
            <w:shd w:val="clear" w:color="auto" w:fill="6E9ECA"/>
          </w:tcPr>
          <w:p w14:paraId="2CDD2CE5" w14:textId="77777777" w:rsidR="004C0A79" w:rsidRPr="00731F8E" w:rsidRDefault="004C0A79" w:rsidP="004C0A79">
            <w:pPr>
              <w:pStyle w:val="P68B1DB1-TableParagraph1"/>
              <w:spacing w:before="47"/>
              <w:ind w:left="8"/>
              <w:rPr>
                <w:rFonts w:ascii="Times New Roman" w:hAnsi="Times New Roman" w:cs="Times New Roman"/>
                <w:sz w:val="22"/>
                <w:szCs w:val="22"/>
              </w:rPr>
            </w:pPr>
            <w:r w:rsidRPr="00731F8E">
              <w:rPr>
                <w:rFonts w:ascii="Times New Roman" w:hAnsi="Times New Roman" w:cs="Times New Roman"/>
                <w:sz w:val="22"/>
                <w:szCs w:val="22"/>
              </w:rPr>
              <w:t>Existing Companies and Tendered Companies Expiring 5 Years from the License Effective Date</w:t>
            </w:r>
          </w:p>
        </w:tc>
        <w:tc>
          <w:tcPr>
            <w:tcW w:w="2120" w:type="dxa"/>
            <w:shd w:val="clear" w:color="auto" w:fill="6E9ECA"/>
          </w:tcPr>
          <w:p w14:paraId="3C101666" w14:textId="77777777" w:rsidR="004C0A79" w:rsidRPr="00731F8E" w:rsidRDefault="004C0A79" w:rsidP="004C0A79">
            <w:pPr>
              <w:pStyle w:val="P68B1DB1-TableParagraph1"/>
              <w:spacing w:before="181"/>
              <w:ind w:left="406" w:hanging="238"/>
              <w:jc w:val="left"/>
              <w:rPr>
                <w:rFonts w:ascii="Times New Roman" w:hAnsi="Times New Roman" w:cs="Times New Roman"/>
                <w:sz w:val="22"/>
                <w:szCs w:val="22"/>
              </w:rPr>
            </w:pPr>
            <w:r w:rsidRPr="00731F8E">
              <w:rPr>
                <w:rFonts w:ascii="Times New Roman" w:hAnsi="Times New Roman" w:cs="Times New Roman"/>
                <w:sz w:val="22"/>
                <w:szCs w:val="22"/>
              </w:rPr>
              <w:t>Other Companies Licensed by Tender</w:t>
            </w:r>
          </w:p>
        </w:tc>
      </w:tr>
      <w:tr w:rsidR="004C0A79" w:rsidRPr="00731F8E" w14:paraId="3E5AC957" w14:textId="77777777" w:rsidTr="004C0A79">
        <w:trPr>
          <w:trHeight w:val="1134"/>
        </w:trPr>
        <w:tc>
          <w:tcPr>
            <w:tcW w:w="1277" w:type="dxa"/>
          </w:tcPr>
          <w:p w14:paraId="113C466E" w14:textId="77777777" w:rsidR="004C0A79" w:rsidRPr="00731F8E" w:rsidRDefault="004C0A79" w:rsidP="004C0A79">
            <w:pPr>
              <w:pStyle w:val="TableParagraph"/>
              <w:spacing w:before="164"/>
              <w:rPr>
                <w:rFonts w:ascii="Times New Roman" w:hAnsi="Times New Roman" w:cs="Times New Roman"/>
                <w:b/>
                <w:szCs w:val="22"/>
              </w:rPr>
            </w:pPr>
          </w:p>
          <w:p w14:paraId="5066B1BE" w14:textId="77777777" w:rsidR="004C0A79" w:rsidRPr="00731F8E" w:rsidRDefault="004C0A79" w:rsidP="004C0A79">
            <w:pPr>
              <w:pStyle w:val="TableParagraph"/>
              <w:spacing w:before="1"/>
              <w:ind w:left="11"/>
              <w:rPr>
                <w:rFonts w:ascii="Times New Roman" w:hAnsi="Times New Roman" w:cs="Times New Roman"/>
                <w:szCs w:val="22"/>
              </w:rPr>
            </w:pPr>
            <w:r w:rsidRPr="00731F8E">
              <w:rPr>
                <w:rFonts w:ascii="Times New Roman" w:hAnsi="Times New Roman" w:cs="Times New Roman"/>
                <w:szCs w:val="22"/>
              </w:rPr>
              <w:t>2014</w:t>
            </w:r>
          </w:p>
        </w:tc>
        <w:tc>
          <w:tcPr>
            <w:tcW w:w="2127" w:type="dxa"/>
          </w:tcPr>
          <w:p w14:paraId="0EBDA051" w14:textId="77777777" w:rsidR="004C0A79" w:rsidRPr="00731F8E" w:rsidRDefault="004C0A79" w:rsidP="004C0A79">
            <w:pPr>
              <w:pStyle w:val="TableParagraph"/>
              <w:spacing w:before="164"/>
              <w:rPr>
                <w:rFonts w:ascii="Times New Roman" w:hAnsi="Times New Roman" w:cs="Times New Roman"/>
                <w:b/>
                <w:szCs w:val="22"/>
              </w:rPr>
            </w:pPr>
          </w:p>
          <w:p w14:paraId="1BBBF22F" w14:textId="77777777" w:rsidR="004C0A79" w:rsidRPr="00731F8E" w:rsidRDefault="004C0A79" w:rsidP="004C0A79">
            <w:pPr>
              <w:pStyle w:val="TableParagraph"/>
              <w:spacing w:before="1"/>
              <w:ind w:left="11"/>
              <w:rPr>
                <w:rFonts w:ascii="Times New Roman" w:hAnsi="Times New Roman" w:cs="Times New Roman"/>
                <w:szCs w:val="22"/>
              </w:rPr>
            </w:pPr>
            <w:r w:rsidRPr="00731F8E">
              <w:rPr>
                <w:rFonts w:ascii="Times New Roman" w:hAnsi="Times New Roman" w:cs="Times New Roman"/>
                <w:szCs w:val="22"/>
              </w:rPr>
              <w:t>4793</w:t>
            </w:r>
          </w:p>
        </w:tc>
        <w:tc>
          <w:tcPr>
            <w:tcW w:w="3404" w:type="dxa"/>
          </w:tcPr>
          <w:p w14:paraId="1446B5BE" w14:textId="77777777" w:rsidR="004C0A79" w:rsidRPr="00731F8E" w:rsidRDefault="004C0A79" w:rsidP="004C0A79">
            <w:pPr>
              <w:pStyle w:val="TableParagraph"/>
              <w:spacing w:before="61"/>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100,000m3.*</w:t>
            </w:r>
          </w:p>
        </w:tc>
        <w:tc>
          <w:tcPr>
            <w:tcW w:w="2120" w:type="dxa"/>
          </w:tcPr>
          <w:p w14:paraId="77B6E421" w14:textId="77777777" w:rsidR="004C0A79" w:rsidRPr="00731F8E" w:rsidRDefault="004C0A79" w:rsidP="004C0A79">
            <w:pPr>
              <w:pStyle w:val="TableParagraph"/>
              <w:spacing w:before="164"/>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37B2AD5A" w14:textId="77777777" w:rsidTr="004C0A79">
        <w:trPr>
          <w:trHeight w:val="1110"/>
        </w:trPr>
        <w:tc>
          <w:tcPr>
            <w:tcW w:w="1277" w:type="dxa"/>
          </w:tcPr>
          <w:p w14:paraId="3BEAD21E" w14:textId="77777777" w:rsidR="004C0A79" w:rsidRPr="00731F8E" w:rsidRDefault="004C0A79" w:rsidP="004C0A79">
            <w:pPr>
              <w:pStyle w:val="TableParagraph"/>
              <w:spacing w:before="152"/>
              <w:rPr>
                <w:rFonts w:ascii="Times New Roman" w:hAnsi="Times New Roman" w:cs="Times New Roman"/>
                <w:b/>
                <w:szCs w:val="22"/>
              </w:rPr>
            </w:pPr>
          </w:p>
          <w:p w14:paraId="3A8B95A0" w14:textId="77777777" w:rsidR="004C0A79" w:rsidRPr="00731F8E" w:rsidRDefault="004C0A79" w:rsidP="004C0A79">
            <w:pPr>
              <w:pStyle w:val="TableParagraph"/>
              <w:spacing w:before="1"/>
              <w:ind w:left="11"/>
              <w:rPr>
                <w:rFonts w:ascii="Times New Roman" w:hAnsi="Times New Roman" w:cs="Times New Roman"/>
                <w:szCs w:val="22"/>
              </w:rPr>
            </w:pPr>
            <w:r w:rsidRPr="00731F8E">
              <w:rPr>
                <w:rFonts w:ascii="Times New Roman" w:hAnsi="Times New Roman" w:cs="Times New Roman"/>
                <w:szCs w:val="22"/>
              </w:rPr>
              <w:t>2015</w:t>
            </w:r>
          </w:p>
        </w:tc>
        <w:tc>
          <w:tcPr>
            <w:tcW w:w="2127" w:type="dxa"/>
          </w:tcPr>
          <w:p w14:paraId="17F7F4F7" w14:textId="77777777" w:rsidR="004C0A79" w:rsidRPr="00731F8E" w:rsidRDefault="004C0A79" w:rsidP="004C0A79">
            <w:pPr>
              <w:pStyle w:val="TableParagraph"/>
              <w:spacing w:before="152"/>
              <w:rPr>
                <w:rFonts w:ascii="Times New Roman" w:hAnsi="Times New Roman" w:cs="Times New Roman"/>
                <w:b/>
                <w:szCs w:val="22"/>
              </w:rPr>
            </w:pPr>
          </w:p>
          <w:p w14:paraId="1E7D7968" w14:textId="77777777" w:rsidR="004C0A79" w:rsidRPr="00731F8E" w:rsidRDefault="004C0A79" w:rsidP="004C0A79">
            <w:pPr>
              <w:pStyle w:val="TableParagraph"/>
              <w:spacing w:before="1"/>
              <w:ind w:left="11"/>
              <w:rPr>
                <w:rFonts w:ascii="Times New Roman" w:hAnsi="Times New Roman" w:cs="Times New Roman"/>
                <w:szCs w:val="22"/>
              </w:rPr>
            </w:pPr>
            <w:r w:rsidRPr="00731F8E">
              <w:rPr>
                <w:rFonts w:ascii="Times New Roman" w:hAnsi="Times New Roman" w:cs="Times New Roman"/>
                <w:szCs w:val="22"/>
              </w:rPr>
              <w:t>5362</w:t>
            </w:r>
          </w:p>
        </w:tc>
        <w:tc>
          <w:tcPr>
            <w:tcW w:w="3404" w:type="dxa"/>
          </w:tcPr>
          <w:p w14:paraId="4EA73DCF" w14:textId="77777777" w:rsidR="004C0A79" w:rsidRPr="00731F8E" w:rsidRDefault="004C0A79" w:rsidP="004C0A79">
            <w:pPr>
              <w:pStyle w:val="TableParagraph"/>
              <w:spacing w:before="18" w:line="268" w:lineRule="exact"/>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00FAFC6E"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610C1CBC" w14:textId="77777777" w:rsidTr="004C0A79">
        <w:trPr>
          <w:trHeight w:val="1074"/>
        </w:trPr>
        <w:tc>
          <w:tcPr>
            <w:tcW w:w="1277" w:type="dxa"/>
          </w:tcPr>
          <w:p w14:paraId="5CB121AC" w14:textId="77777777" w:rsidR="004C0A79" w:rsidRPr="00731F8E" w:rsidRDefault="004C0A79" w:rsidP="004C0A79">
            <w:pPr>
              <w:pStyle w:val="TableParagraph"/>
              <w:spacing w:before="133"/>
              <w:rPr>
                <w:rFonts w:ascii="Times New Roman" w:hAnsi="Times New Roman" w:cs="Times New Roman"/>
                <w:b/>
                <w:szCs w:val="22"/>
              </w:rPr>
            </w:pPr>
          </w:p>
          <w:p w14:paraId="1265AFD5"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2016</w:t>
            </w:r>
          </w:p>
        </w:tc>
        <w:tc>
          <w:tcPr>
            <w:tcW w:w="2127" w:type="dxa"/>
          </w:tcPr>
          <w:p w14:paraId="62174AE1" w14:textId="77777777" w:rsidR="004C0A79" w:rsidRPr="00731F8E" w:rsidRDefault="004C0A79" w:rsidP="004C0A79">
            <w:pPr>
              <w:pStyle w:val="TableParagraph"/>
              <w:spacing w:before="133"/>
              <w:rPr>
                <w:rFonts w:ascii="Times New Roman" w:hAnsi="Times New Roman" w:cs="Times New Roman"/>
                <w:b/>
                <w:szCs w:val="22"/>
              </w:rPr>
            </w:pPr>
          </w:p>
          <w:p w14:paraId="32A08509"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5920</w:t>
            </w:r>
          </w:p>
        </w:tc>
        <w:tc>
          <w:tcPr>
            <w:tcW w:w="3404" w:type="dxa"/>
          </w:tcPr>
          <w:p w14:paraId="531C884E" w14:textId="77777777" w:rsidR="004C0A79" w:rsidRPr="00731F8E" w:rsidRDefault="004C0A79" w:rsidP="004C0A79">
            <w:pPr>
              <w:pStyle w:val="TableParagraph"/>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08A5F09B"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760A9ADC" w14:textId="77777777" w:rsidTr="004C0A79">
        <w:trPr>
          <w:trHeight w:val="1072"/>
        </w:trPr>
        <w:tc>
          <w:tcPr>
            <w:tcW w:w="1277" w:type="dxa"/>
          </w:tcPr>
          <w:p w14:paraId="28B73B81" w14:textId="77777777" w:rsidR="004C0A79" w:rsidRPr="00731F8E" w:rsidRDefault="004C0A79" w:rsidP="004C0A79">
            <w:pPr>
              <w:pStyle w:val="TableParagraph"/>
              <w:spacing w:before="133"/>
              <w:rPr>
                <w:rFonts w:ascii="Times New Roman" w:hAnsi="Times New Roman" w:cs="Times New Roman"/>
                <w:b/>
                <w:szCs w:val="22"/>
              </w:rPr>
            </w:pPr>
          </w:p>
          <w:p w14:paraId="18728A39"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2017</w:t>
            </w:r>
          </w:p>
        </w:tc>
        <w:tc>
          <w:tcPr>
            <w:tcW w:w="2127" w:type="dxa"/>
          </w:tcPr>
          <w:p w14:paraId="7D2D75AF" w14:textId="77777777" w:rsidR="004C0A79" w:rsidRPr="00731F8E" w:rsidRDefault="004C0A79" w:rsidP="004C0A79">
            <w:pPr>
              <w:pStyle w:val="TableParagraph"/>
              <w:spacing w:before="133"/>
              <w:rPr>
                <w:rFonts w:ascii="Times New Roman" w:hAnsi="Times New Roman" w:cs="Times New Roman"/>
                <w:b/>
                <w:szCs w:val="22"/>
              </w:rPr>
            </w:pPr>
          </w:p>
          <w:p w14:paraId="5408B7A1"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6778</w:t>
            </w:r>
          </w:p>
        </w:tc>
        <w:tc>
          <w:tcPr>
            <w:tcW w:w="3404" w:type="dxa"/>
          </w:tcPr>
          <w:p w14:paraId="6D797B78" w14:textId="77777777" w:rsidR="004C0A79" w:rsidRPr="00731F8E" w:rsidRDefault="004C0A79" w:rsidP="004C0A79">
            <w:pPr>
              <w:pStyle w:val="TableParagraph"/>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68829E95"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0AE68391" w14:textId="77777777" w:rsidTr="004C0A79">
        <w:trPr>
          <w:trHeight w:val="1074"/>
        </w:trPr>
        <w:tc>
          <w:tcPr>
            <w:tcW w:w="1277" w:type="dxa"/>
          </w:tcPr>
          <w:p w14:paraId="0FE3D6DF" w14:textId="77777777" w:rsidR="004C0A79" w:rsidRPr="00731F8E" w:rsidRDefault="004C0A79" w:rsidP="004C0A79">
            <w:pPr>
              <w:pStyle w:val="TableParagraph"/>
              <w:spacing w:before="133"/>
              <w:rPr>
                <w:rFonts w:ascii="Times New Roman" w:hAnsi="Times New Roman" w:cs="Times New Roman"/>
                <w:b/>
                <w:szCs w:val="22"/>
              </w:rPr>
            </w:pPr>
          </w:p>
          <w:p w14:paraId="32B6E0AF"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2018</w:t>
            </w:r>
          </w:p>
        </w:tc>
        <w:tc>
          <w:tcPr>
            <w:tcW w:w="2127" w:type="dxa"/>
          </w:tcPr>
          <w:p w14:paraId="2CD671D7" w14:textId="77777777" w:rsidR="004C0A79" w:rsidRPr="00731F8E" w:rsidRDefault="004C0A79" w:rsidP="004C0A79">
            <w:pPr>
              <w:pStyle w:val="TableParagraph"/>
              <w:spacing w:before="133"/>
              <w:rPr>
                <w:rFonts w:ascii="Times New Roman" w:hAnsi="Times New Roman" w:cs="Times New Roman"/>
                <w:b/>
                <w:szCs w:val="22"/>
              </w:rPr>
            </w:pPr>
          </w:p>
          <w:p w14:paraId="39DA1DE5"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7537</w:t>
            </w:r>
          </w:p>
        </w:tc>
        <w:tc>
          <w:tcPr>
            <w:tcW w:w="3404" w:type="dxa"/>
          </w:tcPr>
          <w:p w14:paraId="7FB9BD65" w14:textId="77777777" w:rsidR="004C0A79" w:rsidRPr="00731F8E" w:rsidRDefault="004C0A79" w:rsidP="004C0A79">
            <w:pPr>
              <w:pStyle w:val="TableParagraph"/>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13A3B86A"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266A80EF" w14:textId="77777777" w:rsidTr="004C0A79">
        <w:trPr>
          <w:trHeight w:val="1074"/>
        </w:trPr>
        <w:tc>
          <w:tcPr>
            <w:tcW w:w="1277" w:type="dxa"/>
          </w:tcPr>
          <w:p w14:paraId="485208F9" w14:textId="77777777" w:rsidR="004C0A79" w:rsidRPr="00731F8E" w:rsidRDefault="004C0A79" w:rsidP="004C0A79">
            <w:pPr>
              <w:pStyle w:val="TableParagraph"/>
              <w:spacing w:before="133"/>
              <w:rPr>
                <w:rFonts w:ascii="Times New Roman" w:hAnsi="Times New Roman" w:cs="Times New Roman"/>
                <w:b/>
                <w:szCs w:val="22"/>
              </w:rPr>
            </w:pPr>
          </w:p>
          <w:p w14:paraId="0E2F143F"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2019</w:t>
            </w:r>
          </w:p>
        </w:tc>
        <w:tc>
          <w:tcPr>
            <w:tcW w:w="2127" w:type="dxa"/>
          </w:tcPr>
          <w:p w14:paraId="3F287BEB" w14:textId="77777777" w:rsidR="004C0A79" w:rsidRPr="00731F8E" w:rsidRDefault="004C0A79" w:rsidP="004C0A79">
            <w:pPr>
              <w:pStyle w:val="TableParagraph"/>
              <w:spacing w:before="133"/>
              <w:rPr>
                <w:rFonts w:ascii="Times New Roman" w:hAnsi="Times New Roman" w:cs="Times New Roman"/>
                <w:b/>
                <w:szCs w:val="22"/>
              </w:rPr>
            </w:pPr>
          </w:p>
          <w:p w14:paraId="0F26C7B5"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8265</w:t>
            </w:r>
          </w:p>
        </w:tc>
        <w:tc>
          <w:tcPr>
            <w:tcW w:w="3404" w:type="dxa"/>
          </w:tcPr>
          <w:p w14:paraId="5DC81C5B" w14:textId="77777777" w:rsidR="004C0A79" w:rsidRPr="00731F8E" w:rsidRDefault="004C0A79" w:rsidP="004C0A79">
            <w:pPr>
              <w:pStyle w:val="TableParagraph"/>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60F4B256"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696677CD" w14:textId="77777777" w:rsidTr="004C0A79">
        <w:trPr>
          <w:trHeight w:val="1074"/>
        </w:trPr>
        <w:tc>
          <w:tcPr>
            <w:tcW w:w="1277" w:type="dxa"/>
          </w:tcPr>
          <w:p w14:paraId="5EE115AF" w14:textId="77777777" w:rsidR="004C0A79" w:rsidRPr="00731F8E" w:rsidRDefault="004C0A79" w:rsidP="004C0A79">
            <w:pPr>
              <w:pStyle w:val="TableParagraph"/>
              <w:spacing w:before="133"/>
              <w:rPr>
                <w:rFonts w:ascii="Times New Roman" w:hAnsi="Times New Roman" w:cs="Times New Roman"/>
                <w:b/>
                <w:szCs w:val="22"/>
              </w:rPr>
            </w:pPr>
          </w:p>
          <w:p w14:paraId="7C09B1A3"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2020</w:t>
            </w:r>
          </w:p>
        </w:tc>
        <w:tc>
          <w:tcPr>
            <w:tcW w:w="2127" w:type="dxa"/>
          </w:tcPr>
          <w:p w14:paraId="1AF0BCF8" w14:textId="77777777" w:rsidR="004C0A79" w:rsidRPr="00731F8E" w:rsidRDefault="004C0A79" w:rsidP="004C0A79">
            <w:pPr>
              <w:pStyle w:val="TableParagraph"/>
              <w:spacing w:before="133"/>
              <w:rPr>
                <w:rFonts w:ascii="Times New Roman" w:hAnsi="Times New Roman" w:cs="Times New Roman"/>
                <w:b/>
                <w:szCs w:val="22"/>
              </w:rPr>
            </w:pPr>
          </w:p>
          <w:p w14:paraId="208E2839"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8996</w:t>
            </w:r>
          </w:p>
        </w:tc>
        <w:tc>
          <w:tcPr>
            <w:tcW w:w="3404" w:type="dxa"/>
          </w:tcPr>
          <w:p w14:paraId="08A9DA0B" w14:textId="77777777" w:rsidR="004C0A79" w:rsidRPr="00731F8E" w:rsidRDefault="004C0A79" w:rsidP="004C0A79">
            <w:pPr>
              <w:pStyle w:val="TableParagraph"/>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771E8879" w14:textId="77777777" w:rsidR="004C0A79" w:rsidRPr="00731F8E" w:rsidRDefault="004C0A79" w:rsidP="004C0A79">
            <w:pPr>
              <w:pStyle w:val="TableParagraph"/>
              <w:spacing w:before="133"/>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6B5CF821" w14:textId="77777777" w:rsidTr="004C0A79">
        <w:trPr>
          <w:trHeight w:val="1122"/>
        </w:trPr>
        <w:tc>
          <w:tcPr>
            <w:tcW w:w="1277" w:type="dxa"/>
          </w:tcPr>
          <w:p w14:paraId="1B0ED867" w14:textId="77777777" w:rsidR="004C0A79" w:rsidRPr="00731F8E" w:rsidRDefault="004C0A79" w:rsidP="004C0A79">
            <w:pPr>
              <w:pStyle w:val="TableParagraph"/>
              <w:spacing w:before="157"/>
              <w:rPr>
                <w:rFonts w:ascii="Times New Roman" w:hAnsi="Times New Roman" w:cs="Times New Roman"/>
                <w:b/>
                <w:szCs w:val="22"/>
              </w:rPr>
            </w:pPr>
          </w:p>
          <w:p w14:paraId="2390B499"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2021</w:t>
            </w:r>
          </w:p>
        </w:tc>
        <w:tc>
          <w:tcPr>
            <w:tcW w:w="2127" w:type="dxa"/>
          </w:tcPr>
          <w:p w14:paraId="016D0882" w14:textId="77777777" w:rsidR="004C0A79" w:rsidRPr="00731F8E" w:rsidRDefault="004C0A79" w:rsidP="004C0A79">
            <w:pPr>
              <w:pStyle w:val="TableParagraph"/>
              <w:spacing w:before="157"/>
              <w:rPr>
                <w:rFonts w:ascii="Times New Roman" w:hAnsi="Times New Roman" w:cs="Times New Roman"/>
                <w:b/>
                <w:szCs w:val="22"/>
              </w:rPr>
            </w:pPr>
          </w:p>
          <w:p w14:paraId="4EEC1C2C"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9818</w:t>
            </w:r>
          </w:p>
        </w:tc>
        <w:tc>
          <w:tcPr>
            <w:tcW w:w="3404" w:type="dxa"/>
          </w:tcPr>
          <w:p w14:paraId="53019F9F" w14:textId="77777777" w:rsidR="004C0A79" w:rsidRPr="00731F8E" w:rsidRDefault="004C0A79" w:rsidP="004C0A79">
            <w:pPr>
              <w:pStyle w:val="TableParagraph"/>
              <w:spacing w:before="49"/>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005581B0" w14:textId="77777777" w:rsidR="004C0A79" w:rsidRPr="00731F8E" w:rsidRDefault="004C0A79" w:rsidP="004C0A79">
            <w:pPr>
              <w:pStyle w:val="TableParagraph"/>
              <w:spacing w:before="157"/>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5032C8A9" w14:textId="77777777" w:rsidTr="004C0A79">
        <w:trPr>
          <w:trHeight w:val="1125"/>
        </w:trPr>
        <w:tc>
          <w:tcPr>
            <w:tcW w:w="1277" w:type="dxa"/>
          </w:tcPr>
          <w:p w14:paraId="68A7F6DC" w14:textId="77777777" w:rsidR="004C0A79" w:rsidRPr="00731F8E" w:rsidRDefault="004C0A79" w:rsidP="004C0A79">
            <w:pPr>
              <w:pStyle w:val="TableParagraph"/>
              <w:spacing w:before="157"/>
              <w:rPr>
                <w:rFonts w:ascii="Times New Roman" w:hAnsi="Times New Roman" w:cs="Times New Roman"/>
                <w:b/>
                <w:szCs w:val="22"/>
              </w:rPr>
            </w:pPr>
          </w:p>
          <w:p w14:paraId="0EB63B4E"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2022</w:t>
            </w:r>
          </w:p>
        </w:tc>
        <w:tc>
          <w:tcPr>
            <w:tcW w:w="2127" w:type="dxa"/>
          </w:tcPr>
          <w:p w14:paraId="000DC99A" w14:textId="77777777" w:rsidR="004C0A79" w:rsidRPr="00731F8E" w:rsidRDefault="004C0A79" w:rsidP="004C0A79">
            <w:pPr>
              <w:pStyle w:val="TableParagraph"/>
              <w:spacing w:before="157"/>
              <w:rPr>
                <w:rFonts w:ascii="Times New Roman" w:hAnsi="Times New Roman" w:cs="Times New Roman"/>
                <w:b/>
                <w:szCs w:val="22"/>
              </w:rPr>
            </w:pPr>
          </w:p>
          <w:p w14:paraId="2BFBB725" w14:textId="77777777" w:rsidR="004C0A79" w:rsidRPr="00731F8E" w:rsidRDefault="004C0A79" w:rsidP="004C0A79">
            <w:pPr>
              <w:pStyle w:val="TableParagraph"/>
              <w:ind w:left="11" w:right="3"/>
              <w:rPr>
                <w:rFonts w:ascii="Times New Roman" w:hAnsi="Times New Roman" w:cs="Times New Roman"/>
                <w:szCs w:val="22"/>
              </w:rPr>
            </w:pPr>
            <w:r w:rsidRPr="00731F8E">
              <w:rPr>
                <w:rFonts w:ascii="Times New Roman" w:hAnsi="Times New Roman" w:cs="Times New Roman"/>
                <w:szCs w:val="22"/>
              </w:rPr>
              <w:t>10627</w:t>
            </w:r>
          </w:p>
        </w:tc>
        <w:tc>
          <w:tcPr>
            <w:tcW w:w="3404" w:type="dxa"/>
          </w:tcPr>
          <w:p w14:paraId="72ADC1A2" w14:textId="77777777" w:rsidR="004C0A79" w:rsidRPr="00731F8E" w:rsidRDefault="004C0A79" w:rsidP="004C0A79">
            <w:pPr>
              <w:pStyle w:val="TableParagraph"/>
              <w:spacing w:before="33" w:line="268" w:lineRule="exact"/>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0EEA5E5D" w14:textId="77777777" w:rsidR="004C0A79" w:rsidRPr="00731F8E" w:rsidRDefault="004C0A79" w:rsidP="004C0A79">
            <w:pPr>
              <w:pStyle w:val="TableParagraph"/>
              <w:spacing w:before="160"/>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r w:rsidR="004C0A79" w:rsidRPr="00731F8E" w14:paraId="2060DCC4" w14:textId="77777777" w:rsidTr="004C0A79">
        <w:trPr>
          <w:trHeight w:val="1122"/>
        </w:trPr>
        <w:tc>
          <w:tcPr>
            <w:tcW w:w="1277" w:type="dxa"/>
          </w:tcPr>
          <w:p w14:paraId="4748E20C" w14:textId="77777777" w:rsidR="004C0A79" w:rsidRPr="00731F8E" w:rsidRDefault="004C0A79" w:rsidP="004C0A79">
            <w:pPr>
              <w:pStyle w:val="TableParagraph"/>
              <w:spacing w:before="157"/>
              <w:rPr>
                <w:rFonts w:ascii="Times New Roman" w:hAnsi="Times New Roman" w:cs="Times New Roman"/>
                <w:b/>
                <w:szCs w:val="22"/>
              </w:rPr>
            </w:pPr>
          </w:p>
          <w:p w14:paraId="5214BA5A" w14:textId="77777777" w:rsidR="004C0A79" w:rsidRPr="00731F8E" w:rsidRDefault="004C0A79" w:rsidP="004C0A79">
            <w:pPr>
              <w:pStyle w:val="TableParagraph"/>
              <w:ind w:left="11"/>
              <w:rPr>
                <w:rFonts w:ascii="Times New Roman" w:hAnsi="Times New Roman" w:cs="Times New Roman"/>
                <w:szCs w:val="22"/>
              </w:rPr>
            </w:pPr>
            <w:r w:rsidRPr="00731F8E">
              <w:rPr>
                <w:rFonts w:ascii="Times New Roman" w:hAnsi="Times New Roman" w:cs="Times New Roman"/>
                <w:szCs w:val="22"/>
              </w:rPr>
              <w:t>2023</w:t>
            </w:r>
          </w:p>
        </w:tc>
        <w:tc>
          <w:tcPr>
            <w:tcW w:w="2127" w:type="dxa"/>
          </w:tcPr>
          <w:p w14:paraId="003E004A" w14:textId="77777777" w:rsidR="004C0A79" w:rsidRPr="00731F8E" w:rsidRDefault="004C0A79" w:rsidP="004C0A79">
            <w:pPr>
              <w:pStyle w:val="TableParagraph"/>
              <w:spacing w:before="157"/>
              <w:rPr>
                <w:rFonts w:ascii="Times New Roman" w:hAnsi="Times New Roman" w:cs="Times New Roman"/>
                <w:b/>
                <w:szCs w:val="22"/>
              </w:rPr>
            </w:pPr>
          </w:p>
          <w:p w14:paraId="659DD871" w14:textId="77777777" w:rsidR="004C0A79" w:rsidRPr="00731F8E" w:rsidRDefault="004C0A79" w:rsidP="004C0A79">
            <w:pPr>
              <w:pStyle w:val="TableParagraph"/>
              <w:ind w:left="11" w:right="3"/>
              <w:rPr>
                <w:rFonts w:ascii="Times New Roman" w:hAnsi="Times New Roman" w:cs="Times New Roman"/>
                <w:szCs w:val="22"/>
              </w:rPr>
            </w:pPr>
            <w:r w:rsidRPr="00731F8E">
              <w:rPr>
                <w:rFonts w:ascii="Times New Roman" w:hAnsi="Times New Roman" w:cs="Times New Roman"/>
                <w:szCs w:val="22"/>
              </w:rPr>
              <w:t>11335</w:t>
            </w:r>
          </w:p>
        </w:tc>
        <w:tc>
          <w:tcPr>
            <w:tcW w:w="3404" w:type="dxa"/>
          </w:tcPr>
          <w:p w14:paraId="738564C7" w14:textId="77777777" w:rsidR="004C0A79" w:rsidRPr="00731F8E" w:rsidRDefault="004C0A79" w:rsidP="004C0A79">
            <w:pPr>
              <w:pStyle w:val="TableParagraph"/>
              <w:spacing w:before="49"/>
              <w:ind w:left="68" w:right="56"/>
              <w:jc w:val="both"/>
              <w:rPr>
                <w:rFonts w:ascii="Times New Roman" w:hAnsi="Times New Roman" w:cs="Times New Roman"/>
                <w:szCs w:val="22"/>
              </w:rPr>
            </w:pPr>
            <w:r w:rsidRPr="00731F8E">
              <w:rPr>
                <w:rFonts w:ascii="Times New Roman" w:hAnsi="Times New Roman" w:cs="Times New Roman"/>
                <w:szCs w:val="22"/>
              </w:rPr>
              <w:t>All consumers are eligible consumers, except for residential consumers (domestic consumers) whose use is below 75,000m3.*</w:t>
            </w:r>
          </w:p>
        </w:tc>
        <w:tc>
          <w:tcPr>
            <w:tcW w:w="2120" w:type="dxa"/>
          </w:tcPr>
          <w:p w14:paraId="5F782CF0" w14:textId="77777777" w:rsidR="004C0A79" w:rsidRPr="00731F8E" w:rsidRDefault="004C0A79" w:rsidP="004C0A79">
            <w:pPr>
              <w:pStyle w:val="TableParagraph"/>
              <w:spacing w:before="157"/>
              <w:ind w:left="70" w:right="82"/>
              <w:rPr>
                <w:rFonts w:ascii="Times New Roman" w:hAnsi="Times New Roman" w:cs="Times New Roman"/>
                <w:szCs w:val="22"/>
              </w:rPr>
            </w:pPr>
            <w:r w:rsidRPr="00731F8E">
              <w:rPr>
                <w:rFonts w:ascii="Times New Roman" w:hAnsi="Times New Roman" w:cs="Times New Roman"/>
                <w:szCs w:val="22"/>
              </w:rPr>
              <w:t>It is specified in the tender announcement and license.</w:t>
            </w:r>
          </w:p>
        </w:tc>
      </w:tr>
    </w:tbl>
    <w:p w14:paraId="3F01FC0F" w14:textId="77777777" w:rsidR="004C0A79" w:rsidRPr="00731F8E" w:rsidRDefault="004C0A79" w:rsidP="004C0A79">
      <w:pPr>
        <w:pStyle w:val="P68B1DB1-Normal4"/>
        <w:spacing w:before="29"/>
        <w:ind w:left="545"/>
        <w:rPr>
          <w:rFonts w:ascii="Times New Roman" w:hAnsi="Times New Roman" w:cs="Times New Roman"/>
          <w:szCs w:val="22"/>
        </w:rPr>
      </w:pPr>
      <w:r w:rsidRPr="00731F8E">
        <w:rPr>
          <w:rFonts w:ascii="Times New Roman" w:hAnsi="Times New Roman" w:cs="Times New Roman"/>
          <w:szCs w:val="22"/>
        </w:rPr>
        <w:t xml:space="preserve">* In the </w:t>
      </w:r>
      <w:r w:rsidRPr="00731F8E">
        <w:rPr>
          <w:rFonts w:ascii="Times New Roman" w:hAnsi="Times New Roman" w:cs="Times New Roman"/>
          <w:i/>
          <w:szCs w:val="22"/>
        </w:rPr>
        <w:t>calculation of the eligible consumer limit for residential consumers, the amount of consumption measured from a single meter is taken into account</w:t>
      </w:r>
      <w:r w:rsidRPr="00731F8E">
        <w:rPr>
          <w:rFonts w:ascii="Times New Roman" w:hAnsi="Times New Roman" w:cs="Times New Roman"/>
          <w:szCs w:val="22"/>
        </w:rPr>
        <w:t>.</w:t>
      </w:r>
    </w:p>
    <w:p w14:paraId="4A2F8F69" w14:textId="77777777" w:rsidR="004C0A79" w:rsidRPr="00731F8E" w:rsidRDefault="004C0A79" w:rsidP="004C0A79">
      <w:pPr>
        <w:pStyle w:val="Balk1"/>
        <w:spacing w:before="236"/>
        <w:rPr>
          <w:rFonts w:ascii="Times New Roman" w:hAnsi="Times New Roman" w:cs="Times New Roman"/>
          <w:szCs w:val="22"/>
        </w:rPr>
      </w:pPr>
      <w:r w:rsidRPr="00731F8E">
        <w:rPr>
          <w:rFonts w:ascii="Times New Roman" w:hAnsi="Times New Roman" w:cs="Times New Roman"/>
          <w:szCs w:val="22"/>
        </w:rPr>
        <w:t>Announced Demand Calls and Demand Collection/Competition Results Regarding Spot Pipe Gas Import;</w:t>
      </w:r>
    </w:p>
    <w:p w14:paraId="1D9D7F52" w14:textId="77777777" w:rsidR="004C0A79" w:rsidRPr="00731F8E" w:rsidRDefault="004C0A79" w:rsidP="004C0A79">
      <w:pPr>
        <w:spacing w:before="39"/>
        <w:ind w:left="118"/>
        <w:rPr>
          <w:rFonts w:ascii="Times New Roman" w:hAnsi="Times New Roman"/>
        </w:rPr>
      </w:pPr>
      <w:r w:rsidRPr="00731F8E">
        <w:rPr>
          <w:rFonts w:ascii="Times New Roman" w:hAnsi="Times New Roman"/>
        </w:rPr>
        <w:t>Within the scope of the "</w:t>
      </w:r>
      <w:r w:rsidRPr="00731F8E">
        <w:rPr>
          <w:rFonts w:ascii="Times New Roman" w:hAnsi="Times New Roman"/>
          <w:b/>
        </w:rPr>
        <w:t xml:space="preserve">Procedures and Principles for Determination of Spot Pipe Gas Import Amount and Application Method" published in the Official Gazette dated 19.09.2019 and </w:t>
      </w:r>
      <w:r w:rsidRPr="00731F8E">
        <w:rPr>
          <w:rFonts w:ascii="Times New Roman" w:hAnsi="Times New Roman"/>
        </w:rPr>
        <w:t xml:space="preserve">numbered 30893, the book </w:t>
      </w:r>
      <w:r w:rsidRPr="00731F8E">
        <w:rPr>
          <w:rFonts w:ascii="Times New Roman" w:hAnsi="Times New Roman"/>
        </w:rPr>
        <w:lastRenderedPageBreak/>
        <w:t>collection/competitions organized within the scope of the demand calls announced every month by the Authority on an annual, quarterly and monthly basis will be held in 2022 resulted in as follows;</w:t>
      </w:r>
    </w:p>
    <w:p w14:paraId="3E2A2DE7" w14:textId="77777777" w:rsidR="004C0A79" w:rsidRPr="00731F8E" w:rsidRDefault="004C0A79" w:rsidP="00A86526">
      <w:pPr>
        <w:pStyle w:val="ListeParagraf"/>
        <w:widowControl w:val="0"/>
        <w:numPr>
          <w:ilvl w:val="0"/>
          <w:numId w:val="76"/>
        </w:numPr>
        <w:tabs>
          <w:tab w:val="left" w:pos="477"/>
        </w:tabs>
        <w:autoSpaceDE w:val="0"/>
        <w:autoSpaceDN w:val="0"/>
        <w:spacing w:before="199" w:after="0" w:line="240" w:lineRule="auto"/>
        <w:ind w:right="122"/>
        <w:contextualSpacing w:val="0"/>
        <w:rPr>
          <w:rFonts w:ascii="Times New Roman" w:hAnsi="Times New Roman"/>
        </w:rPr>
      </w:pPr>
      <w:r w:rsidRPr="00731F8E">
        <w:rPr>
          <w:rFonts w:ascii="Times New Roman" w:hAnsi="Times New Roman"/>
          <w:b/>
        </w:rPr>
        <w:t>2022/1-A:</w:t>
      </w:r>
      <w:r w:rsidRPr="00731F8E">
        <w:rPr>
          <w:rFonts w:ascii="Times New Roman" w:hAnsi="Times New Roman"/>
        </w:rPr>
        <w:t xml:space="preserve"> Call for Requests prepared for the 2022, 2023 and 2024 Gas Years regarding </w:t>
      </w:r>
      <w:r w:rsidRPr="00731F8E">
        <w:rPr>
          <w:rFonts w:ascii="Times New Roman" w:hAnsi="Times New Roman"/>
          <w:b/>
        </w:rPr>
        <w:t xml:space="preserve">TANAP Thrace, TANAP Seyitgazi and Türkgözü Entry Points </w:t>
      </w:r>
      <w:r w:rsidRPr="00731F8E">
        <w:rPr>
          <w:rFonts w:ascii="Times New Roman" w:hAnsi="Times New Roman"/>
        </w:rPr>
        <w:t xml:space="preserve">and accepted by the Board Decision No. 10369-2 dated 19/08/2021 (2022/1- Within the scope of A), BOTAŞ, the owner of the Import (Spot) License numbered DİT/7624-2/432, applied for the 2022, 2023 and 2024 Gas Year capacity products </w:t>
      </w:r>
      <w:r w:rsidRPr="00731F8E">
        <w:rPr>
          <w:rFonts w:ascii="Times New Roman" w:hAnsi="Times New Roman"/>
          <w:b/>
        </w:rPr>
        <w:t>through the Türkgözü Entry Point</w:t>
      </w:r>
      <w:r w:rsidRPr="00731F8E">
        <w:rPr>
          <w:rFonts w:ascii="Times New Roman" w:hAnsi="Times New Roman"/>
        </w:rPr>
        <w:t>, and as a result of the book collection held on 06 September 2021, the 2022 Gas Year through the Türkgözü Entry Point. It is entitled to make a spot capacity reservation of 7,177,000 m3/day for the Gas Year, 10,519,000 m3/day for the 2023 Gas Year and 10,519,000 m3/day for the 2024 Gas Year​. In the case of TANAP Seyitgazi and TANAP Thrace Entry Points, we have not received any application.</w:t>
      </w:r>
    </w:p>
    <w:p w14:paraId="732FCAD6" w14:textId="77777777" w:rsidR="004C0A79" w:rsidRPr="00731F8E" w:rsidRDefault="004C0A79" w:rsidP="00A86526">
      <w:pPr>
        <w:pStyle w:val="ListeParagraf"/>
        <w:widowControl w:val="0"/>
        <w:numPr>
          <w:ilvl w:val="0"/>
          <w:numId w:val="76"/>
        </w:numPr>
        <w:tabs>
          <w:tab w:val="left" w:pos="477"/>
        </w:tabs>
        <w:autoSpaceDE w:val="0"/>
        <w:autoSpaceDN w:val="0"/>
        <w:spacing w:before="268" w:after="0" w:line="240" w:lineRule="auto"/>
        <w:ind w:right="120" w:hanging="360"/>
        <w:contextualSpacing w:val="0"/>
        <w:rPr>
          <w:rFonts w:ascii="Times New Roman" w:hAnsi="Times New Roman"/>
        </w:rPr>
      </w:pPr>
      <w:r w:rsidRPr="00731F8E">
        <w:rPr>
          <w:rFonts w:ascii="Times New Roman" w:hAnsi="Times New Roman"/>
          <w:b/>
        </w:rPr>
        <w:t xml:space="preserve">2022/1-B and 2022/1-C: </w:t>
      </w:r>
      <w:r w:rsidRPr="00731F8E">
        <w:rPr>
          <w:rFonts w:ascii="Times New Roman" w:hAnsi="Times New Roman"/>
        </w:rPr>
        <w:t xml:space="preserve">Previously, with the text of the 2022/1-A Demand Call, it was mentioned that annual spot capacity products were offered for TANAP Thrace, TANAP Seyitgazi and Türkgözü Entry Points for the 2022, 2023 and 2024 Gas Years. Apart from the aforementioned entry points and spot capacity products, the </w:t>
      </w:r>
      <w:r w:rsidRPr="00731F8E">
        <w:rPr>
          <w:rFonts w:ascii="Times New Roman" w:hAnsi="Times New Roman"/>
          <w:b/>
        </w:rPr>
        <w:t xml:space="preserve">annual, first quarter and first month spot capacity products to be offered before the 2022 Gas Year </w:t>
      </w:r>
      <w:r w:rsidRPr="00731F8E">
        <w:rPr>
          <w:rFonts w:ascii="Times New Roman" w:hAnsi="Times New Roman"/>
        </w:rPr>
        <w:t xml:space="preserve">were announced in the text of the 2022/1-B </w:t>
      </w:r>
      <w:r w:rsidRPr="00731F8E">
        <w:rPr>
          <w:rFonts w:ascii="Times New Roman" w:hAnsi="Times New Roman"/>
          <w:b/>
        </w:rPr>
        <w:t xml:space="preserve">Request Call </w:t>
      </w:r>
      <w:r w:rsidRPr="00731F8E">
        <w:rPr>
          <w:rFonts w:ascii="Times New Roman" w:hAnsi="Times New Roman"/>
        </w:rPr>
        <w:t xml:space="preserve">with the Board Decision dated 02/12/2021 and numbered 10592, and in this direction, an application was made only by </w:t>
      </w:r>
      <w:r w:rsidRPr="00731F8E">
        <w:rPr>
          <w:rFonts w:ascii="Times New Roman" w:hAnsi="Times New Roman"/>
          <w:b/>
        </w:rPr>
        <w:t>BOTAŞ</w:t>
      </w:r>
      <w:r w:rsidRPr="00731F8E">
        <w:rPr>
          <w:rFonts w:ascii="Times New Roman" w:hAnsi="Times New Roman"/>
        </w:rPr>
        <w:t xml:space="preserve">, holder of the Import (Spot) License No. DİT/7624-2/432, and </w:t>
      </w:r>
      <w:r w:rsidRPr="00731F8E">
        <w:rPr>
          <w:rFonts w:ascii="Times New Roman" w:hAnsi="Times New Roman"/>
          <w:b/>
        </w:rPr>
        <w:t>Bosphorus Gaz Corporation A.Ş.</w:t>
      </w:r>
      <w:r w:rsidRPr="00731F8E">
        <w:rPr>
          <w:rFonts w:ascii="Times New Roman" w:hAnsi="Times New Roman"/>
        </w:rPr>
        <w:t xml:space="preserve">, holder of the Import (Spot) License No. dit/4240-3/287, through the </w:t>
      </w:r>
      <w:r w:rsidRPr="00731F8E">
        <w:rPr>
          <w:rFonts w:ascii="Times New Roman" w:hAnsi="Times New Roman"/>
          <w:b/>
        </w:rPr>
        <w:t>Kıyıköy Entry Point</w:t>
      </w:r>
      <w:r w:rsidRPr="00731F8E">
        <w:rPr>
          <w:rFonts w:ascii="Times New Roman" w:hAnsi="Times New Roman"/>
        </w:rPr>
        <w:t xml:space="preserve">. Regarding the other Entry Points announced for spot pipe gas import with the aforementioned request, we have not received any application. Due to some important developments, </w:t>
      </w:r>
      <w:r w:rsidRPr="00731F8E">
        <w:rPr>
          <w:rFonts w:ascii="Times New Roman" w:hAnsi="Times New Roman"/>
          <w:b/>
        </w:rPr>
        <w:t xml:space="preserve">especially the increase in the Maximum Separable Capacity (MAK) at the Kıyıköy Entry Point before the demand collection phase planned to be </w:t>
      </w:r>
      <w:r w:rsidRPr="00731F8E">
        <w:rPr>
          <w:rFonts w:ascii="Times New Roman" w:hAnsi="Times New Roman"/>
        </w:rPr>
        <w:t xml:space="preserve">held on 21 December 2021, the said demand collection date was postponed and as a result of the demand collection phase carried out on 29 December 2021 within the framework of the 2022/1-C </w:t>
      </w:r>
      <w:r w:rsidRPr="00731F8E">
        <w:rPr>
          <w:rFonts w:ascii="Times New Roman" w:hAnsi="Times New Roman"/>
          <w:b/>
        </w:rPr>
        <w:t xml:space="preserve">Request Call text, which was announced again only </w:t>
      </w:r>
      <w:r w:rsidRPr="00731F8E">
        <w:rPr>
          <w:rFonts w:ascii="Times New Roman" w:hAnsi="Times New Roman"/>
        </w:rPr>
        <w:t xml:space="preserve"> </w:t>
      </w:r>
      <w:r w:rsidRPr="00731F8E">
        <w:rPr>
          <w:rFonts w:ascii="Times New Roman" w:hAnsi="Times New Roman"/>
          <w:b/>
        </w:rPr>
        <w:t xml:space="preserve">for the Kıyıköy Entry Point with the Board Decision dated 23/12/2021 and numbered 10666, BOTAŞ was entitled to reserve a spot capacity of 5.075.000m3/Day for the 2022 Gas Year, 6.766.000m3/Day for the first quarter and 5.075.000m3/Day for the first month period through the Kıyıköy Entry </w:t>
      </w:r>
      <w:r w:rsidRPr="00731F8E">
        <w:rPr>
          <w:rFonts w:ascii="Times New Roman" w:hAnsi="Times New Roman"/>
        </w:rPr>
        <w:t>Point.</w:t>
      </w:r>
    </w:p>
    <w:p w14:paraId="0B855E5E" w14:textId="77777777" w:rsidR="004C0A79" w:rsidRPr="00731F8E" w:rsidRDefault="004C0A79" w:rsidP="004C0A79">
      <w:pPr>
        <w:pStyle w:val="GvdeMetni"/>
        <w:rPr>
          <w:rFonts w:cs="Times New Roman"/>
          <w:i/>
          <w:szCs w:val="22"/>
        </w:rPr>
      </w:pPr>
    </w:p>
    <w:p w14:paraId="168201E9" w14:textId="77777777" w:rsidR="004C0A79" w:rsidRPr="00731F8E" w:rsidRDefault="004C0A79" w:rsidP="00A86526">
      <w:pPr>
        <w:pStyle w:val="ListeParagraf"/>
        <w:widowControl w:val="0"/>
        <w:numPr>
          <w:ilvl w:val="0"/>
          <w:numId w:val="76"/>
        </w:numPr>
        <w:tabs>
          <w:tab w:val="left" w:pos="477"/>
        </w:tabs>
        <w:autoSpaceDE w:val="0"/>
        <w:autoSpaceDN w:val="0"/>
        <w:spacing w:after="0" w:line="240" w:lineRule="auto"/>
        <w:ind w:right="118" w:hanging="360"/>
        <w:contextualSpacing w:val="0"/>
        <w:rPr>
          <w:rFonts w:ascii="Times New Roman" w:hAnsi="Times New Roman"/>
        </w:rPr>
      </w:pPr>
      <w:r w:rsidRPr="00731F8E">
        <w:rPr>
          <w:rFonts w:ascii="Times New Roman" w:hAnsi="Times New Roman"/>
        </w:rPr>
        <w:t>2022/2</w:t>
      </w:r>
      <w:r w:rsidRPr="00731F8E">
        <w:rPr>
          <w:rFonts w:ascii="Times New Roman" w:hAnsi="Times New Roman"/>
          <w:b/>
        </w:rPr>
        <w:t>: As a result of the demand collection carried out on 26 January 2022 within the scope of the Demand Call text (2022/2) prepared for the February 2022 Gas Year (A2</w:t>
      </w:r>
      <w:r w:rsidRPr="00731F8E">
        <w:rPr>
          <w:rFonts w:ascii="Times New Roman" w:hAnsi="Times New Roman"/>
        </w:rPr>
        <w:t xml:space="preserve">) spot capacity product and accepted by the Board Decision dated 13/01/2022 and numbered 10724-2; </w:t>
      </w:r>
      <w:r w:rsidRPr="00731F8E">
        <w:rPr>
          <w:rFonts w:ascii="Times New Roman" w:hAnsi="Times New Roman"/>
          <w:b/>
        </w:rPr>
        <w:t>BOTAŞ</w:t>
      </w:r>
      <w:r w:rsidRPr="00731F8E">
        <w:rPr>
          <w:rFonts w:ascii="Times New Roman" w:hAnsi="Times New Roman"/>
        </w:rPr>
        <w:t xml:space="preserve">, the owner of the Import (Spot) License numbered DİT/7624-2/432, who applied for the February (A2) capacity product through </w:t>
      </w:r>
      <w:r w:rsidRPr="00731F8E">
        <w:rPr>
          <w:rFonts w:ascii="Times New Roman" w:hAnsi="Times New Roman"/>
          <w:b/>
        </w:rPr>
        <w:t>Kıyıköy Entry Point</w:t>
      </w:r>
      <w:r w:rsidRPr="00731F8E">
        <w:rPr>
          <w:rFonts w:ascii="Times New Roman" w:hAnsi="Times New Roman"/>
        </w:rPr>
        <w:t xml:space="preserve">, was entitled to reserve spot capacity for an amount of 5.075.000 </w:t>
      </w:r>
      <w:r w:rsidRPr="00731F8E">
        <w:rPr>
          <w:rFonts w:ascii="Times New Roman" w:hAnsi="Times New Roman"/>
          <w:b/>
        </w:rPr>
        <w:t xml:space="preserve">m3/day; SOCAR Enerji Ticaret A.Ş., the owner of the Import (Spot) License numbered DİT/9289-2/497, who applied for the February (A2) capacity product through Türkgözü Entry </w:t>
      </w:r>
      <w:r w:rsidRPr="00731F8E">
        <w:rPr>
          <w:rFonts w:ascii="Times New Roman" w:hAnsi="Times New Roman"/>
        </w:rPr>
        <w:t xml:space="preserve">Point, </w:t>
      </w:r>
      <w:r w:rsidRPr="00731F8E">
        <w:rPr>
          <w:rFonts w:ascii="Times New Roman" w:hAnsi="Times New Roman"/>
          <w:b/>
        </w:rPr>
        <w:t>was entitled to reserve spot capacity for an amount of 4.000.000 m3/day</w:t>
      </w:r>
      <w:r w:rsidRPr="00731F8E">
        <w:rPr>
          <w:rFonts w:ascii="Times New Roman" w:hAnsi="Times New Roman"/>
        </w:rPr>
        <w:t>.</w:t>
      </w:r>
    </w:p>
    <w:p w14:paraId="148FFF3F" w14:textId="77777777" w:rsidR="004C0A79" w:rsidRPr="00731F8E" w:rsidRDefault="004C0A79" w:rsidP="00A86526">
      <w:pPr>
        <w:pStyle w:val="ListeParagraf"/>
        <w:widowControl w:val="0"/>
        <w:numPr>
          <w:ilvl w:val="0"/>
          <w:numId w:val="76"/>
        </w:numPr>
        <w:tabs>
          <w:tab w:val="left" w:pos="476"/>
          <w:tab w:val="left" w:pos="478"/>
        </w:tabs>
        <w:autoSpaceDE w:val="0"/>
        <w:autoSpaceDN w:val="0"/>
        <w:spacing w:before="268" w:after="0" w:line="240" w:lineRule="auto"/>
        <w:ind w:left="478" w:right="121"/>
        <w:contextualSpacing w:val="0"/>
        <w:rPr>
          <w:rFonts w:ascii="Times New Roman" w:hAnsi="Times New Roman"/>
        </w:rPr>
      </w:pPr>
      <w:r w:rsidRPr="00731F8E">
        <w:rPr>
          <w:rFonts w:ascii="Times New Roman" w:hAnsi="Times New Roman"/>
        </w:rPr>
        <w:t>2022/3</w:t>
      </w:r>
      <w:r w:rsidRPr="00731F8E">
        <w:rPr>
          <w:rFonts w:ascii="Times New Roman" w:hAnsi="Times New Roman"/>
          <w:b/>
        </w:rPr>
        <w:t xml:space="preserve">: Within the scope of the Demand Call text (2022/3) prepared for the March 2022 Gas Year (A3 ) </w:t>
      </w:r>
      <w:r w:rsidRPr="00731F8E">
        <w:rPr>
          <w:rFonts w:ascii="Times New Roman" w:hAnsi="Times New Roman"/>
        </w:rPr>
        <w:t xml:space="preserve">spot capacity product and adopted by the Board Decision dated 10/02/2022 and numbered 10775, as a result of the demand collection carried out on 24 February 2022, </w:t>
      </w:r>
      <w:r w:rsidRPr="00731F8E">
        <w:rPr>
          <w:rFonts w:ascii="Times New Roman" w:hAnsi="Times New Roman"/>
          <w:b/>
        </w:rPr>
        <w:t>BOTAŞ</w:t>
      </w:r>
      <w:r w:rsidRPr="00731F8E">
        <w:rPr>
          <w:rFonts w:ascii="Times New Roman" w:hAnsi="Times New Roman"/>
        </w:rPr>
        <w:t xml:space="preserve">, the owner of the Import (Spot) License numbered DİT/7624-2/432, who applied for the March (A3) capacity product </w:t>
      </w:r>
      <w:r w:rsidRPr="00731F8E">
        <w:rPr>
          <w:rFonts w:ascii="Times New Roman" w:hAnsi="Times New Roman"/>
          <w:b/>
        </w:rPr>
        <w:t>through Kıyıköy Entry Point</w:t>
      </w:r>
      <w:r w:rsidRPr="00731F8E">
        <w:rPr>
          <w:rFonts w:ascii="Times New Roman" w:hAnsi="Times New Roman"/>
        </w:rPr>
        <w:t xml:space="preserve">, was entitled to book spot capacity for an amount of 5.075.000 </w:t>
      </w:r>
      <w:r w:rsidRPr="00731F8E">
        <w:rPr>
          <w:rFonts w:ascii="Times New Roman" w:hAnsi="Times New Roman"/>
          <w:b/>
        </w:rPr>
        <w:t>m3/day</w:t>
      </w:r>
      <w:r w:rsidRPr="00731F8E">
        <w:rPr>
          <w:rFonts w:ascii="Times New Roman" w:hAnsi="Times New Roman"/>
        </w:rPr>
        <w:t>.</w:t>
      </w:r>
    </w:p>
    <w:p w14:paraId="733FBED1" w14:textId="77777777" w:rsidR="004C0A79" w:rsidRPr="00731F8E" w:rsidRDefault="004C0A79" w:rsidP="004C0A79">
      <w:pPr>
        <w:pStyle w:val="GvdeMetni"/>
        <w:rPr>
          <w:rFonts w:cs="Times New Roman"/>
          <w:i/>
          <w:szCs w:val="22"/>
        </w:rPr>
      </w:pPr>
    </w:p>
    <w:p w14:paraId="6F885B33" w14:textId="77777777" w:rsidR="004C0A79" w:rsidRPr="00731F8E" w:rsidRDefault="004C0A79" w:rsidP="00A86526">
      <w:pPr>
        <w:pStyle w:val="ListeParagraf"/>
        <w:widowControl w:val="0"/>
        <w:numPr>
          <w:ilvl w:val="0"/>
          <w:numId w:val="76"/>
        </w:numPr>
        <w:tabs>
          <w:tab w:val="left" w:pos="478"/>
        </w:tabs>
        <w:autoSpaceDE w:val="0"/>
        <w:autoSpaceDN w:val="0"/>
        <w:spacing w:after="0" w:line="240" w:lineRule="auto"/>
        <w:ind w:left="478" w:right="121" w:hanging="360"/>
        <w:contextualSpacing w:val="0"/>
        <w:rPr>
          <w:rFonts w:ascii="Times New Roman" w:hAnsi="Times New Roman"/>
        </w:rPr>
      </w:pPr>
      <w:r w:rsidRPr="00731F8E">
        <w:rPr>
          <w:rFonts w:ascii="Times New Roman" w:hAnsi="Times New Roman"/>
        </w:rPr>
        <w:t>2022/4</w:t>
      </w:r>
      <w:r w:rsidRPr="00731F8E">
        <w:rPr>
          <w:rFonts w:ascii="Times New Roman" w:hAnsi="Times New Roman"/>
          <w:b/>
        </w:rPr>
        <w:t xml:space="preserve">: Within the scope of the Demand Call text (2022/4) prepared for the Gas Year Second Quarter (Ç2) and April (A4 ) </w:t>
      </w:r>
      <w:r w:rsidRPr="00731F8E">
        <w:rPr>
          <w:rFonts w:ascii="Times New Roman" w:hAnsi="Times New Roman"/>
        </w:rPr>
        <w:t xml:space="preserve">spot capacity products and adopted by the Board Decision dated 10/03/2022 and numbered 10835-6, as a result of the demand collection carried out on 25 March 2022, </w:t>
      </w:r>
      <w:r w:rsidRPr="00731F8E">
        <w:rPr>
          <w:rFonts w:ascii="Times New Roman" w:hAnsi="Times New Roman"/>
          <w:b/>
        </w:rPr>
        <w:t>BOTAŞ</w:t>
      </w:r>
      <w:r w:rsidRPr="00731F8E">
        <w:rPr>
          <w:rFonts w:ascii="Times New Roman" w:hAnsi="Times New Roman"/>
        </w:rPr>
        <w:t xml:space="preserve">,the owner of the Import (Spot) License numbered DİT/7624-2/432, who applied for the Second Quarter (Ç2) and April (A4) capacity product </w:t>
      </w:r>
      <w:r w:rsidRPr="00731F8E">
        <w:rPr>
          <w:rFonts w:ascii="Times New Roman" w:hAnsi="Times New Roman"/>
          <w:b/>
        </w:rPr>
        <w:t>through the Kıyıköy Entry Point</w:t>
      </w:r>
      <w:r w:rsidRPr="00731F8E">
        <w:rPr>
          <w:rFonts w:ascii="Times New Roman" w:hAnsi="Times New Roman"/>
        </w:rPr>
        <w:t xml:space="preserve">, was entitled to make a spot capacity reservation by notifying an amount of 6.766.000 </w:t>
      </w:r>
      <w:r w:rsidRPr="00731F8E">
        <w:rPr>
          <w:rFonts w:ascii="Times New Roman" w:hAnsi="Times New Roman"/>
          <w:b/>
        </w:rPr>
        <w:t xml:space="preserve">m3/day </w:t>
      </w:r>
      <w:r w:rsidRPr="00731F8E">
        <w:rPr>
          <w:rFonts w:ascii="Times New Roman" w:hAnsi="Times New Roman"/>
        </w:rPr>
        <w:t>for the quarterly capacity and 5.075.000 m3/day for the monthly capacity.</w:t>
      </w:r>
    </w:p>
    <w:p w14:paraId="5D1F965B" w14:textId="77777777" w:rsidR="004C0A79" w:rsidRPr="00731F8E" w:rsidRDefault="004C0A79" w:rsidP="00A86526">
      <w:pPr>
        <w:pStyle w:val="ListeParagraf"/>
        <w:widowControl w:val="0"/>
        <w:numPr>
          <w:ilvl w:val="0"/>
          <w:numId w:val="76"/>
        </w:numPr>
        <w:autoSpaceDE w:val="0"/>
        <w:autoSpaceDN w:val="0"/>
        <w:spacing w:before="268" w:after="0" w:line="240" w:lineRule="auto"/>
        <w:ind w:left="478" w:right="118"/>
        <w:contextualSpacing w:val="0"/>
        <w:jc w:val="left"/>
        <w:rPr>
          <w:rFonts w:ascii="Times New Roman" w:hAnsi="Times New Roman"/>
        </w:rPr>
      </w:pPr>
      <w:r w:rsidRPr="00731F8E">
        <w:rPr>
          <w:rFonts w:ascii="Times New Roman" w:hAnsi="Times New Roman"/>
        </w:rPr>
        <w:t>2022/5</w:t>
      </w:r>
      <w:r w:rsidRPr="00731F8E">
        <w:rPr>
          <w:rFonts w:ascii="Times New Roman" w:hAnsi="Times New Roman"/>
          <w:b/>
        </w:rPr>
        <w:t xml:space="preserve">: As a result of the book collection held on April 22, 2022, within the scope of the Call for Demand text (2022/5) prepared for the May 2022 Gas Year (A5) </w:t>
      </w:r>
      <w:r w:rsidRPr="00731F8E">
        <w:rPr>
          <w:rFonts w:ascii="Times New Roman" w:hAnsi="Times New Roman"/>
        </w:rPr>
        <w:t xml:space="preserve">spot capacity products and accepted by the Board Decision numbered 10916-5 dated 07/04/2022, Kıyıköy BOTAŞ, the owner of the Import (Spot) </w:t>
      </w:r>
      <w:r w:rsidRPr="00731F8E">
        <w:rPr>
          <w:rFonts w:ascii="Times New Roman" w:hAnsi="Times New Roman"/>
        </w:rPr>
        <w:lastRenderedPageBreak/>
        <w:t>License numbered DİT/7624-2/432, who applied for the May (A5) capacity product through the Entry Point, was entitled to make a spot capacity reservation by notifying an amount of 5,075,000 m3/day.</w:t>
      </w:r>
    </w:p>
    <w:p w14:paraId="1FD81161" w14:textId="77777777" w:rsidR="004C0A79" w:rsidRPr="00731F8E" w:rsidRDefault="004C0A79" w:rsidP="00A86526">
      <w:pPr>
        <w:pStyle w:val="ListeParagraf"/>
        <w:widowControl w:val="0"/>
        <w:numPr>
          <w:ilvl w:val="0"/>
          <w:numId w:val="76"/>
        </w:numPr>
        <w:autoSpaceDE w:val="0"/>
        <w:autoSpaceDN w:val="0"/>
        <w:spacing w:before="268" w:after="0" w:line="240" w:lineRule="auto"/>
        <w:ind w:left="478" w:right="118"/>
        <w:contextualSpacing w:val="0"/>
        <w:jc w:val="left"/>
        <w:rPr>
          <w:rFonts w:ascii="Times New Roman" w:hAnsi="Times New Roman"/>
        </w:rPr>
      </w:pPr>
      <w:r w:rsidRPr="00731F8E">
        <w:rPr>
          <w:rFonts w:ascii="Times New Roman" w:hAnsi="Times New Roman"/>
        </w:rPr>
        <w:t>2022/6</w:t>
      </w:r>
      <w:r w:rsidRPr="00731F8E">
        <w:rPr>
          <w:rFonts w:ascii="Times New Roman" w:hAnsi="Times New Roman"/>
          <w:b/>
        </w:rPr>
        <w:t xml:space="preserve">: Within the scope of the Demand Call text (2022/6) prepared for the June 2022 Gas Year (A6) </w:t>
      </w:r>
      <w:r w:rsidRPr="00731F8E">
        <w:rPr>
          <w:rFonts w:ascii="Times New Roman" w:hAnsi="Times New Roman"/>
        </w:rPr>
        <w:t xml:space="preserve">spot capacity products and adopted by the Board Decision dated 12/05/2022 and numbered 10972- 9, as a result of the demand collection carried out on 27 May 2022, </w:t>
      </w:r>
      <w:r w:rsidRPr="00731F8E">
        <w:rPr>
          <w:rFonts w:ascii="Times New Roman" w:hAnsi="Times New Roman"/>
          <w:b/>
        </w:rPr>
        <w:t>BOTAŞ</w:t>
      </w:r>
      <w:r w:rsidRPr="00731F8E">
        <w:rPr>
          <w:rFonts w:ascii="Times New Roman" w:hAnsi="Times New Roman"/>
        </w:rPr>
        <w:t xml:space="preserve">, the holder of the Import (Spot) License numbered DİT/7624-2/432, who applied for the June (A6) capacity product </w:t>
      </w:r>
      <w:r w:rsidRPr="00731F8E">
        <w:rPr>
          <w:rFonts w:ascii="Times New Roman" w:hAnsi="Times New Roman"/>
          <w:b/>
        </w:rPr>
        <w:t>through Kıyıköy Entry Point</w:t>
      </w:r>
      <w:r w:rsidRPr="00731F8E">
        <w:rPr>
          <w:rFonts w:ascii="Times New Roman" w:hAnsi="Times New Roman"/>
        </w:rPr>
        <w:t>, was entitled to make a spot capacity reservation by notifying an amount of 5.075.000 m3/day.</w:t>
      </w:r>
    </w:p>
    <w:p w14:paraId="3F1F746E" w14:textId="77777777" w:rsidR="004C0A79" w:rsidRPr="00731F8E" w:rsidRDefault="004C0A79" w:rsidP="00A86526">
      <w:pPr>
        <w:pStyle w:val="ListeParagraf"/>
        <w:widowControl w:val="0"/>
        <w:numPr>
          <w:ilvl w:val="0"/>
          <w:numId w:val="76"/>
        </w:numPr>
        <w:tabs>
          <w:tab w:val="left" w:pos="476"/>
          <w:tab w:val="left" w:pos="478"/>
        </w:tabs>
        <w:autoSpaceDE w:val="0"/>
        <w:autoSpaceDN w:val="0"/>
        <w:spacing w:before="267" w:after="0" w:line="240" w:lineRule="auto"/>
        <w:ind w:left="478" w:right="120"/>
        <w:contextualSpacing w:val="0"/>
        <w:rPr>
          <w:rFonts w:ascii="Times New Roman" w:hAnsi="Times New Roman"/>
        </w:rPr>
      </w:pPr>
      <w:r w:rsidRPr="00731F8E">
        <w:rPr>
          <w:rFonts w:ascii="Times New Roman" w:hAnsi="Times New Roman"/>
        </w:rPr>
        <w:t>2022/7</w:t>
      </w:r>
      <w:r w:rsidRPr="00731F8E">
        <w:rPr>
          <w:rFonts w:ascii="Times New Roman" w:hAnsi="Times New Roman"/>
          <w:b/>
        </w:rPr>
        <w:t xml:space="preserve">: Within the scope of the Demand Call text (2022/7) prepared for the 2022 Gas Year Third Quarter (Ç3) and July (A7) </w:t>
      </w:r>
      <w:r w:rsidRPr="00731F8E">
        <w:rPr>
          <w:rFonts w:ascii="Times New Roman" w:hAnsi="Times New Roman"/>
        </w:rPr>
        <w:t xml:space="preserve">spot capacity products and adopted by the Board Decision dated 09/06/2022 and numbered 11010-5, as a result of the demand collection carried out on 24 June 2022, </w:t>
      </w:r>
      <w:r w:rsidRPr="00731F8E">
        <w:rPr>
          <w:rFonts w:ascii="Times New Roman" w:hAnsi="Times New Roman"/>
          <w:b/>
        </w:rPr>
        <w:t>BOTAŞ</w:t>
      </w:r>
      <w:r w:rsidRPr="00731F8E">
        <w:rPr>
          <w:rFonts w:ascii="Times New Roman" w:hAnsi="Times New Roman"/>
        </w:rPr>
        <w:t xml:space="preserve">, holder of the Import (Spot) License numbered DİT/7624-2/432, who applied for the Third Quarter (Ç3) and July (A7) capacity products </w:t>
      </w:r>
      <w:r w:rsidRPr="00731F8E">
        <w:rPr>
          <w:rFonts w:ascii="Times New Roman" w:hAnsi="Times New Roman"/>
          <w:b/>
        </w:rPr>
        <w:t>through the Kıyıköy Entry Point</w:t>
      </w:r>
      <w:r w:rsidRPr="00731F8E">
        <w:rPr>
          <w:rFonts w:ascii="Times New Roman" w:hAnsi="Times New Roman"/>
        </w:rPr>
        <w:t xml:space="preserve">, was entitled to make a spot capacity reservation by notifying an amount of 6.766.000 </w:t>
      </w:r>
      <w:r w:rsidRPr="00731F8E">
        <w:rPr>
          <w:rFonts w:ascii="Times New Roman" w:hAnsi="Times New Roman"/>
          <w:b/>
        </w:rPr>
        <w:t xml:space="preserve">m3/day for the quarterly capacity and 4.902.000 m3/day </w:t>
      </w:r>
      <w:r w:rsidRPr="00731F8E">
        <w:rPr>
          <w:rFonts w:ascii="Times New Roman" w:hAnsi="Times New Roman"/>
        </w:rPr>
        <w:t>for the monthly capacity.</w:t>
      </w:r>
    </w:p>
    <w:p w14:paraId="34C270A9" w14:textId="77777777" w:rsidR="004C0A79" w:rsidRPr="00731F8E" w:rsidRDefault="004C0A79" w:rsidP="004C0A79">
      <w:pPr>
        <w:pStyle w:val="GvdeMetni"/>
        <w:rPr>
          <w:rFonts w:cs="Times New Roman"/>
          <w:i/>
          <w:szCs w:val="22"/>
        </w:rPr>
      </w:pPr>
    </w:p>
    <w:p w14:paraId="2268CEED" w14:textId="77777777" w:rsidR="004C0A79" w:rsidRPr="00731F8E" w:rsidRDefault="004C0A79" w:rsidP="00A86526">
      <w:pPr>
        <w:pStyle w:val="ListeParagraf"/>
        <w:widowControl w:val="0"/>
        <w:numPr>
          <w:ilvl w:val="0"/>
          <w:numId w:val="76"/>
        </w:numPr>
        <w:tabs>
          <w:tab w:val="left" w:pos="477"/>
          <w:tab w:val="left" w:pos="479"/>
        </w:tabs>
        <w:autoSpaceDE w:val="0"/>
        <w:autoSpaceDN w:val="0"/>
        <w:spacing w:before="1" w:after="0" w:line="240" w:lineRule="auto"/>
        <w:ind w:left="479" w:right="118"/>
        <w:contextualSpacing w:val="0"/>
        <w:rPr>
          <w:rFonts w:ascii="Times New Roman" w:hAnsi="Times New Roman"/>
        </w:rPr>
      </w:pPr>
      <w:r w:rsidRPr="00731F8E">
        <w:rPr>
          <w:rFonts w:ascii="Times New Roman" w:hAnsi="Times New Roman"/>
        </w:rPr>
        <w:t>2022/8</w:t>
      </w:r>
      <w:r w:rsidRPr="00731F8E">
        <w:rPr>
          <w:rFonts w:ascii="Times New Roman" w:hAnsi="Times New Roman"/>
          <w:b/>
        </w:rPr>
        <w:t xml:space="preserve">: Within the scope of the Demand Call text (2022/8) prepared for the August 2022 Gas Year (A8) </w:t>
      </w:r>
      <w:r w:rsidRPr="00731F8E">
        <w:rPr>
          <w:rFonts w:ascii="Times New Roman" w:hAnsi="Times New Roman"/>
        </w:rPr>
        <w:t xml:space="preserve">spot capacity products and adopted by the Board Decision dated 06/07/2022 and numbered 11060- 1, as a result of the demand collection carried out on 22 July 2022, </w:t>
      </w:r>
      <w:r w:rsidRPr="00731F8E">
        <w:rPr>
          <w:rFonts w:ascii="Times New Roman" w:hAnsi="Times New Roman"/>
          <w:b/>
        </w:rPr>
        <w:t>BOTAŞ</w:t>
      </w:r>
      <w:r w:rsidRPr="00731F8E">
        <w:rPr>
          <w:rFonts w:ascii="Times New Roman" w:hAnsi="Times New Roman"/>
        </w:rPr>
        <w:t xml:space="preserve">, the holder of the Import (Spot) License numbered DİT/7624-2/432, who applied for the August (A8) capacity product </w:t>
      </w:r>
      <w:r w:rsidRPr="00731F8E">
        <w:rPr>
          <w:rFonts w:ascii="Times New Roman" w:hAnsi="Times New Roman"/>
          <w:b/>
        </w:rPr>
        <w:t>through Kıyıköy Entry Point</w:t>
      </w:r>
      <w:r w:rsidRPr="00731F8E">
        <w:rPr>
          <w:rFonts w:ascii="Times New Roman" w:hAnsi="Times New Roman"/>
        </w:rPr>
        <w:t>, was entitled to make a spot capacity reservation by notifying an amount of 4,809,000 m3/day.</w:t>
      </w:r>
    </w:p>
    <w:p w14:paraId="29D7112C" w14:textId="77777777" w:rsidR="004C0A79" w:rsidRPr="00731F8E" w:rsidRDefault="004C0A79" w:rsidP="00A86526">
      <w:pPr>
        <w:pStyle w:val="ListeParagraf"/>
        <w:widowControl w:val="0"/>
        <w:numPr>
          <w:ilvl w:val="0"/>
          <w:numId w:val="76"/>
        </w:numPr>
        <w:tabs>
          <w:tab w:val="left" w:pos="479"/>
        </w:tabs>
        <w:autoSpaceDE w:val="0"/>
        <w:autoSpaceDN w:val="0"/>
        <w:spacing w:before="267" w:after="0" w:line="240" w:lineRule="auto"/>
        <w:ind w:left="479" w:right="119" w:hanging="360"/>
        <w:contextualSpacing w:val="0"/>
        <w:rPr>
          <w:rFonts w:ascii="Times New Roman" w:hAnsi="Times New Roman"/>
        </w:rPr>
      </w:pPr>
      <w:r w:rsidRPr="00731F8E">
        <w:rPr>
          <w:rFonts w:ascii="Times New Roman" w:hAnsi="Times New Roman"/>
        </w:rPr>
        <w:t>2022/9</w:t>
      </w:r>
      <w:r w:rsidRPr="00731F8E">
        <w:rPr>
          <w:rFonts w:ascii="Times New Roman" w:hAnsi="Times New Roman"/>
          <w:b/>
        </w:rPr>
        <w:t>: As a result of the book collection held on 25 August 2022, within the scope of the Call for Demand text (2022/9) prepared for the spot capacity products of September 2022 Gas Year (A9</w:t>
      </w:r>
      <w:r w:rsidRPr="00731F8E">
        <w:rPr>
          <w:rFonts w:ascii="Times New Roman" w:hAnsi="Times New Roman"/>
        </w:rPr>
        <w:t xml:space="preserve">) and accepted by the Board Decision numbered 11117-5 dated 11/08/2022, </w:t>
      </w:r>
      <w:r w:rsidRPr="00731F8E">
        <w:rPr>
          <w:rFonts w:ascii="Times New Roman" w:hAnsi="Times New Roman"/>
          <w:b/>
        </w:rPr>
        <w:t>Kıyıköy BOTAŞ, the owner of the Import (Spot) License numbered DİT/7624-2/432, who applied for the September (A9) capacity product through the Entry Point</w:t>
      </w:r>
      <w:r w:rsidRPr="00731F8E">
        <w:rPr>
          <w:rFonts w:ascii="Times New Roman" w:hAnsi="Times New Roman"/>
        </w:rPr>
        <w:t xml:space="preserve">, was entitled to make a spot capacity reservation by notifying an amount of 4,809,000 </w:t>
      </w:r>
      <w:r w:rsidRPr="00731F8E">
        <w:rPr>
          <w:rFonts w:ascii="Times New Roman" w:hAnsi="Times New Roman"/>
          <w:b/>
        </w:rPr>
        <w:t>m3/day</w:t>
      </w:r>
      <w:r w:rsidRPr="00731F8E">
        <w:rPr>
          <w:rFonts w:ascii="Times New Roman" w:hAnsi="Times New Roman"/>
        </w:rPr>
        <w:t>.</w:t>
      </w:r>
    </w:p>
    <w:p w14:paraId="3ABA8BDE" w14:textId="77777777" w:rsidR="004C0A79" w:rsidRPr="00731F8E" w:rsidRDefault="004C0A79" w:rsidP="00A86526">
      <w:pPr>
        <w:pStyle w:val="ListeParagraf"/>
        <w:widowControl w:val="0"/>
        <w:numPr>
          <w:ilvl w:val="0"/>
          <w:numId w:val="76"/>
        </w:numPr>
        <w:tabs>
          <w:tab w:val="left" w:pos="479"/>
        </w:tabs>
        <w:autoSpaceDE w:val="0"/>
        <w:autoSpaceDN w:val="0"/>
        <w:spacing w:before="268" w:after="0" w:line="240" w:lineRule="auto"/>
        <w:ind w:left="479" w:right="118" w:hanging="360"/>
        <w:contextualSpacing w:val="0"/>
        <w:rPr>
          <w:rFonts w:ascii="Times New Roman" w:hAnsi="Times New Roman"/>
        </w:rPr>
      </w:pPr>
      <w:r w:rsidRPr="00731F8E">
        <w:rPr>
          <w:rFonts w:ascii="Times New Roman" w:hAnsi="Times New Roman"/>
        </w:rPr>
        <w:t>2022/10</w:t>
      </w:r>
      <w:r w:rsidRPr="00731F8E">
        <w:rPr>
          <w:rFonts w:ascii="Times New Roman" w:hAnsi="Times New Roman"/>
          <w:b/>
        </w:rPr>
        <w:t xml:space="preserve">: Within the scope of the Call for Request text (2022/10) prepared for the 2022 Gas Year Fourth Quarter (Q4) and October (A10) </w:t>
      </w:r>
      <w:r w:rsidRPr="00731F8E">
        <w:rPr>
          <w:rFonts w:ascii="Times New Roman" w:hAnsi="Times New Roman"/>
        </w:rPr>
        <w:t xml:space="preserve">spot capacity products and accepted by the Board Decision numbered 11182-2 dated 08/09/2022, on 23 September 2022 As a result of the demand collection, </w:t>
      </w:r>
      <w:r w:rsidRPr="00731F8E">
        <w:rPr>
          <w:rFonts w:ascii="Times New Roman" w:hAnsi="Times New Roman"/>
          <w:b/>
        </w:rPr>
        <w:t>BOTAŞ</w:t>
      </w:r>
      <w:r w:rsidRPr="00731F8E">
        <w:rPr>
          <w:rFonts w:ascii="Times New Roman" w:hAnsi="Times New Roman"/>
        </w:rPr>
        <w:t xml:space="preserve">, the owner of the Import (Spot) License numbered DİT/7624-2/432, which applied for the Fourth Quarter (Q4) and October (A10) capacity products </w:t>
      </w:r>
      <w:r w:rsidRPr="00731F8E">
        <w:rPr>
          <w:rFonts w:ascii="Times New Roman" w:hAnsi="Times New Roman"/>
          <w:b/>
        </w:rPr>
        <w:t>through the Kıyıköy Entry Point</w:t>
      </w:r>
      <w:r w:rsidRPr="00731F8E">
        <w:rPr>
          <w:rFonts w:ascii="Times New Roman" w:hAnsi="Times New Roman"/>
        </w:rPr>
        <w:t xml:space="preserve">, received 6,766,000 </w:t>
      </w:r>
      <w:r w:rsidRPr="00731F8E">
        <w:rPr>
          <w:rFonts w:ascii="Times New Roman" w:hAnsi="Times New Roman"/>
          <w:b/>
        </w:rPr>
        <w:t>m3/day</w:t>
      </w:r>
      <w:r w:rsidRPr="00731F8E">
        <w:rPr>
          <w:rFonts w:ascii="Times New Roman" w:hAnsi="Times New Roman"/>
        </w:rPr>
        <w:t xml:space="preserve"> for the quarterly capacity. It was entitled to make a spot capacity reservation by declaring a monthly capacity of 4,809,000 </w:t>
      </w:r>
      <w:r w:rsidRPr="00731F8E">
        <w:rPr>
          <w:rFonts w:ascii="Times New Roman" w:hAnsi="Times New Roman"/>
          <w:b/>
        </w:rPr>
        <w:t>m3/day</w:t>
      </w:r>
      <w:r w:rsidRPr="00731F8E">
        <w:rPr>
          <w:rFonts w:ascii="Times New Roman" w:hAnsi="Times New Roman"/>
        </w:rPr>
        <w:t xml:space="preserve">.However, ALEPH </w:t>
      </w:r>
      <w:r w:rsidRPr="00731F8E">
        <w:rPr>
          <w:rFonts w:ascii="Times New Roman" w:hAnsi="Times New Roman"/>
          <w:b/>
        </w:rPr>
        <w:t>A.Ş., the holder of the DİT/10408-1/516 numbered Import (Spot) License, applied for the October (A10) spot capacity product through Gürbulak Entry Point</w:t>
      </w:r>
      <w:r w:rsidRPr="00731F8E">
        <w:rPr>
          <w:rFonts w:ascii="Times New Roman" w:hAnsi="Times New Roman"/>
        </w:rPr>
        <w:t>, but the document subject to the application was rejected due to its non-compliance with the Procedures and Principles and the provisions of the Request Call text (2022/10), and the said Company could not be entitled to participate in the demand collection phase.</w:t>
      </w:r>
    </w:p>
    <w:p w14:paraId="2194970C" w14:textId="77777777" w:rsidR="004C0A79" w:rsidRPr="00731F8E" w:rsidRDefault="004C0A79" w:rsidP="004C0A79">
      <w:pPr>
        <w:pStyle w:val="GvdeMetni"/>
        <w:rPr>
          <w:rFonts w:cs="Times New Roman"/>
          <w:i/>
          <w:szCs w:val="22"/>
        </w:rPr>
      </w:pPr>
    </w:p>
    <w:p w14:paraId="5C736134" w14:textId="77777777" w:rsidR="004C0A79" w:rsidRPr="00731F8E" w:rsidRDefault="004C0A79" w:rsidP="00A86526">
      <w:pPr>
        <w:pStyle w:val="ListeParagraf"/>
        <w:widowControl w:val="0"/>
        <w:numPr>
          <w:ilvl w:val="0"/>
          <w:numId w:val="76"/>
        </w:numPr>
        <w:tabs>
          <w:tab w:val="left" w:pos="477"/>
          <w:tab w:val="left" w:pos="479"/>
        </w:tabs>
        <w:autoSpaceDE w:val="0"/>
        <w:autoSpaceDN w:val="0"/>
        <w:spacing w:after="0" w:line="240" w:lineRule="auto"/>
        <w:ind w:left="479" w:right="120"/>
        <w:contextualSpacing w:val="0"/>
        <w:rPr>
          <w:rFonts w:ascii="Times New Roman" w:hAnsi="Times New Roman"/>
        </w:rPr>
      </w:pPr>
      <w:r w:rsidRPr="00731F8E">
        <w:rPr>
          <w:rFonts w:ascii="Times New Roman" w:hAnsi="Times New Roman"/>
        </w:rPr>
        <w:t>2022/11</w:t>
      </w:r>
      <w:r w:rsidRPr="00731F8E">
        <w:rPr>
          <w:rFonts w:ascii="Times New Roman" w:hAnsi="Times New Roman"/>
          <w:b/>
        </w:rPr>
        <w:t>: The request was made on 24 October 2022, within the scope of the Request Call text (2022/11) prepared for 2022 Gas Year November (A11</w:t>
      </w:r>
      <w:r w:rsidRPr="00731F8E">
        <w:rPr>
          <w:rFonts w:ascii="Times New Roman" w:hAnsi="Times New Roman"/>
        </w:rPr>
        <w:t xml:space="preserve">) spot capacity products and accepted by the Board Decision No. 11278-3 dated 06/10/2022. As a result of the collection, </w:t>
      </w:r>
      <w:r w:rsidRPr="00731F8E">
        <w:rPr>
          <w:rFonts w:ascii="Times New Roman" w:hAnsi="Times New Roman"/>
          <w:b/>
        </w:rPr>
        <w:t>BOTAŞ</w:t>
      </w:r>
      <w:r w:rsidRPr="00731F8E">
        <w:rPr>
          <w:rFonts w:ascii="Times New Roman" w:hAnsi="Times New Roman"/>
        </w:rPr>
        <w:t xml:space="preserve">, the owner of the Import (Spot) License numbered DİT/7624-2/432, who applied for the November (A11) capacity product </w:t>
      </w:r>
      <w:r w:rsidRPr="00731F8E">
        <w:rPr>
          <w:rFonts w:ascii="Times New Roman" w:hAnsi="Times New Roman"/>
          <w:b/>
        </w:rPr>
        <w:t>through the Kıyıköy Entry Point</w:t>
      </w:r>
      <w:r w:rsidRPr="00731F8E">
        <w:rPr>
          <w:rFonts w:ascii="Times New Roman" w:hAnsi="Times New Roman"/>
        </w:rPr>
        <w:t xml:space="preserve">, was entitled to make a spot capacity reservation by declaring an amount of 4,809,000 m3/day. </w:t>
      </w:r>
    </w:p>
    <w:p w14:paraId="5164EA6C" w14:textId="77777777" w:rsidR="004C0A79" w:rsidRPr="00731F8E" w:rsidRDefault="004C0A79" w:rsidP="004C0A79">
      <w:pPr>
        <w:pStyle w:val="GvdeMetni"/>
        <w:spacing w:before="21"/>
        <w:rPr>
          <w:rFonts w:cs="Times New Roman"/>
          <w:i/>
          <w:szCs w:val="22"/>
        </w:rPr>
      </w:pPr>
    </w:p>
    <w:p w14:paraId="2782059B" w14:textId="77777777" w:rsidR="004C0A79" w:rsidRPr="00731F8E" w:rsidRDefault="004C0A79" w:rsidP="004C0A79">
      <w:pPr>
        <w:ind w:left="142"/>
        <w:rPr>
          <w:rFonts w:ascii="Times New Roman" w:hAnsi="Times New Roman"/>
        </w:rPr>
      </w:pPr>
      <w:r w:rsidRPr="00731F8E">
        <w:rPr>
          <w:rFonts w:ascii="Times New Roman" w:hAnsi="Times New Roman"/>
        </w:rPr>
        <w:t xml:space="preserve">•   2022/12: </w:t>
      </w:r>
      <w:r w:rsidRPr="00731F8E">
        <w:rPr>
          <w:rFonts w:ascii="Times New Roman" w:hAnsi="Times New Roman"/>
          <w:b/>
        </w:rPr>
        <w:t>Within the scope of the Request Call text (2022/12) prepared for 2022 Gas Year December (A12)</w:t>
      </w:r>
      <w:r w:rsidRPr="00731F8E">
        <w:rPr>
          <w:rFonts w:ascii="Times New Roman" w:hAnsi="Times New Roman"/>
        </w:rPr>
        <w:t xml:space="preserve">   spot capacity products and accepted by the Board Decision dated 10/11/2022 and numbered 11374-12, December (A12) As a result of the book collection held on November 24, 2022 for the capacity product; </w:t>
      </w:r>
      <w:r w:rsidRPr="00731F8E">
        <w:rPr>
          <w:rFonts w:ascii="Times New Roman" w:hAnsi="Times New Roman"/>
          <w:b/>
        </w:rPr>
        <w:t>BOTAŞ 4,809,000 m3/</w:t>
      </w:r>
      <w:r w:rsidRPr="00731F8E">
        <w:rPr>
          <w:rFonts w:ascii="Times New Roman" w:hAnsi="Times New Roman"/>
        </w:rPr>
        <w:t xml:space="preserve">day Import (Spot) License holder, numbered DİT/7624-2/432, who applied </w:t>
      </w:r>
      <w:r w:rsidRPr="00731F8E">
        <w:rPr>
          <w:rFonts w:ascii="Times New Roman" w:hAnsi="Times New Roman"/>
          <w:b/>
        </w:rPr>
        <w:t>through Kıyıköy Entry Point,</w:t>
      </w:r>
      <w:r w:rsidRPr="00731F8E">
        <w:rPr>
          <w:rFonts w:ascii="Times New Roman" w:hAnsi="Times New Roman"/>
        </w:rPr>
        <w:t xml:space="preserve"> and Import (Spot) License holder, numbered DİT/9289-2/497, applied via Türkgözü Entry Point. </w:t>
      </w:r>
      <w:r w:rsidRPr="00731F8E">
        <w:rPr>
          <w:rFonts w:ascii="Times New Roman" w:hAnsi="Times New Roman"/>
          <w:b/>
        </w:rPr>
        <w:t xml:space="preserve">SOCAR Enerji Ticaret A.Ş. </w:t>
      </w:r>
      <w:r w:rsidRPr="00731F8E">
        <w:rPr>
          <w:rFonts w:ascii="Times New Roman" w:hAnsi="Times New Roman"/>
        </w:rPr>
        <w:t xml:space="preserve">ALEPH A.Ş., holder of the Import (Spot) License numbered DİT/10408-1/516, with a capacity of </w:t>
      </w:r>
      <w:r w:rsidRPr="00731F8E">
        <w:rPr>
          <w:rFonts w:ascii="Times New Roman" w:hAnsi="Times New Roman"/>
        </w:rPr>
        <w:lastRenderedPageBreak/>
        <w:t xml:space="preserve">5,000,000 m3/day, applied </w:t>
      </w:r>
      <w:r w:rsidRPr="00731F8E">
        <w:rPr>
          <w:rFonts w:ascii="Times New Roman" w:hAnsi="Times New Roman"/>
          <w:b/>
        </w:rPr>
        <w:t>through the Gürbulak Entry Point</w:t>
      </w:r>
      <w:r w:rsidRPr="00731F8E">
        <w:rPr>
          <w:rFonts w:ascii="Times New Roman" w:hAnsi="Times New Roman"/>
        </w:rPr>
        <w:t xml:space="preserve">. They were entitled to make a spot capacity reservation by declaring a quantity of </w:t>
      </w:r>
      <w:r w:rsidRPr="00731F8E">
        <w:rPr>
          <w:rFonts w:ascii="Times New Roman" w:hAnsi="Times New Roman"/>
          <w:b/>
        </w:rPr>
        <w:t>1,500,000 m3/day</w:t>
      </w:r>
      <w:r w:rsidRPr="00731F8E">
        <w:rPr>
          <w:rFonts w:ascii="Times New Roman" w:hAnsi="Times New Roman"/>
        </w:rPr>
        <w:t>.</w:t>
      </w:r>
    </w:p>
    <w:p w14:paraId="421DD304" w14:textId="77777777" w:rsidR="004C0A79" w:rsidRPr="00731F8E" w:rsidRDefault="004C0A79" w:rsidP="004C0A79">
      <w:pPr>
        <w:ind w:left="142"/>
        <w:rPr>
          <w:rFonts w:ascii="Times New Roman" w:hAnsi="Times New Roman"/>
        </w:rPr>
      </w:pPr>
    </w:p>
    <w:p w14:paraId="0D3513C7" w14:textId="77777777" w:rsidR="004C0A79" w:rsidRPr="00731F8E" w:rsidRDefault="004C0A79" w:rsidP="004C0A79">
      <w:pPr>
        <w:rPr>
          <w:rFonts w:ascii="Times New Roman" w:hAnsi="Times New Roman"/>
          <w:b/>
        </w:rPr>
      </w:pPr>
      <w:r w:rsidRPr="00731F8E">
        <w:rPr>
          <w:rFonts w:ascii="Times New Roman" w:hAnsi="Times New Roman"/>
          <w:b/>
        </w:rPr>
        <w:t>Information on Natural Gas Distribution License Tenders;</w:t>
      </w:r>
    </w:p>
    <w:p w14:paraId="48446C2B" w14:textId="77777777" w:rsidR="004C0A79" w:rsidRPr="00731F8E" w:rsidRDefault="004C0A79" w:rsidP="00A86526">
      <w:pPr>
        <w:pStyle w:val="ListeParagraf"/>
        <w:widowControl w:val="0"/>
        <w:numPr>
          <w:ilvl w:val="1"/>
          <w:numId w:val="76"/>
        </w:numPr>
        <w:tabs>
          <w:tab w:val="left" w:pos="1184"/>
        </w:tabs>
        <w:autoSpaceDE w:val="0"/>
        <w:autoSpaceDN w:val="0"/>
        <w:spacing w:before="159" w:after="0" w:line="268" w:lineRule="auto"/>
        <w:ind w:right="121"/>
        <w:contextualSpacing w:val="0"/>
        <w:rPr>
          <w:rFonts w:ascii="Times New Roman" w:hAnsi="Times New Roman"/>
        </w:rPr>
      </w:pPr>
      <w:r w:rsidRPr="00731F8E">
        <w:rPr>
          <w:rFonts w:ascii="Times New Roman" w:hAnsi="Times New Roman"/>
        </w:rPr>
        <w:t>In the period from 2001 until today, when the Natural Gas Market Law No. 4646 was published, the dissemination of natural gas and natural gas distribution activities were carried out by the private sector with the urban natural gas distribution license tenders carried out within the framework of the provisions of the Law and secondary legislation.</w:t>
      </w:r>
    </w:p>
    <w:p w14:paraId="03F69447" w14:textId="77777777" w:rsidR="004C0A79" w:rsidRPr="00731F8E" w:rsidRDefault="004C0A79" w:rsidP="004C0A79">
      <w:pPr>
        <w:pStyle w:val="GvdeMetni"/>
        <w:spacing w:before="33"/>
        <w:rPr>
          <w:rFonts w:cs="Times New Roman"/>
          <w:i/>
          <w:szCs w:val="22"/>
        </w:rPr>
      </w:pPr>
    </w:p>
    <w:p w14:paraId="25A3156D" w14:textId="77777777" w:rsidR="004C0A79" w:rsidRPr="00731F8E" w:rsidRDefault="004C0A79" w:rsidP="00A86526">
      <w:pPr>
        <w:pStyle w:val="ListeParagraf"/>
        <w:widowControl w:val="0"/>
        <w:numPr>
          <w:ilvl w:val="1"/>
          <w:numId w:val="76"/>
        </w:numPr>
        <w:tabs>
          <w:tab w:val="left" w:pos="1184"/>
        </w:tabs>
        <w:autoSpaceDE w:val="0"/>
        <w:autoSpaceDN w:val="0"/>
        <w:spacing w:after="0" w:line="268" w:lineRule="auto"/>
        <w:ind w:right="121"/>
        <w:contextualSpacing w:val="0"/>
        <w:rPr>
          <w:rFonts w:ascii="Times New Roman" w:hAnsi="Times New Roman"/>
        </w:rPr>
      </w:pPr>
      <w:r w:rsidRPr="00731F8E">
        <w:rPr>
          <w:rFonts w:ascii="Times New Roman" w:hAnsi="Times New Roman"/>
        </w:rPr>
        <w:t>In accordance with the law, the urban natural gas distribution service is carried out by the company that won the tender opened by EMRA and received the distribution license. The bids submitted by the companies are evaluated over the unit service and depreciation fee given as a single price for the presentation of one kWh of natural gas according to the procedures and principles specified in the relevant legislation.</w:t>
      </w:r>
    </w:p>
    <w:p w14:paraId="7C79C1D3" w14:textId="77777777" w:rsidR="004C0A79" w:rsidRPr="00731F8E" w:rsidRDefault="004C0A79" w:rsidP="004C0A79">
      <w:pPr>
        <w:pStyle w:val="GvdeMetni"/>
        <w:spacing w:before="34"/>
        <w:rPr>
          <w:rFonts w:cs="Times New Roman"/>
          <w:i/>
          <w:szCs w:val="22"/>
        </w:rPr>
      </w:pPr>
    </w:p>
    <w:p w14:paraId="660DA393" w14:textId="77777777" w:rsidR="004C0A79" w:rsidRPr="00731F8E" w:rsidRDefault="004C0A79" w:rsidP="00A86526">
      <w:pPr>
        <w:pStyle w:val="ListeParagraf"/>
        <w:widowControl w:val="0"/>
        <w:numPr>
          <w:ilvl w:val="1"/>
          <w:numId w:val="76"/>
        </w:numPr>
        <w:tabs>
          <w:tab w:val="left" w:pos="1184"/>
        </w:tabs>
        <w:autoSpaceDE w:val="0"/>
        <w:autoSpaceDN w:val="0"/>
        <w:spacing w:after="0" w:line="268" w:lineRule="auto"/>
        <w:ind w:right="120"/>
        <w:contextualSpacing w:val="0"/>
        <w:rPr>
          <w:rFonts w:ascii="Times New Roman" w:hAnsi="Times New Roman"/>
        </w:rPr>
      </w:pPr>
      <w:r w:rsidRPr="00731F8E">
        <w:rPr>
          <w:rFonts w:ascii="Times New Roman" w:hAnsi="Times New Roman"/>
        </w:rPr>
        <w:t>As a result of the tenders made by EMRA within the scope of the Natural Gas Market Law No. 4646 and the distribution licenses granted before the Law, the use of natural gas has already started in 81 provinces and 749 districts and towns. The tenders for the delivery of natural gas to Artvin, Hakkari and Şırnak provinces, which were unsuccessful despite the tender in previous years in line with the goal of expanding the use of natural gas throughout the country, were held in March 2017 and concluded successfully. Currently, licensing procedures have been completed and natural gas supply has been carried out in these provinces in 2018. Thus, the use of natural gas has already been enabled in 81 provinces.</w:t>
      </w:r>
    </w:p>
    <w:p w14:paraId="34493C35" w14:textId="77777777" w:rsidR="004C0A79" w:rsidRPr="00731F8E" w:rsidRDefault="004C0A79" w:rsidP="004C0A79">
      <w:pPr>
        <w:pStyle w:val="GvdeMetni"/>
        <w:spacing w:before="35"/>
        <w:rPr>
          <w:rFonts w:cs="Times New Roman"/>
          <w:i/>
          <w:szCs w:val="22"/>
        </w:rPr>
      </w:pPr>
    </w:p>
    <w:p w14:paraId="7897961E" w14:textId="77777777" w:rsidR="004C0A79" w:rsidRPr="00731F8E" w:rsidRDefault="004C0A79" w:rsidP="00A86526">
      <w:pPr>
        <w:pStyle w:val="ListeParagraf"/>
        <w:widowControl w:val="0"/>
        <w:numPr>
          <w:ilvl w:val="1"/>
          <w:numId w:val="76"/>
        </w:numPr>
        <w:tabs>
          <w:tab w:val="left" w:pos="1184"/>
        </w:tabs>
        <w:autoSpaceDE w:val="0"/>
        <w:autoSpaceDN w:val="0"/>
        <w:spacing w:after="0" w:line="268" w:lineRule="auto"/>
        <w:ind w:right="120"/>
        <w:contextualSpacing w:val="0"/>
        <w:rPr>
          <w:rFonts w:ascii="Times New Roman" w:hAnsi="Times New Roman"/>
        </w:rPr>
      </w:pPr>
      <w:r w:rsidRPr="00731F8E">
        <w:rPr>
          <w:rFonts w:ascii="Times New Roman" w:hAnsi="Times New Roman"/>
        </w:rPr>
        <w:t>In line with the aim of expanding the use of natural gas throughout the country, the necessary studies are carried out within the scope of the Decisions of the Council of Ministers taken in order to deliver natural gas to our districts with a central population of 10 thousand and over 20 thousand, which are outside the scope of the existing natural gas distribution region license, and the processes and investment processes of the said districts are followed. A total of 72 "Natural Gas Distribution Licenses" have already been issued within the framework of the relevant legislation, together with 7 distribution companies that carried out their activities before the Law No. 4646 and 65 distribution companies that were granted licenses as a result of the tenders made by the Authority.</w:t>
      </w:r>
    </w:p>
    <w:p w14:paraId="6A66E712" w14:textId="77777777" w:rsidR="004C0A79" w:rsidRPr="00731F8E" w:rsidRDefault="004C0A79" w:rsidP="004C0A79">
      <w:pPr>
        <w:pStyle w:val="GvdeMetni"/>
        <w:spacing w:before="36"/>
        <w:rPr>
          <w:rFonts w:cs="Times New Roman"/>
          <w:i/>
          <w:szCs w:val="22"/>
        </w:rPr>
      </w:pPr>
    </w:p>
    <w:p w14:paraId="08BB8638" w14:textId="77777777" w:rsidR="004C0A79" w:rsidRPr="00731F8E" w:rsidRDefault="004C0A79" w:rsidP="00A86526">
      <w:pPr>
        <w:pStyle w:val="ListeParagraf"/>
        <w:widowControl w:val="0"/>
        <w:numPr>
          <w:ilvl w:val="1"/>
          <w:numId w:val="76"/>
        </w:numPr>
        <w:tabs>
          <w:tab w:val="left" w:pos="1184"/>
        </w:tabs>
        <w:autoSpaceDE w:val="0"/>
        <w:autoSpaceDN w:val="0"/>
        <w:spacing w:after="0" w:line="268" w:lineRule="auto"/>
        <w:ind w:right="123"/>
        <w:contextualSpacing w:val="0"/>
        <w:rPr>
          <w:rFonts w:ascii="Times New Roman" w:hAnsi="Times New Roman"/>
        </w:rPr>
      </w:pPr>
      <w:r w:rsidRPr="00731F8E">
        <w:rPr>
          <w:rFonts w:ascii="Times New Roman" w:hAnsi="Times New Roman"/>
        </w:rPr>
        <w:t>Natural gas distribution is carried out by the private sector in all distribution regions except Istanbul Gaz Dağıtım Sanayi ve Ticaret Anonim Şirketi (İGDAŞ).</w:t>
      </w:r>
    </w:p>
    <w:p w14:paraId="1D18BC4E" w14:textId="77777777" w:rsidR="004C0A79" w:rsidRPr="00731F8E" w:rsidRDefault="004C0A79" w:rsidP="004C0A79">
      <w:pPr>
        <w:spacing w:line="268" w:lineRule="auto"/>
        <w:rPr>
          <w:rFonts w:ascii="Times New Roman" w:hAnsi="Times New Roman"/>
        </w:rPr>
        <w:sectPr w:rsidR="004C0A79" w:rsidRPr="00731F8E">
          <w:pgSz w:w="11910" w:h="16840"/>
          <w:pgMar w:top="1360" w:right="440" w:bottom="280" w:left="1300" w:header="720" w:footer="720" w:gutter="0"/>
          <w:cols w:space="720"/>
        </w:sectPr>
      </w:pPr>
    </w:p>
    <w:p w14:paraId="58FCCB62" w14:textId="77777777" w:rsidR="004C0A79" w:rsidRPr="00553C3F" w:rsidRDefault="004C0A79" w:rsidP="004C0A79">
      <w:pPr>
        <w:tabs>
          <w:tab w:val="left" w:pos="546"/>
        </w:tabs>
        <w:spacing w:before="37"/>
        <w:ind w:left="115"/>
        <w:rPr>
          <w:rFonts w:ascii="Times New Roman" w:hAnsi="Times New Roman"/>
          <w:b/>
        </w:rPr>
      </w:pPr>
      <w:bookmarkStart w:id="48" w:name="2.4.__Petrol_Piyasası_Mevzuatı"/>
      <w:bookmarkEnd w:id="48"/>
      <w:r>
        <w:rPr>
          <w:rFonts w:ascii="Times New Roman" w:hAnsi="Times New Roman"/>
          <w:b/>
        </w:rPr>
        <w:lastRenderedPageBreak/>
        <w:t xml:space="preserve">2.4. </w:t>
      </w:r>
      <w:r w:rsidRPr="00553C3F">
        <w:rPr>
          <w:rFonts w:ascii="Times New Roman" w:hAnsi="Times New Roman"/>
          <w:b/>
        </w:rPr>
        <w:t xml:space="preserve">Petroleum Market Legislation </w:t>
      </w:r>
    </w:p>
    <w:p w14:paraId="751360A4" w14:textId="77777777" w:rsidR="004C0A79" w:rsidRPr="00731F8E" w:rsidRDefault="004C0A79" w:rsidP="004C0A79">
      <w:pPr>
        <w:pStyle w:val="GvdeMetni"/>
        <w:spacing w:before="12"/>
        <w:rPr>
          <w:rFonts w:cs="Times New Roman"/>
          <w:i/>
          <w:szCs w:val="22"/>
        </w:rPr>
      </w:pPr>
    </w:p>
    <w:p w14:paraId="036F5EF4" w14:textId="77777777" w:rsidR="004C0A79" w:rsidRPr="00731F8E" w:rsidRDefault="004C0A79" w:rsidP="00A86526">
      <w:pPr>
        <w:pStyle w:val="Balk1"/>
        <w:keepNext w:val="0"/>
        <w:keepLines w:val="0"/>
        <w:widowControl w:val="0"/>
        <w:numPr>
          <w:ilvl w:val="2"/>
          <w:numId w:val="75"/>
        </w:numPr>
        <w:tabs>
          <w:tab w:val="left" w:pos="724"/>
        </w:tabs>
        <w:autoSpaceDE w:val="0"/>
        <w:autoSpaceDN w:val="0"/>
        <w:spacing w:before="0" w:after="0" w:line="240" w:lineRule="auto"/>
        <w:ind w:left="724" w:hanging="608"/>
        <w:jc w:val="left"/>
        <w:rPr>
          <w:rFonts w:ascii="Times New Roman" w:hAnsi="Times New Roman" w:cs="Times New Roman"/>
          <w:szCs w:val="22"/>
        </w:rPr>
      </w:pPr>
      <w:bookmarkStart w:id="49" w:name="2.4.1.__Yönetmelikler"/>
      <w:bookmarkEnd w:id="49"/>
      <w:r w:rsidRPr="00731F8E">
        <w:rPr>
          <w:rFonts w:ascii="Times New Roman" w:hAnsi="Times New Roman" w:cs="Times New Roman"/>
          <w:szCs w:val="22"/>
        </w:rPr>
        <w:t>Regulations</w:t>
      </w:r>
    </w:p>
    <w:p w14:paraId="629A755B" w14:textId="77777777" w:rsidR="004C0A79" w:rsidRPr="00731F8E" w:rsidRDefault="004C0A79" w:rsidP="004C0A79">
      <w:pPr>
        <w:pStyle w:val="GvdeMetni"/>
        <w:spacing w:before="12"/>
        <w:rPr>
          <w:rFonts w:cs="Times New Roman"/>
          <w:b/>
          <w:i/>
          <w:szCs w:val="22"/>
        </w:rPr>
      </w:pPr>
    </w:p>
    <w:p w14:paraId="5A94FF2C" w14:textId="77777777" w:rsidR="004C0A79" w:rsidRPr="00731F8E" w:rsidRDefault="004C0A79" w:rsidP="004C0A79">
      <w:pPr>
        <w:spacing w:before="1"/>
        <w:ind w:left="115"/>
        <w:rPr>
          <w:rFonts w:ascii="Times New Roman" w:hAnsi="Times New Roman"/>
        </w:rPr>
      </w:pPr>
      <w:r w:rsidRPr="00731F8E">
        <w:rPr>
          <w:rFonts w:ascii="Times New Roman" w:hAnsi="Times New Roman"/>
        </w:rPr>
        <w:t>In 2022, the following Regulation studies were carried out in the Petroleum market:</w:t>
      </w:r>
    </w:p>
    <w:p w14:paraId="210E1008" w14:textId="77777777" w:rsidR="004C0A79" w:rsidRPr="00731F8E" w:rsidRDefault="004C0A79" w:rsidP="004C0A79">
      <w:pPr>
        <w:pStyle w:val="GvdeMetni"/>
        <w:spacing w:before="79"/>
        <w:rPr>
          <w:rFonts w:cs="Times New Roman"/>
          <w:i/>
          <w:szCs w:val="22"/>
        </w:rPr>
      </w:pPr>
    </w:p>
    <w:p w14:paraId="3389BC9A"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before="1" w:after="0"/>
        <w:ind w:right="975"/>
        <w:contextualSpacing w:val="0"/>
        <w:rPr>
          <w:rFonts w:ascii="Times New Roman" w:hAnsi="Times New Roman"/>
          <w:b/>
        </w:rPr>
      </w:pPr>
      <w:r w:rsidRPr="00731F8E">
        <w:rPr>
          <w:rFonts w:ascii="Times New Roman" w:hAnsi="Times New Roman"/>
        </w:rPr>
        <w:t xml:space="preserve">The following clause has been added to the first paragraph of Article 17 of the </w:t>
      </w:r>
      <w:r w:rsidRPr="00731F8E">
        <w:rPr>
          <w:rFonts w:ascii="Times New Roman" w:hAnsi="Times New Roman"/>
          <w:b/>
        </w:rPr>
        <w:t xml:space="preserve">Petroleum Market License </w:t>
      </w:r>
      <w:r w:rsidRPr="00731F8E">
        <w:rPr>
          <w:rFonts w:ascii="Times New Roman" w:hAnsi="Times New Roman"/>
        </w:rPr>
        <w:t>Regulation with the Amendment Regulation published in the Official Gazette dated 07.04.2022 and numbered 31802</w:t>
      </w:r>
      <w:r w:rsidRPr="00731F8E">
        <w:rPr>
          <w:rFonts w:ascii="Times New Roman" w:hAnsi="Times New Roman"/>
          <w:b/>
        </w:rPr>
        <w:t>.</w:t>
      </w:r>
    </w:p>
    <w:p w14:paraId="4615348A" w14:textId="77777777" w:rsidR="004C0A79" w:rsidRPr="00731F8E" w:rsidRDefault="004C0A79" w:rsidP="004C0A79">
      <w:pPr>
        <w:pStyle w:val="GvdeMetni"/>
        <w:spacing w:before="39"/>
        <w:rPr>
          <w:rFonts w:cs="Times New Roman"/>
          <w:b/>
          <w:i/>
          <w:szCs w:val="22"/>
        </w:rPr>
      </w:pPr>
    </w:p>
    <w:p w14:paraId="368D6EBF" w14:textId="77777777" w:rsidR="004C0A79" w:rsidRPr="00731F8E" w:rsidRDefault="004C0A79" w:rsidP="004C0A79">
      <w:pPr>
        <w:pStyle w:val="GvdeMetni"/>
        <w:spacing w:line="276" w:lineRule="auto"/>
        <w:ind w:left="1546" w:right="972"/>
        <w:rPr>
          <w:rFonts w:cs="Times New Roman"/>
          <w:szCs w:val="22"/>
        </w:rPr>
      </w:pPr>
      <w:r w:rsidRPr="00731F8E">
        <w:rPr>
          <w:rFonts w:cs="Times New Roman"/>
          <w:szCs w:val="22"/>
        </w:rPr>
        <w:t>"ı) If it is determined that the tax liability of the licensee has been canceled for any reason or similar situations that eliminate the tax liability,"</w:t>
      </w:r>
    </w:p>
    <w:p w14:paraId="6ADE5C57" w14:textId="77777777" w:rsidR="004C0A79" w:rsidRPr="00731F8E" w:rsidRDefault="004C0A79" w:rsidP="004C0A79">
      <w:pPr>
        <w:pStyle w:val="GvdeMetni"/>
        <w:spacing w:before="41"/>
        <w:rPr>
          <w:rFonts w:cs="Times New Roman"/>
          <w:szCs w:val="22"/>
        </w:rPr>
      </w:pPr>
    </w:p>
    <w:p w14:paraId="6F897654"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9" w:lineRule="auto"/>
        <w:ind w:right="974"/>
        <w:contextualSpacing w:val="0"/>
        <w:rPr>
          <w:rFonts w:ascii="Times New Roman" w:hAnsi="Times New Roman"/>
        </w:rPr>
      </w:pPr>
      <w:r w:rsidRPr="00731F8E">
        <w:rPr>
          <w:rFonts w:ascii="Times New Roman" w:hAnsi="Times New Roman"/>
        </w:rPr>
        <w:t xml:space="preserve">The following paragraph has been added to Article 16 </w:t>
      </w:r>
      <w:r w:rsidRPr="00731F8E">
        <w:rPr>
          <w:rFonts w:ascii="Times New Roman" w:hAnsi="Times New Roman"/>
          <w:b/>
        </w:rPr>
        <w:t xml:space="preserve">of the Petroleum Market License </w:t>
      </w:r>
      <w:r w:rsidRPr="00731F8E">
        <w:rPr>
          <w:rFonts w:ascii="Times New Roman" w:hAnsi="Times New Roman"/>
        </w:rPr>
        <w:t>Regulation with the Amendment Regulation published in the Official Gazette dated 28.07.2022 and numbered 31906.</w:t>
      </w:r>
    </w:p>
    <w:p w14:paraId="078D771F" w14:textId="77777777" w:rsidR="004C0A79" w:rsidRPr="00731F8E" w:rsidRDefault="004C0A79" w:rsidP="004C0A79">
      <w:pPr>
        <w:pStyle w:val="GvdeMetni"/>
        <w:spacing w:before="39"/>
        <w:rPr>
          <w:rFonts w:cs="Times New Roman"/>
          <w:i/>
          <w:szCs w:val="22"/>
        </w:rPr>
      </w:pPr>
    </w:p>
    <w:p w14:paraId="591F8473" w14:textId="77777777" w:rsidR="004C0A79" w:rsidRPr="00731F8E" w:rsidRDefault="004C0A79" w:rsidP="004C0A79">
      <w:pPr>
        <w:pStyle w:val="GvdeMetni"/>
        <w:spacing w:line="276" w:lineRule="auto"/>
        <w:ind w:left="1546" w:right="972"/>
        <w:rPr>
          <w:rFonts w:cs="Times New Roman"/>
          <w:szCs w:val="22"/>
        </w:rPr>
      </w:pPr>
      <w:r w:rsidRPr="00731F8E">
        <w:rPr>
          <w:rFonts w:cs="Times New Roman"/>
          <w:szCs w:val="22"/>
        </w:rPr>
        <w:t xml:space="preserve">Applications for dealership license extensions are concluded without applying the two-month period requirement in the second paragraph of this article, provided that the application documents are complete and meet the other conditions specified in the relevant legislation. In case of deficiency in any of the application documents or failure to meet any of the conditions specified in the relevant legislation, the application shall be returned. </w:t>
      </w:r>
    </w:p>
    <w:p w14:paraId="292925B7" w14:textId="77777777" w:rsidR="004C0A79" w:rsidRPr="00731F8E" w:rsidRDefault="004C0A79" w:rsidP="004C0A79">
      <w:pPr>
        <w:pStyle w:val="GvdeMetni"/>
        <w:spacing w:before="40"/>
        <w:rPr>
          <w:rFonts w:cs="Times New Roman"/>
          <w:szCs w:val="22"/>
        </w:rPr>
      </w:pPr>
    </w:p>
    <w:p w14:paraId="2A98B393"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9" w:lineRule="auto"/>
        <w:ind w:right="974"/>
        <w:contextualSpacing w:val="0"/>
        <w:rPr>
          <w:rFonts w:ascii="Times New Roman" w:hAnsi="Times New Roman"/>
        </w:rPr>
      </w:pPr>
      <w:r w:rsidRPr="00731F8E">
        <w:rPr>
          <w:rFonts w:ascii="Times New Roman" w:hAnsi="Times New Roman"/>
        </w:rPr>
        <w:t xml:space="preserve">The seventh paragraph of Article 19 of the Regulation on the Amendment Regulation published in the Official Gazette dated 23.09.2022 and numbered 31962 and </w:t>
      </w:r>
      <w:r w:rsidRPr="00731F8E">
        <w:rPr>
          <w:rFonts w:ascii="Times New Roman" w:hAnsi="Times New Roman"/>
          <w:b/>
        </w:rPr>
        <w:t xml:space="preserve">the Regulation on the Procedures and Principles to be Followed in the Audits to be Conducted in the Petroleum Market and Preliminary Investigations </w:t>
      </w:r>
      <w:r w:rsidRPr="00731F8E">
        <w:rPr>
          <w:rFonts w:ascii="Times New Roman" w:hAnsi="Times New Roman"/>
        </w:rPr>
        <w:t>and Investigations has been amended as follows.</w:t>
      </w:r>
    </w:p>
    <w:p w14:paraId="3F2DDCED" w14:textId="77777777" w:rsidR="004C0A79" w:rsidRPr="00731F8E" w:rsidRDefault="004C0A79" w:rsidP="004C0A79">
      <w:pPr>
        <w:pStyle w:val="GvdeMetni"/>
        <w:spacing w:before="40"/>
        <w:rPr>
          <w:rFonts w:cs="Times New Roman"/>
          <w:i/>
          <w:szCs w:val="22"/>
        </w:rPr>
      </w:pPr>
    </w:p>
    <w:p w14:paraId="5D8157B9" w14:textId="77777777" w:rsidR="004C0A79" w:rsidRPr="00731F8E" w:rsidRDefault="004C0A79" w:rsidP="004C0A79">
      <w:pPr>
        <w:pStyle w:val="GvdeMetni"/>
        <w:spacing w:line="276" w:lineRule="auto"/>
        <w:ind w:left="1546" w:right="971"/>
        <w:rPr>
          <w:rFonts w:cs="Times New Roman"/>
          <w:szCs w:val="22"/>
        </w:rPr>
      </w:pPr>
      <w:r w:rsidRPr="00731F8E">
        <w:rPr>
          <w:rFonts w:cs="Times New Roman"/>
          <w:szCs w:val="22"/>
        </w:rPr>
        <w:t>License cancellations are decided according to the results of the investigation to be made by the Authority. In the event that a final conviction decision is received from the courts regarding smuggling acts, including tax evasion crimes in Law No. 213, the procedures regarding the cancellation of the existing license shall be carried out by the relevant Department carrying out the license transactions without being subject to the provisions of this Regulation."</w:t>
      </w:r>
    </w:p>
    <w:p w14:paraId="460F3610" w14:textId="77777777" w:rsidR="004C0A79" w:rsidRPr="00731F8E" w:rsidRDefault="004C0A79" w:rsidP="00A86526">
      <w:pPr>
        <w:pStyle w:val="Balk1"/>
        <w:keepNext w:val="0"/>
        <w:keepLines w:val="0"/>
        <w:widowControl w:val="0"/>
        <w:numPr>
          <w:ilvl w:val="2"/>
          <w:numId w:val="75"/>
        </w:numPr>
        <w:tabs>
          <w:tab w:val="left" w:pos="771"/>
        </w:tabs>
        <w:autoSpaceDE w:val="0"/>
        <w:autoSpaceDN w:val="0"/>
        <w:spacing w:before="200" w:after="0" w:line="240" w:lineRule="auto"/>
        <w:ind w:left="771" w:hanging="655"/>
        <w:jc w:val="left"/>
        <w:rPr>
          <w:rFonts w:ascii="Times New Roman" w:hAnsi="Times New Roman" w:cs="Times New Roman"/>
          <w:szCs w:val="22"/>
        </w:rPr>
      </w:pPr>
      <w:bookmarkStart w:id="50" w:name="2.4.2.___Tebliğler"/>
      <w:bookmarkEnd w:id="50"/>
      <w:r w:rsidRPr="00731F8E">
        <w:rPr>
          <w:rFonts w:ascii="Times New Roman" w:hAnsi="Times New Roman" w:cs="Times New Roman"/>
          <w:szCs w:val="22"/>
        </w:rPr>
        <w:t xml:space="preserve">Communiqués </w:t>
      </w:r>
    </w:p>
    <w:p w14:paraId="5099E631" w14:textId="77777777" w:rsidR="004C0A79" w:rsidRPr="00731F8E" w:rsidRDefault="004C0A79" w:rsidP="004C0A79">
      <w:pPr>
        <w:pStyle w:val="GvdeMetni"/>
        <w:spacing w:before="10"/>
        <w:rPr>
          <w:rFonts w:cs="Times New Roman"/>
          <w:b/>
          <w:i/>
          <w:szCs w:val="22"/>
        </w:rPr>
      </w:pPr>
    </w:p>
    <w:p w14:paraId="3B20D299" w14:textId="77777777" w:rsidR="004C0A79" w:rsidRPr="00731F8E" w:rsidRDefault="004C0A79" w:rsidP="004C0A79">
      <w:pPr>
        <w:ind w:left="116"/>
        <w:rPr>
          <w:rFonts w:ascii="Times New Roman" w:hAnsi="Times New Roman"/>
        </w:rPr>
      </w:pPr>
      <w:r w:rsidRPr="00731F8E">
        <w:rPr>
          <w:rFonts w:ascii="Times New Roman" w:hAnsi="Times New Roman"/>
        </w:rPr>
        <w:t>In 2022, the following Communiqué studies were carried out in the Petroleum market:</w:t>
      </w:r>
    </w:p>
    <w:p w14:paraId="753C0787" w14:textId="77777777" w:rsidR="004C0A79" w:rsidRPr="00731F8E" w:rsidRDefault="004C0A79" w:rsidP="004C0A79">
      <w:pPr>
        <w:pStyle w:val="GvdeMetni"/>
        <w:spacing w:before="83"/>
        <w:rPr>
          <w:rFonts w:cs="Times New Roman"/>
          <w:i/>
          <w:szCs w:val="22"/>
        </w:rPr>
      </w:pPr>
    </w:p>
    <w:p w14:paraId="1AF9BEFB"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9" w:lineRule="auto"/>
        <w:ind w:right="971"/>
        <w:contextualSpacing w:val="0"/>
        <w:rPr>
          <w:rFonts w:ascii="Times New Roman" w:hAnsi="Times New Roman"/>
        </w:rPr>
      </w:pPr>
      <w:r w:rsidRPr="00731F8E">
        <w:rPr>
          <w:rFonts w:ascii="Times New Roman" w:hAnsi="Times New Roman"/>
        </w:rPr>
        <w:t>Published in the Official Gazette dated 28.12.2022 and numbered 32057, its purpose is to impose administrative fines regulated in Article 19 of the Petroleum Market Law numbered 5015, dated 4/12/2003, in the General Tax Procedure Law published in the Official Gazette dated 24/11/2022 and numbered 32023 Administrative fines to be applied in 2023 with the Communiqué No. 32057 dated 28.12.2022 upon the re-determination of the revaluation rate for 2022 by increasing it by 122.93% (one hundred twenty-two point ninety-three) in the Communiqué (Sequence No: 542) has been determined.</w:t>
      </w:r>
    </w:p>
    <w:p w14:paraId="7A205D40" w14:textId="77777777" w:rsidR="004C0A79" w:rsidRPr="00731F8E" w:rsidRDefault="004C0A79" w:rsidP="004C0A79">
      <w:pPr>
        <w:pStyle w:val="GvdeMetni"/>
        <w:spacing w:before="19"/>
        <w:rPr>
          <w:rFonts w:cs="Times New Roman"/>
          <w:i/>
          <w:szCs w:val="22"/>
        </w:rPr>
      </w:pPr>
    </w:p>
    <w:p w14:paraId="46A657B0"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6" w:lineRule="auto"/>
        <w:ind w:right="972"/>
        <w:contextualSpacing w:val="0"/>
        <w:rPr>
          <w:rFonts w:ascii="Times New Roman" w:hAnsi="Times New Roman"/>
        </w:rPr>
      </w:pPr>
      <w:r w:rsidRPr="00731F8E">
        <w:rPr>
          <w:rFonts w:ascii="Times New Roman" w:hAnsi="Times New Roman"/>
        </w:rPr>
        <w:t xml:space="preserve">The following provisional article has been added to the Communiqué on the Blending of </w:t>
      </w:r>
      <w:r w:rsidRPr="00731F8E">
        <w:rPr>
          <w:rFonts w:ascii="Times New Roman" w:hAnsi="Times New Roman"/>
          <w:b/>
        </w:rPr>
        <w:t xml:space="preserve">Ethanol into Gasoline Types with the Amendment Communiqué </w:t>
      </w:r>
      <w:r w:rsidRPr="00731F8E">
        <w:rPr>
          <w:rFonts w:ascii="Times New Roman" w:hAnsi="Times New Roman"/>
        </w:rPr>
        <w:t>published in the Official Gazette dated 01.04.2022 and numbered 31796.</w:t>
      </w:r>
    </w:p>
    <w:p w14:paraId="767EC317" w14:textId="77777777" w:rsidR="004C0A79" w:rsidRPr="00731F8E" w:rsidRDefault="004C0A79" w:rsidP="004C0A79">
      <w:pPr>
        <w:pStyle w:val="GvdeMetni"/>
        <w:spacing w:before="37"/>
        <w:ind w:left="1556"/>
        <w:rPr>
          <w:rFonts w:cs="Times New Roman"/>
          <w:szCs w:val="22"/>
        </w:rPr>
      </w:pPr>
    </w:p>
    <w:p w14:paraId="780F467C" w14:textId="77777777" w:rsidR="004C0A79" w:rsidRPr="00731F8E" w:rsidRDefault="004C0A79" w:rsidP="004C0A79">
      <w:pPr>
        <w:pStyle w:val="GvdeMetni"/>
        <w:spacing w:before="37"/>
        <w:ind w:left="1556"/>
        <w:rPr>
          <w:rFonts w:cs="Times New Roman"/>
          <w:szCs w:val="22"/>
        </w:rPr>
      </w:pPr>
      <w:r w:rsidRPr="00731F8E">
        <w:rPr>
          <w:rFonts w:cs="Times New Roman"/>
          <w:szCs w:val="22"/>
        </w:rPr>
        <w:t>“Blending obligation for 2022</w:t>
      </w:r>
    </w:p>
    <w:p w14:paraId="7D0FEA12" w14:textId="77777777" w:rsidR="004C0A79" w:rsidRPr="00731F8E" w:rsidRDefault="004C0A79" w:rsidP="004C0A79">
      <w:pPr>
        <w:pStyle w:val="GvdeMetni"/>
        <w:spacing w:before="41"/>
        <w:ind w:left="1556"/>
        <w:rPr>
          <w:rFonts w:cs="Times New Roman"/>
          <w:szCs w:val="22"/>
        </w:rPr>
      </w:pPr>
      <w:r w:rsidRPr="00731F8E">
        <w:rPr>
          <w:rFonts w:cs="Times New Roman"/>
          <w:szCs w:val="22"/>
        </w:rPr>
        <w:t xml:space="preserve">PROVISIONAL ARTICLE 2- (1) The 3% (V/V) blending obligation in the first and second paragraphs of Article </w:t>
      </w:r>
      <w:r w:rsidRPr="00731F8E">
        <w:rPr>
          <w:rFonts w:cs="Times New Roman"/>
          <w:szCs w:val="22"/>
        </w:rPr>
        <w:lastRenderedPageBreak/>
        <w:t>5 of this Communiqué is applied as 2% (V/V) for the year 2022.”</w:t>
      </w:r>
    </w:p>
    <w:p w14:paraId="6693AB73" w14:textId="77777777" w:rsidR="004C0A79" w:rsidRPr="00731F8E" w:rsidRDefault="004C0A79" w:rsidP="004C0A79">
      <w:pPr>
        <w:pStyle w:val="GvdeMetni"/>
        <w:spacing w:before="45"/>
        <w:rPr>
          <w:rFonts w:cs="Times New Roman"/>
          <w:szCs w:val="22"/>
        </w:rPr>
      </w:pPr>
    </w:p>
    <w:p w14:paraId="4A253ECE" w14:textId="77777777" w:rsidR="004C0A79" w:rsidRPr="00731F8E" w:rsidRDefault="004C0A79" w:rsidP="004C0A79">
      <w:pPr>
        <w:pStyle w:val="GvdeMetni"/>
        <w:spacing w:before="39"/>
        <w:rPr>
          <w:rFonts w:cs="Times New Roman"/>
          <w:i/>
          <w:szCs w:val="22"/>
        </w:rPr>
      </w:pPr>
      <w:r w:rsidRPr="00731F8E">
        <w:rPr>
          <w:rFonts w:cs="Times New Roman"/>
          <w:i/>
          <w:szCs w:val="22"/>
        </w:rPr>
        <w:t>• With the Amendment Communiqué published in the Official Gazette dated 24.06.2022 and numbered 31876, the phrase "Tobacco and Alcohol Market Regulatory Authority" in clause (b) of the first paragraph of Article 4 of the</w:t>
      </w:r>
      <w:r w:rsidRPr="00731F8E">
        <w:rPr>
          <w:rFonts w:cs="Times New Roman"/>
          <w:b/>
          <w:i/>
          <w:szCs w:val="22"/>
        </w:rPr>
        <w:t xml:space="preserve"> Communiqué on Ethanol Blending into Gasoline Types</w:t>
      </w:r>
      <w:r w:rsidRPr="00731F8E">
        <w:rPr>
          <w:rFonts w:cs="Times New Roman"/>
          <w:i/>
          <w:szCs w:val="22"/>
        </w:rPr>
        <w:t xml:space="preserve"> has been changed to "Ministry of Agriculture and Forestry".</w:t>
      </w:r>
    </w:p>
    <w:p w14:paraId="11E7517C" w14:textId="77777777" w:rsidR="004C0A79" w:rsidRPr="00731F8E" w:rsidRDefault="004C0A79" w:rsidP="004C0A79">
      <w:pPr>
        <w:pStyle w:val="GvdeMetni"/>
        <w:spacing w:before="39"/>
        <w:rPr>
          <w:rFonts w:cs="Times New Roman"/>
          <w:i/>
          <w:szCs w:val="22"/>
        </w:rPr>
      </w:pPr>
    </w:p>
    <w:p w14:paraId="722DC40E" w14:textId="77777777" w:rsidR="004C0A79" w:rsidRPr="00731F8E" w:rsidRDefault="004C0A79" w:rsidP="00A86526">
      <w:pPr>
        <w:pStyle w:val="ListeParagraf"/>
        <w:widowControl w:val="0"/>
        <w:numPr>
          <w:ilvl w:val="4"/>
          <w:numId w:val="75"/>
        </w:numPr>
        <w:tabs>
          <w:tab w:val="left" w:pos="1556"/>
        </w:tabs>
        <w:autoSpaceDE w:val="0"/>
        <w:autoSpaceDN w:val="0"/>
        <w:spacing w:after="0" w:line="240" w:lineRule="auto"/>
        <w:ind w:left="1556"/>
        <w:contextualSpacing w:val="0"/>
        <w:jc w:val="left"/>
        <w:rPr>
          <w:rFonts w:ascii="Times New Roman" w:hAnsi="Times New Roman"/>
        </w:rPr>
      </w:pPr>
      <w:r w:rsidRPr="00731F8E">
        <w:rPr>
          <w:rFonts w:ascii="Times New Roman" w:hAnsi="Times New Roman"/>
        </w:rPr>
        <w:t>The following paragraph has been added to Article 5.</w:t>
      </w:r>
    </w:p>
    <w:p w14:paraId="60C74E43" w14:textId="77777777" w:rsidR="004C0A79" w:rsidRPr="00731F8E" w:rsidRDefault="004C0A79" w:rsidP="004C0A79">
      <w:pPr>
        <w:pStyle w:val="GvdeMetni"/>
        <w:spacing w:before="63"/>
        <w:rPr>
          <w:rFonts w:cs="Times New Roman"/>
          <w:i/>
          <w:szCs w:val="22"/>
        </w:rPr>
      </w:pPr>
    </w:p>
    <w:p w14:paraId="59123FDF" w14:textId="77777777" w:rsidR="004C0A79" w:rsidRPr="00731F8E" w:rsidRDefault="004C0A79" w:rsidP="004C0A79">
      <w:pPr>
        <w:pStyle w:val="GvdeMetni"/>
        <w:spacing w:line="276" w:lineRule="auto"/>
        <w:ind w:left="1556" w:right="973"/>
        <w:rPr>
          <w:rFonts w:cs="Times New Roman"/>
          <w:szCs w:val="22"/>
        </w:rPr>
      </w:pPr>
      <w:r w:rsidRPr="00731F8E">
        <w:rPr>
          <w:rFonts w:cs="Times New Roman"/>
          <w:szCs w:val="22"/>
        </w:rPr>
        <w:t>"(3) The amount of ethanol that is more than or missing from the ethanol blending obligation defined in the first and second paragraphs of this article is also taken into account in the calculation of the obligation of the next calendar year. Administrative fines imposed due to incomplete blending in an obligation period do not prevent the offsetting transaction to be made in the next period."</w:t>
      </w:r>
    </w:p>
    <w:p w14:paraId="2C293E8E" w14:textId="77777777" w:rsidR="004C0A79" w:rsidRPr="00731F8E" w:rsidRDefault="004C0A79" w:rsidP="004C0A79">
      <w:pPr>
        <w:pStyle w:val="GvdeMetni"/>
        <w:spacing w:before="40"/>
        <w:rPr>
          <w:rFonts w:cs="Times New Roman"/>
          <w:szCs w:val="22"/>
        </w:rPr>
      </w:pPr>
    </w:p>
    <w:p w14:paraId="4551A0AE" w14:textId="77777777" w:rsidR="004C0A79" w:rsidRPr="00731F8E" w:rsidRDefault="004C0A79" w:rsidP="00A86526">
      <w:pPr>
        <w:pStyle w:val="ListeParagraf"/>
        <w:widowControl w:val="0"/>
        <w:numPr>
          <w:ilvl w:val="4"/>
          <w:numId w:val="75"/>
        </w:numPr>
        <w:tabs>
          <w:tab w:val="left" w:pos="1556"/>
        </w:tabs>
        <w:autoSpaceDE w:val="0"/>
        <w:autoSpaceDN w:val="0"/>
        <w:spacing w:after="0" w:line="240" w:lineRule="auto"/>
        <w:ind w:left="1556"/>
        <w:contextualSpacing w:val="0"/>
        <w:jc w:val="left"/>
        <w:rPr>
          <w:rFonts w:ascii="Times New Roman" w:hAnsi="Times New Roman"/>
        </w:rPr>
      </w:pPr>
      <w:r w:rsidRPr="00731F8E">
        <w:rPr>
          <w:rFonts w:ascii="Times New Roman" w:hAnsi="Times New Roman"/>
        </w:rPr>
        <w:t>The following provisional article has been added.</w:t>
      </w:r>
    </w:p>
    <w:p w14:paraId="678E1DE8" w14:textId="77777777" w:rsidR="004C0A79" w:rsidRPr="00731F8E" w:rsidRDefault="004C0A79" w:rsidP="004C0A79">
      <w:pPr>
        <w:pStyle w:val="GvdeMetni"/>
        <w:spacing w:before="60"/>
        <w:rPr>
          <w:rFonts w:cs="Times New Roman"/>
          <w:i/>
          <w:szCs w:val="22"/>
        </w:rPr>
      </w:pPr>
    </w:p>
    <w:p w14:paraId="521E404C" w14:textId="77777777" w:rsidR="004C0A79" w:rsidRPr="00731F8E" w:rsidRDefault="004C0A79" w:rsidP="004C0A79">
      <w:pPr>
        <w:pStyle w:val="GvdeMetni"/>
        <w:ind w:left="1555"/>
        <w:rPr>
          <w:rFonts w:cs="Times New Roman"/>
          <w:szCs w:val="22"/>
        </w:rPr>
      </w:pPr>
      <w:r w:rsidRPr="00731F8E">
        <w:rPr>
          <w:rFonts w:cs="Times New Roman"/>
          <w:szCs w:val="22"/>
        </w:rPr>
        <w:t>“Blending obligation of refinery license holders for 2022</w:t>
      </w:r>
    </w:p>
    <w:p w14:paraId="6D95767A" w14:textId="77777777" w:rsidR="004C0A79" w:rsidRPr="00731F8E" w:rsidRDefault="004C0A79" w:rsidP="004C0A79">
      <w:pPr>
        <w:pStyle w:val="GvdeMetni"/>
        <w:spacing w:before="41" w:line="276" w:lineRule="auto"/>
        <w:ind w:left="1555" w:right="973"/>
        <w:rPr>
          <w:rFonts w:cs="Times New Roman"/>
          <w:szCs w:val="22"/>
        </w:rPr>
      </w:pPr>
      <w:r w:rsidRPr="00731F8E">
        <w:rPr>
          <w:rFonts w:cs="Times New Roman"/>
          <w:szCs w:val="22"/>
        </w:rPr>
        <w:t>PROVISIONAL ARTICLE 3- (1) The blending obligation rate in the provisional Article 2 of this Communiqué shall be calculated over the sum of the gasoline types delivered through land tanker filling units for refinery license holders in 2022. "</w:t>
      </w:r>
    </w:p>
    <w:p w14:paraId="19EF227B" w14:textId="77777777" w:rsidR="004C0A79" w:rsidRPr="00731F8E" w:rsidRDefault="004C0A79" w:rsidP="004C0A79">
      <w:pPr>
        <w:pStyle w:val="GvdeMetni"/>
        <w:spacing w:before="39"/>
        <w:rPr>
          <w:rFonts w:cs="Times New Roman"/>
          <w:szCs w:val="22"/>
        </w:rPr>
      </w:pPr>
    </w:p>
    <w:p w14:paraId="060A7B6A"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9" w:lineRule="auto"/>
        <w:ind w:right="972"/>
        <w:contextualSpacing w:val="0"/>
        <w:rPr>
          <w:rFonts w:ascii="Times New Roman" w:hAnsi="Times New Roman"/>
        </w:rPr>
      </w:pPr>
      <w:r w:rsidRPr="00731F8E">
        <w:rPr>
          <w:rFonts w:ascii="Times New Roman" w:hAnsi="Times New Roman"/>
        </w:rPr>
        <w:t xml:space="preserve">With the Amendment Communiqué published in the Official Gazette dated 29.12.2022 and numbered 32058, the following temporary article has been added to the </w:t>
      </w:r>
      <w:r w:rsidRPr="00731F8E">
        <w:rPr>
          <w:rFonts w:ascii="Times New Roman" w:hAnsi="Times New Roman"/>
          <w:b/>
        </w:rPr>
        <w:t>Communiqué on Ethanol Blending into Gasoline Types</w:t>
      </w:r>
      <w:r w:rsidRPr="00731F8E">
        <w:rPr>
          <w:rFonts w:ascii="Times New Roman" w:hAnsi="Times New Roman"/>
        </w:rPr>
        <w:t>.</w:t>
      </w:r>
    </w:p>
    <w:p w14:paraId="5B2D43DC" w14:textId="77777777" w:rsidR="004C0A79" w:rsidRPr="00731F8E" w:rsidRDefault="004C0A79" w:rsidP="004C0A79">
      <w:pPr>
        <w:pStyle w:val="GvdeMetni"/>
        <w:spacing w:before="41"/>
        <w:rPr>
          <w:rFonts w:cs="Times New Roman"/>
          <w:i/>
          <w:szCs w:val="22"/>
        </w:rPr>
      </w:pPr>
    </w:p>
    <w:p w14:paraId="72912B28" w14:textId="77777777" w:rsidR="004C0A79" w:rsidRPr="00731F8E" w:rsidRDefault="004C0A79" w:rsidP="004C0A79">
      <w:pPr>
        <w:pStyle w:val="GvdeMetni"/>
        <w:ind w:left="1556"/>
        <w:rPr>
          <w:rFonts w:cs="Times New Roman"/>
          <w:szCs w:val="22"/>
        </w:rPr>
      </w:pPr>
      <w:r w:rsidRPr="00731F8E">
        <w:rPr>
          <w:rFonts w:cs="Times New Roman"/>
          <w:szCs w:val="22"/>
        </w:rPr>
        <w:t>“Blending obligation for 2023</w:t>
      </w:r>
    </w:p>
    <w:p w14:paraId="46318E60" w14:textId="77777777" w:rsidR="004C0A79" w:rsidRPr="00731F8E" w:rsidRDefault="004C0A79" w:rsidP="004C0A79">
      <w:pPr>
        <w:pStyle w:val="GvdeMetni"/>
        <w:spacing w:before="39"/>
        <w:ind w:left="1556"/>
        <w:rPr>
          <w:rFonts w:cs="Times New Roman"/>
          <w:szCs w:val="22"/>
        </w:rPr>
      </w:pPr>
      <w:r w:rsidRPr="00731F8E">
        <w:rPr>
          <w:rFonts w:cs="Times New Roman"/>
          <w:szCs w:val="22"/>
        </w:rPr>
        <w:t>PROVISIONAL ARTICLE 4- (1) The 3% (V/V) blending obligation in the first and second paragraphs of Article 5 of this Communiqué is applied as 2% (V/V) for the year 2023.”</w:t>
      </w:r>
    </w:p>
    <w:p w14:paraId="762FC1A1" w14:textId="77777777" w:rsidR="004C0A79" w:rsidRPr="00731F8E" w:rsidRDefault="004C0A79" w:rsidP="00A86526">
      <w:pPr>
        <w:pStyle w:val="Balk1"/>
        <w:keepNext w:val="0"/>
        <w:keepLines w:val="0"/>
        <w:widowControl w:val="0"/>
        <w:numPr>
          <w:ilvl w:val="2"/>
          <w:numId w:val="75"/>
        </w:numPr>
        <w:tabs>
          <w:tab w:val="left" w:pos="724"/>
        </w:tabs>
        <w:autoSpaceDE w:val="0"/>
        <w:autoSpaceDN w:val="0"/>
        <w:spacing w:before="201" w:after="0" w:line="240" w:lineRule="auto"/>
        <w:ind w:left="724" w:hanging="608"/>
        <w:jc w:val="left"/>
        <w:rPr>
          <w:rFonts w:ascii="Times New Roman" w:hAnsi="Times New Roman" w:cs="Times New Roman"/>
          <w:szCs w:val="22"/>
        </w:rPr>
      </w:pPr>
      <w:bookmarkStart w:id="51" w:name="2.4.3.__Kurul_Kararları"/>
      <w:bookmarkEnd w:id="51"/>
      <w:r w:rsidRPr="00731F8E">
        <w:rPr>
          <w:rFonts w:ascii="Times New Roman" w:hAnsi="Times New Roman" w:cs="Times New Roman"/>
          <w:szCs w:val="22"/>
        </w:rPr>
        <w:t>Board Decisions</w:t>
      </w:r>
    </w:p>
    <w:p w14:paraId="212425A4" w14:textId="77777777" w:rsidR="004C0A79" w:rsidRPr="00731F8E" w:rsidRDefault="004C0A79" w:rsidP="004C0A79">
      <w:pPr>
        <w:pStyle w:val="GvdeMetni"/>
        <w:spacing w:before="9"/>
        <w:rPr>
          <w:rFonts w:cs="Times New Roman"/>
          <w:b/>
          <w:i/>
          <w:szCs w:val="22"/>
        </w:rPr>
      </w:pPr>
    </w:p>
    <w:p w14:paraId="02C4CAA4" w14:textId="77777777" w:rsidR="004C0A79" w:rsidRPr="00731F8E" w:rsidRDefault="004C0A79" w:rsidP="004C0A79">
      <w:pPr>
        <w:spacing w:before="1"/>
        <w:ind w:left="116"/>
        <w:rPr>
          <w:rFonts w:ascii="Times New Roman" w:hAnsi="Times New Roman"/>
        </w:rPr>
      </w:pPr>
      <w:r w:rsidRPr="00731F8E">
        <w:rPr>
          <w:rFonts w:ascii="Times New Roman" w:hAnsi="Times New Roman"/>
        </w:rPr>
        <w:t>In 2022, the following Board Decisions were issued as a regulatory action in the Petroleum market:</w:t>
      </w:r>
    </w:p>
    <w:p w14:paraId="529EA2AF" w14:textId="77777777" w:rsidR="004C0A79" w:rsidRPr="00731F8E" w:rsidRDefault="004C0A79" w:rsidP="004C0A79">
      <w:pPr>
        <w:pStyle w:val="GvdeMetni"/>
        <w:spacing w:before="82"/>
        <w:rPr>
          <w:rFonts w:cs="Times New Roman"/>
          <w:i/>
          <w:szCs w:val="22"/>
        </w:rPr>
      </w:pPr>
    </w:p>
    <w:p w14:paraId="2AD3FAC1"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ind w:right="973"/>
        <w:contextualSpacing w:val="0"/>
        <w:rPr>
          <w:rFonts w:ascii="Times New Roman" w:hAnsi="Times New Roman"/>
        </w:rPr>
      </w:pPr>
      <w:r w:rsidRPr="00731F8E">
        <w:rPr>
          <w:rFonts w:ascii="Times New Roman" w:hAnsi="Times New Roman"/>
        </w:rPr>
        <w:t xml:space="preserve">With the Board Decision dated 06.01.2022 and numbered 10719 published in the Official Gazette dated 08.01.2022 and numbered 31713, the </w:t>
      </w:r>
      <w:r w:rsidRPr="00731F8E">
        <w:rPr>
          <w:rFonts w:ascii="Times New Roman" w:hAnsi="Times New Roman"/>
          <w:b/>
        </w:rPr>
        <w:t>"Decision on the Authorization of Legal Persons for the Establishment and Implementation of the Dealer Audit System"</w:t>
      </w:r>
      <w:r w:rsidRPr="00731F8E">
        <w:rPr>
          <w:rFonts w:ascii="Times New Roman" w:hAnsi="Times New Roman"/>
        </w:rPr>
        <w:t xml:space="preserve"> dated 29.07.2021 and numbered 10338 was amended.</w:t>
      </w:r>
    </w:p>
    <w:p w14:paraId="21478D2A" w14:textId="77777777" w:rsidR="004C0A79" w:rsidRPr="00731F8E" w:rsidRDefault="004C0A79" w:rsidP="004C0A79">
      <w:pPr>
        <w:pStyle w:val="GvdeMetni"/>
        <w:spacing w:before="39"/>
        <w:rPr>
          <w:rFonts w:cs="Times New Roman"/>
          <w:i/>
          <w:szCs w:val="22"/>
        </w:rPr>
      </w:pPr>
    </w:p>
    <w:p w14:paraId="50FF4FEF" w14:textId="77777777" w:rsidR="004C0A79" w:rsidRPr="00731F8E" w:rsidRDefault="004C0A79" w:rsidP="00A86526">
      <w:pPr>
        <w:pStyle w:val="ListeParagraf"/>
        <w:widowControl w:val="0"/>
        <w:numPr>
          <w:ilvl w:val="3"/>
          <w:numId w:val="75"/>
        </w:numPr>
        <w:tabs>
          <w:tab w:val="left" w:pos="836"/>
        </w:tabs>
        <w:autoSpaceDE w:val="0"/>
        <w:autoSpaceDN w:val="0"/>
        <w:spacing w:after="0" w:line="259" w:lineRule="auto"/>
        <w:ind w:right="972" w:hanging="360"/>
        <w:contextualSpacing w:val="0"/>
        <w:rPr>
          <w:rFonts w:ascii="Times New Roman" w:hAnsi="Times New Roman"/>
        </w:rPr>
      </w:pPr>
      <w:r w:rsidRPr="00731F8E">
        <w:rPr>
          <w:rFonts w:ascii="Times New Roman" w:hAnsi="Times New Roman"/>
        </w:rPr>
        <w:t>With the Board Decision dated 03.03.2022 and numbered 10826 published in the Official Gazette dated 05.03.2022 and numbered 31769, the phrase "6</w:t>
      </w:r>
      <w:r w:rsidRPr="00731F8E">
        <w:rPr>
          <w:rFonts w:ascii="Times New Roman" w:hAnsi="Times New Roman"/>
          <w:b/>
        </w:rPr>
        <w:t>" in the last sentence of the seventh paragraph of Article 6 of the "Board Decision on the Procedures and Principles Regarding National Marker Implementation Activities and National Marker Delivery</w:t>
      </w:r>
      <w:r w:rsidRPr="00731F8E">
        <w:rPr>
          <w:rFonts w:ascii="Times New Roman" w:hAnsi="Times New Roman"/>
        </w:rPr>
        <w:t>" dated 21.05.2015 and numbered 5605-2 has been changed to "</w:t>
      </w:r>
      <w:r w:rsidRPr="00731F8E">
        <w:rPr>
          <w:rFonts w:ascii="Times New Roman" w:hAnsi="Times New Roman"/>
          <w:i/>
        </w:rPr>
        <w:t>12</w:t>
      </w:r>
      <w:r w:rsidRPr="00731F8E">
        <w:rPr>
          <w:rFonts w:ascii="Times New Roman" w:hAnsi="Times New Roman"/>
        </w:rPr>
        <w:t>".</w:t>
      </w:r>
    </w:p>
    <w:p w14:paraId="6DAA6F32" w14:textId="77777777" w:rsidR="004C0A79" w:rsidRPr="00731F8E" w:rsidRDefault="004C0A79" w:rsidP="004C0A79">
      <w:pPr>
        <w:spacing w:line="259" w:lineRule="auto"/>
        <w:rPr>
          <w:rFonts w:ascii="Times New Roman" w:hAnsi="Times New Roman"/>
        </w:rPr>
        <w:sectPr w:rsidR="004C0A79" w:rsidRPr="00731F8E">
          <w:pgSz w:w="11910" w:h="16840"/>
          <w:pgMar w:top="1360" w:right="440" w:bottom="280" w:left="1300" w:header="720" w:footer="720" w:gutter="0"/>
          <w:cols w:space="720"/>
        </w:sectPr>
      </w:pPr>
    </w:p>
    <w:p w14:paraId="3E78B62B"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before="87" w:after="0" w:line="256" w:lineRule="auto"/>
        <w:ind w:right="973"/>
        <w:contextualSpacing w:val="0"/>
        <w:rPr>
          <w:rFonts w:ascii="Times New Roman" w:hAnsi="Times New Roman"/>
        </w:rPr>
      </w:pPr>
      <w:r w:rsidRPr="00731F8E">
        <w:rPr>
          <w:rFonts w:ascii="Times New Roman" w:hAnsi="Times New Roman"/>
        </w:rPr>
        <w:lastRenderedPageBreak/>
        <w:t xml:space="preserve">With the Board Decision dated 14.04.2022 and numbered 10929 published in the Official Gazette dated 15.04.2022 and numbered 31810, the </w:t>
      </w:r>
      <w:r w:rsidRPr="00731F8E">
        <w:rPr>
          <w:rFonts w:ascii="Times New Roman" w:hAnsi="Times New Roman"/>
          <w:b/>
        </w:rPr>
        <w:t>"Guidelines on Inter-Distributor Trade"</w:t>
      </w:r>
      <w:r w:rsidRPr="00731F8E">
        <w:rPr>
          <w:rFonts w:ascii="Times New Roman" w:hAnsi="Times New Roman"/>
        </w:rPr>
        <w:t>, which is the Annex of the Decision on Inter-Distributor Fuel Trade dated 14.03.2018 and numbered 7742, has been amended.</w:t>
      </w:r>
    </w:p>
    <w:p w14:paraId="37F163C4" w14:textId="77777777" w:rsidR="004C0A79" w:rsidRPr="00731F8E" w:rsidRDefault="004C0A79" w:rsidP="004C0A79">
      <w:pPr>
        <w:pStyle w:val="GvdeMetni"/>
        <w:spacing w:before="28"/>
        <w:rPr>
          <w:rFonts w:cs="Times New Roman"/>
          <w:i/>
          <w:szCs w:val="22"/>
        </w:rPr>
      </w:pPr>
    </w:p>
    <w:p w14:paraId="428D2F5E"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after="0" w:line="256" w:lineRule="auto"/>
        <w:ind w:right="973"/>
        <w:contextualSpacing w:val="0"/>
        <w:rPr>
          <w:rFonts w:ascii="Times New Roman" w:hAnsi="Times New Roman"/>
        </w:rPr>
      </w:pPr>
      <w:r w:rsidRPr="00731F8E">
        <w:rPr>
          <w:rFonts w:ascii="Times New Roman" w:hAnsi="Times New Roman"/>
        </w:rPr>
        <w:t>With the Board Decision dated 21.04.2022 and numbered 10940 published in the Official Gazette dated 22.04.2022 and numbered 31817, TS EN 228 Automotive Fuels - Unleaded Gasoline to be valid until 31/5/2022 for the types of gasoline to be placed on the market, except for refinery facilities;</w:t>
      </w:r>
    </w:p>
    <w:p w14:paraId="3D5F08D5" w14:textId="77777777" w:rsidR="004C0A79" w:rsidRPr="00731F8E" w:rsidRDefault="004C0A79" w:rsidP="00A86526">
      <w:pPr>
        <w:pStyle w:val="ListeParagraf"/>
        <w:widowControl w:val="0"/>
        <w:numPr>
          <w:ilvl w:val="4"/>
          <w:numId w:val="75"/>
        </w:numPr>
        <w:tabs>
          <w:tab w:val="left" w:pos="965"/>
        </w:tabs>
        <w:autoSpaceDE w:val="0"/>
        <w:autoSpaceDN w:val="0"/>
        <w:spacing w:before="7" w:after="0" w:line="240" w:lineRule="auto"/>
        <w:ind w:left="965" w:hanging="129"/>
        <w:contextualSpacing w:val="0"/>
        <w:rPr>
          <w:rFonts w:ascii="Times New Roman" w:hAnsi="Times New Roman"/>
        </w:rPr>
      </w:pPr>
      <w:r w:rsidRPr="00731F8E">
        <w:rPr>
          <w:rFonts w:ascii="Times New Roman" w:hAnsi="Times New Roman"/>
        </w:rPr>
        <w:t xml:space="preserve">"Summer period" values are taken as basis for the minimum limit values of the "Vapor Pressure" and "Evaporation Percentage at </w:t>
      </w:r>
      <w:r w:rsidRPr="00731F8E">
        <w:rPr>
          <w:rFonts w:ascii="Times New Roman" w:hAnsi="Times New Roman"/>
          <w:i/>
        </w:rPr>
        <w:t>70  C</w:t>
      </w:r>
      <w:r w:rsidRPr="00731F8E">
        <w:rPr>
          <w:rFonts w:ascii="Times New Roman" w:hAnsi="Times New Roman"/>
        </w:rPr>
        <w:t xml:space="preserve"> - E70" properties specified in the Properties and Test Methods (December 2017) standard, and </w:t>
      </w:r>
      <w:r w:rsidRPr="00731F8E">
        <w:rPr>
          <w:rFonts w:ascii="Times New Roman" w:hAnsi="Times New Roman"/>
          <w:i/>
        </w:rPr>
        <w:t xml:space="preserve">"winter period" </w:t>
      </w:r>
      <w:r w:rsidRPr="00731F8E">
        <w:rPr>
          <w:rFonts w:ascii="Times New Roman" w:hAnsi="Times New Roman"/>
        </w:rPr>
        <w:t>values are taken as basis for the maximum limit values, decided.</w:t>
      </w:r>
    </w:p>
    <w:p w14:paraId="01E2AB80" w14:textId="77777777" w:rsidR="004C0A79" w:rsidRPr="00731F8E" w:rsidRDefault="004C0A79" w:rsidP="004C0A79">
      <w:pPr>
        <w:pStyle w:val="GvdeMetni"/>
        <w:spacing w:before="39"/>
        <w:rPr>
          <w:rFonts w:cs="Times New Roman"/>
          <w:i/>
          <w:szCs w:val="22"/>
        </w:rPr>
      </w:pPr>
    </w:p>
    <w:p w14:paraId="6FD9F1FD" w14:textId="77777777" w:rsidR="004C0A79" w:rsidRPr="00731F8E" w:rsidRDefault="004C0A79" w:rsidP="00A86526">
      <w:pPr>
        <w:pStyle w:val="ListeParagraf"/>
        <w:widowControl w:val="0"/>
        <w:numPr>
          <w:ilvl w:val="3"/>
          <w:numId w:val="75"/>
        </w:numPr>
        <w:tabs>
          <w:tab w:val="left" w:pos="834"/>
          <w:tab w:val="left" w:pos="836"/>
        </w:tabs>
        <w:autoSpaceDE w:val="0"/>
        <w:autoSpaceDN w:val="0"/>
        <w:spacing w:before="1" w:after="0" w:line="259" w:lineRule="auto"/>
        <w:ind w:right="973"/>
        <w:contextualSpacing w:val="0"/>
        <w:rPr>
          <w:rFonts w:ascii="Times New Roman" w:hAnsi="Times New Roman"/>
        </w:rPr>
      </w:pPr>
      <w:r w:rsidRPr="00731F8E">
        <w:rPr>
          <w:rFonts w:ascii="Times New Roman" w:hAnsi="Times New Roman"/>
        </w:rPr>
        <w:t>The following paragraph has been added to the first paragraph of Article 5 of the Decision on the Authorization of Legal Entities for the Establishment and Implementation of the Dealer Audit System dated 29.07.2021 and numbered 10338 with the Board Decision dated 28.04.2022 and numbered 10952 published in the Official Gazette dated 29.04.2022 and numbered 31824.</w:t>
      </w:r>
    </w:p>
    <w:p w14:paraId="1725625D" w14:textId="77777777" w:rsidR="004C0A79" w:rsidRPr="00731F8E" w:rsidRDefault="004C0A79" w:rsidP="004C0A79">
      <w:pPr>
        <w:pStyle w:val="GvdeMetni"/>
        <w:spacing w:before="37"/>
        <w:rPr>
          <w:rFonts w:cs="Times New Roman"/>
          <w:i/>
          <w:szCs w:val="22"/>
        </w:rPr>
      </w:pPr>
    </w:p>
    <w:p w14:paraId="103B401D" w14:textId="77777777" w:rsidR="004C0A79" w:rsidRPr="00731F8E" w:rsidRDefault="004C0A79" w:rsidP="004C0A79">
      <w:pPr>
        <w:pStyle w:val="GvdeMetni"/>
        <w:spacing w:line="276" w:lineRule="auto"/>
        <w:ind w:left="1556" w:right="973"/>
        <w:rPr>
          <w:rFonts w:cs="Times New Roman"/>
          <w:szCs w:val="22"/>
        </w:rPr>
      </w:pPr>
      <w:r w:rsidRPr="00731F8E">
        <w:rPr>
          <w:rFonts w:cs="Times New Roman"/>
          <w:szCs w:val="22"/>
        </w:rPr>
        <w:t>"g) To notify the distributor licensee through the" National Electronic Notification System "defined in the Electronic Notification Regulation published in the Official Gazette dated 6/12/2018 and numbered 30617 of the determinations made regarding unauthorized intervention and/or informal supply to the dealer inspection system."</w:t>
      </w:r>
    </w:p>
    <w:p w14:paraId="4C174019" w14:textId="77777777" w:rsidR="004C0A79" w:rsidRPr="00731F8E" w:rsidRDefault="004C0A79" w:rsidP="004C0A79">
      <w:pPr>
        <w:pStyle w:val="GvdeMetni"/>
        <w:spacing w:before="42"/>
        <w:rPr>
          <w:rFonts w:cs="Times New Roman"/>
          <w:szCs w:val="22"/>
        </w:rPr>
      </w:pPr>
    </w:p>
    <w:p w14:paraId="3302D553" w14:textId="77777777" w:rsidR="004C0A79" w:rsidRPr="00731F8E" w:rsidRDefault="004C0A79" w:rsidP="00A86526">
      <w:pPr>
        <w:pStyle w:val="ListeParagraf"/>
        <w:widowControl w:val="0"/>
        <w:numPr>
          <w:ilvl w:val="3"/>
          <w:numId w:val="75"/>
        </w:numPr>
        <w:tabs>
          <w:tab w:val="left" w:pos="835"/>
          <w:tab w:val="left" w:pos="837"/>
        </w:tabs>
        <w:autoSpaceDE w:val="0"/>
        <w:autoSpaceDN w:val="0"/>
        <w:spacing w:after="0" w:line="259" w:lineRule="auto"/>
        <w:ind w:left="837" w:right="972"/>
        <w:contextualSpacing w:val="0"/>
        <w:rPr>
          <w:rFonts w:ascii="Times New Roman" w:hAnsi="Times New Roman"/>
        </w:rPr>
      </w:pPr>
      <w:r w:rsidRPr="00731F8E">
        <w:rPr>
          <w:rFonts w:ascii="Times New Roman" w:hAnsi="Times New Roman"/>
        </w:rPr>
        <w:t>The Board Decision dated 09.06.2022 and numbered 11013 published in the Official Gazette dated 11.06.2022 and numbered 31863 and the Decision dated 29.07.2021 and numbered 10338 published in the Official Gazette dated 03.08.2021 and numbered 31557 on the Authorization of Legal entities for the Establishment and Implementation of the Dealer Audit System</w:t>
      </w:r>
    </w:p>
    <w:p w14:paraId="0EBEAD9E" w14:textId="77777777" w:rsidR="004C0A79" w:rsidRPr="00731F8E" w:rsidRDefault="004C0A79" w:rsidP="004C0A79">
      <w:pPr>
        <w:pStyle w:val="GvdeMetni"/>
        <w:spacing w:before="37"/>
        <w:rPr>
          <w:rFonts w:cs="Times New Roman"/>
          <w:i/>
          <w:szCs w:val="22"/>
        </w:rPr>
      </w:pPr>
    </w:p>
    <w:p w14:paraId="44173F6B" w14:textId="77777777" w:rsidR="004C0A79" w:rsidRPr="00731F8E" w:rsidRDefault="004C0A79" w:rsidP="00A86526">
      <w:pPr>
        <w:pStyle w:val="ListeParagraf"/>
        <w:widowControl w:val="0"/>
        <w:numPr>
          <w:ilvl w:val="4"/>
          <w:numId w:val="75"/>
        </w:numPr>
        <w:tabs>
          <w:tab w:val="left" w:pos="1557"/>
        </w:tabs>
        <w:autoSpaceDE w:val="0"/>
        <w:autoSpaceDN w:val="0"/>
        <w:spacing w:after="0" w:line="240" w:lineRule="auto"/>
        <w:contextualSpacing w:val="0"/>
        <w:jc w:val="left"/>
        <w:rPr>
          <w:rFonts w:ascii="Times New Roman" w:hAnsi="Times New Roman"/>
        </w:rPr>
      </w:pPr>
      <w:r w:rsidRPr="00731F8E">
        <w:rPr>
          <w:rFonts w:ascii="Times New Roman" w:hAnsi="Times New Roman"/>
        </w:rPr>
        <w:t>Clause (g) of the first paragraph of Article 5 has been amended as follows.</w:t>
      </w:r>
    </w:p>
    <w:p w14:paraId="4AE8CE7A" w14:textId="77777777" w:rsidR="004C0A79" w:rsidRPr="00731F8E" w:rsidRDefault="004C0A79" w:rsidP="004C0A79">
      <w:pPr>
        <w:pStyle w:val="GvdeMetni"/>
        <w:spacing w:before="63"/>
        <w:rPr>
          <w:rFonts w:cs="Times New Roman"/>
          <w:i/>
          <w:szCs w:val="22"/>
        </w:rPr>
      </w:pPr>
    </w:p>
    <w:p w14:paraId="6045F9A8" w14:textId="77777777" w:rsidR="004C0A79" w:rsidRPr="00731F8E" w:rsidRDefault="004C0A79" w:rsidP="004C0A79">
      <w:pPr>
        <w:pStyle w:val="GvdeMetni"/>
        <w:spacing w:line="276" w:lineRule="auto"/>
        <w:ind w:left="1557" w:right="972"/>
        <w:rPr>
          <w:rFonts w:cs="Times New Roman"/>
          <w:szCs w:val="22"/>
        </w:rPr>
      </w:pPr>
      <w:r w:rsidRPr="00731F8E">
        <w:rPr>
          <w:rFonts w:cs="Times New Roman"/>
          <w:szCs w:val="22"/>
        </w:rPr>
        <w:t>"g) To notify the distributor license holder in writing or via registered electronic mail within the scope of the Regulation on the Procedures and Principles Regarding the Registered Electronic Mail System published in the Official Gazette dated 25/8/2011 and numbered 28036 of the determinations made regarding unauthorized intervention and/or informal supply to the dealer audit system,</w:t>
      </w:r>
    </w:p>
    <w:p w14:paraId="77878BFA" w14:textId="77777777" w:rsidR="004C0A79" w:rsidRPr="00731F8E" w:rsidRDefault="004C0A79" w:rsidP="004C0A79">
      <w:pPr>
        <w:pStyle w:val="GvdeMetni"/>
        <w:spacing w:before="39"/>
        <w:rPr>
          <w:rFonts w:cs="Times New Roman"/>
          <w:szCs w:val="22"/>
        </w:rPr>
      </w:pPr>
    </w:p>
    <w:p w14:paraId="2611EFE1" w14:textId="77777777" w:rsidR="004C0A79" w:rsidRPr="00731F8E" w:rsidRDefault="004C0A79" w:rsidP="00A86526">
      <w:pPr>
        <w:pStyle w:val="ListeParagraf"/>
        <w:widowControl w:val="0"/>
        <w:numPr>
          <w:ilvl w:val="3"/>
          <w:numId w:val="75"/>
        </w:numPr>
        <w:tabs>
          <w:tab w:val="left" w:pos="835"/>
          <w:tab w:val="left" w:pos="837"/>
        </w:tabs>
        <w:autoSpaceDE w:val="0"/>
        <w:autoSpaceDN w:val="0"/>
        <w:spacing w:after="0" w:line="259" w:lineRule="auto"/>
        <w:ind w:left="837" w:right="968"/>
        <w:contextualSpacing w:val="0"/>
        <w:rPr>
          <w:rFonts w:ascii="Times New Roman" w:hAnsi="Times New Roman"/>
        </w:rPr>
      </w:pPr>
      <w:r w:rsidRPr="00731F8E">
        <w:rPr>
          <w:rFonts w:ascii="Times New Roman" w:hAnsi="Times New Roman"/>
        </w:rPr>
        <w:t>With the Board Decision dated 10.11.2022 and numbered 11376 published in the Official Gazette dated 11.11.2022 and numbered 32010, TS EN 14214 "Liquid petroleum products - Fatty acid methyl esters (FAME/biodiesel) - Used in diesel engines and heating applications, limited to 2022 – The summer term end date specified in the "Features and test methods" standard has been determined as 30 November (± 15 days).</w:t>
      </w:r>
    </w:p>
    <w:p w14:paraId="192C6089" w14:textId="77777777" w:rsidR="004C0A79" w:rsidRPr="00731F8E" w:rsidRDefault="004C0A79" w:rsidP="004C0A79">
      <w:pPr>
        <w:pStyle w:val="GvdeMetni"/>
        <w:spacing w:before="41"/>
        <w:rPr>
          <w:rFonts w:cs="Times New Roman"/>
          <w:i/>
          <w:szCs w:val="22"/>
        </w:rPr>
      </w:pPr>
    </w:p>
    <w:p w14:paraId="56801A6C" w14:textId="77777777" w:rsidR="004C0A79" w:rsidRPr="00553C3F" w:rsidRDefault="004C0A79" w:rsidP="00A86526">
      <w:pPr>
        <w:pStyle w:val="ListeParagraf"/>
        <w:widowControl w:val="0"/>
        <w:numPr>
          <w:ilvl w:val="3"/>
          <w:numId w:val="75"/>
        </w:numPr>
        <w:tabs>
          <w:tab w:val="left" w:pos="836"/>
          <w:tab w:val="left" w:pos="838"/>
        </w:tabs>
        <w:autoSpaceDE w:val="0"/>
        <w:autoSpaceDN w:val="0"/>
        <w:spacing w:after="0" w:line="259" w:lineRule="auto"/>
        <w:ind w:left="838" w:right="971" w:firstLine="0"/>
        <w:contextualSpacing w:val="0"/>
        <w:jc w:val="left"/>
        <w:rPr>
          <w:rFonts w:ascii="Times New Roman" w:hAnsi="Times New Roman"/>
        </w:rPr>
      </w:pPr>
      <w:r w:rsidRPr="00553C3F">
        <w:rPr>
          <w:rFonts w:ascii="Times New Roman" w:hAnsi="Times New Roman"/>
        </w:rPr>
        <w:t xml:space="preserve">With the Board Decision dated 22.12.2022 and numbered 11480 published in the Official Gazette dated 24.12.2022 and numbered 32053, in accordance with Article 16 of the Petroleum Market Law No. 5015 and Article 50 of the Petroleum Market License Regulation, it has been decided on the resource needs, financing expenses that may arise due to the acquisition of the complementary part of the national oil stock to be applied in 2023, and the revenue share costs to be used for the storage and maintenance costs of these stocks. </w:t>
      </w:r>
    </w:p>
    <w:p w14:paraId="0B8272FC" w14:textId="77777777" w:rsidR="004C0A79" w:rsidRPr="00731F8E" w:rsidRDefault="004C0A79" w:rsidP="004C0A79">
      <w:pPr>
        <w:pStyle w:val="ListeParagraf"/>
        <w:tabs>
          <w:tab w:val="left" w:pos="836"/>
          <w:tab w:val="left" w:pos="838"/>
        </w:tabs>
        <w:spacing w:line="259" w:lineRule="auto"/>
        <w:ind w:left="838" w:right="971"/>
        <w:jc w:val="left"/>
        <w:rPr>
          <w:rFonts w:ascii="Times New Roman" w:hAnsi="Times New Roman"/>
        </w:rPr>
      </w:pPr>
    </w:p>
    <w:p w14:paraId="2681E78B" w14:textId="77777777" w:rsidR="004C0A79" w:rsidRPr="00731F8E" w:rsidRDefault="004C0A79" w:rsidP="004C0A79">
      <w:pPr>
        <w:pStyle w:val="ListeParagraf"/>
        <w:tabs>
          <w:tab w:val="left" w:pos="836"/>
          <w:tab w:val="left" w:pos="838"/>
        </w:tabs>
        <w:spacing w:line="259" w:lineRule="auto"/>
        <w:ind w:left="838" w:right="971"/>
        <w:jc w:val="left"/>
        <w:rPr>
          <w:rFonts w:ascii="Times New Roman" w:hAnsi="Times New Roman"/>
        </w:rPr>
      </w:pPr>
    </w:p>
    <w:p w14:paraId="609C899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b/>
        </w:rPr>
        <w:t>2.5.</w:t>
      </w:r>
      <w:r w:rsidRPr="00731F8E">
        <w:rPr>
          <w:rFonts w:ascii="Times New Roman" w:hAnsi="Times New Roman"/>
          <w:b/>
        </w:rPr>
        <w:tab/>
      </w:r>
      <w:r w:rsidRPr="00731F8E">
        <w:rPr>
          <w:rFonts w:ascii="Times New Roman" w:hAnsi="Times New Roman"/>
        </w:rPr>
        <w:t xml:space="preserve"> </w:t>
      </w:r>
      <w:r w:rsidRPr="00731F8E">
        <w:rPr>
          <w:rFonts w:ascii="Times New Roman" w:hAnsi="Times New Roman"/>
          <w:b/>
        </w:rPr>
        <w:t>Liquefied Petroleum Gases (LPG) Market Legislation</w:t>
      </w:r>
      <w:r w:rsidRPr="00731F8E">
        <w:rPr>
          <w:rFonts w:ascii="Times New Roman" w:hAnsi="Times New Roman"/>
        </w:rPr>
        <w:t xml:space="preserve"> </w:t>
      </w:r>
    </w:p>
    <w:p w14:paraId="7057A51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6D64925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b/>
        </w:rPr>
      </w:pPr>
      <w:r>
        <w:rPr>
          <w:rFonts w:ascii="Times New Roman" w:hAnsi="Times New Roman"/>
          <w:b/>
        </w:rPr>
        <w:t xml:space="preserve">2.5.1. </w:t>
      </w:r>
      <w:r w:rsidRPr="00731F8E">
        <w:rPr>
          <w:rFonts w:ascii="Times New Roman" w:hAnsi="Times New Roman"/>
          <w:b/>
        </w:rPr>
        <w:t>Law</w:t>
      </w:r>
    </w:p>
    <w:p w14:paraId="464F9FC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77B14C5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In 2022, the below mentioned law studies were carried out in the LPG market;</w:t>
      </w:r>
    </w:p>
    <w:p w14:paraId="67CB790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In the Law on the Amendment of Certain Laws No. 7350 published in the Official Gazette dated 11.01.2022 and numbered 31716 and the Law on the Amendment of the Liquefied Petroleum Gas (LPG) Market Law No. 5307 and the Electricity Market Law;</w:t>
      </w:r>
    </w:p>
    <w:p w14:paraId="03EEFB7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phrase "LPG distributors or users" in clause (ı) of the first paragraph of Article 2 has been amended as "Those engaged in market activities, refiners or users".</w:t>
      </w:r>
    </w:p>
    <w:p w14:paraId="023158E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phrase "6762" in the fifth paragraph of Article 3 has been amended as "6102 and dated 13/1/2011" and the following paragraph has been added to the article;</w:t>
      </w:r>
    </w:p>
    <w:p w14:paraId="3A2D3006" w14:textId="77777777" w:rsidR="004C0A79"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"No license is granted to those who have a final conviction for acts contrary to the Anti-Smuggling Law dated 21/3/2007 and numbered 5607. In the event that the license holder is a legal person, no license shall be granted to the shareholders who have more than ten percent share in the said legal person as of the date of the crime and the chairmen and members of the board of directors who have resigned or are still in office, those who are authorized to represent and bind, and these persons cannot directly own shares in the legal persons who apply for a license.</w:t>
      </w:r>
    </w:p>
    <w:p w14:paraId="72982B4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52C200A3" w14:textId="77777777" w:rsidR="004C0A79" w:rsidRDefault="004C0A79" w:rsidP="004C0A79">
      <w:pPr>
        <w:pStyle w:val="ListeParagraf"/>
        <w:tabs>
          <w:tab w:val="left" w:pos="836"/>
          <w:tab w:val="left" w:pos="838"/>
        </w:tabs>
        <w:spacing w:line="259" w:lineRule="auto"/>
        <w:ind w:left="838" w:right="971"/>
        <w:rPr>
          <w:rFonts w:ascii="Times New Roman" w:hAnsi="Times New Roman"/>
          <w:b/>
        </w:rPr>
      </w:pPr>
      <w:r w:rsidRPr="00731F8E">
        <w:rPr>
          <w:rFonts w:ascii="Times New Roman" w:hAnsi="Times New Roman"/>
          <w:b/>
        </w:rPr>
        <w:t>2.5.2.</w:t>
      </w:r>
      <w:r>
        <w:rPr>
          <w:rFonts w:ascii="Times New Roman" w:hAnsi="Times New Roman"/>
        </w:rPr>
        <w:t xml:space="preserve"> </w:t>
      </w:r>
      <w:r w:rsidRPr="00731F8E">
        <w:rPr>
          <w:rFonts w:ascii="Times New Roman" w:hAnsi="Times New Roman"/>
          <w:b/>
        </w:rPr>
        <w:t>Regulations</w:t>
      </w:r>
    </w:p>
    <w:p w14:paraId="779F5B2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3778131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In 2022, the following Regulation studies were carried out in the LPG market; </w:t>
      </w:r>
    </w:p>
    <w:p w14:paraId="148187B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In the Amending Regulation published in the Official Gazette dated 11.03.2022 and numbered 31775 and Liquefied Petroleum Gas (LPG) Market License Regulation;</w:t>
      </w:r>
    </w:p>
    <w:p w14:paraId="484044F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-The definition of "Storage" in the first paragraph of Article 4 has been amended as follows;</w:t>
      </w:r>
    </w:p>
    <w:p w14:paraId="64A23DC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w:t>
      </w:r>
    </w:p>
    <w:p w14:paraId="3F29B04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“Storage: Facilities that market operators, refiners or users have the right to use in order to meet their stock needs or in accordance with the agreements made and that ensure the storage of LPG in accordance with technical regulations, and the works and operations carried out there.”</w:t>
      </w:r>
    </w:p>
    <w:p w14:paraId="3D5D30B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3B23E0C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-The following clause has been added to the Art. 7;</w:t>
      </w:r>
    </w:p>
    <w:p w14:paraId="6A72565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"No license is granted to those who have a final conviction for acts contrary to the Anti-Smuggling Law dated 21/3/2007 and numbered 5607. In the event that the license holder is a legal person, no license shall be granted to the shareholders who have more than ten percent share in the said legal person as of the date of the crime and the chairmen and members of the board of directors who have resigned or are still in office, those who are authorized to represent and bind, and these persons cannot directly own shares in the legal persons who apply for a license.</w:t>
      </w:r>
    </w:p>
    <w:p w14:paraId="3F67BFC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-The second paragraph of Article 15 has been amended as follows.</w:t>
      </w:r>
    </w:p>
    <w:p w14:paraId="0A34B2D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"The evaluation of whether the license amendment applications comply with the relevant legislation shall be completed within ten working days following the date of entry of the submitted documents into the Authority's document system. </w:t>
      </w:r>
    </w:p>
    <w:p w14:paraId="22BCFC5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If it is determined that the license amendment applications are not made in accordance with the relevant legislation, the applicant shall be notified in writing that the said contradictions are eliminated within ten working days, otherwise the application for amendment will be deemed not to have been made. If the contradictions are not remedied within the said period, the amendment application shall be deemed not to have been made. "</w:t>
      </w:r>
    </w:p>
    <w:p w14:paraId="4729EF4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w:t>
      </w:r>
      <w:r w:rsidRPr="00731F8E">
        <w:rPr>
          <w:rFonts w:ascii="Times New Roman" w:hAnsi="Times New Roman"/>
        </w:rPr>
        <w:tab/>
        <w:t>Clauses (a), (b), (c) and (e) of the first paragraph of Article 17 have been amended as follows, the following clause has been added to the same paragraph and the following paragraph has been added to the same article;</w:t>
      </w:r>
    </w:p>
    <w:p w14:paraId="2ECD1D7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 In the event that the bankruptcy of the licensee the licenses for LPG Distributor and LPG Storage are finalized by the decision of the Board; and by the decision of the LPG Market Department, for Autogas Dealership, LPG Tube Inspection, Repair and Maintenance, LPG Tube Manufacturing and LPG Transport Licenses,</w:t>
      </w:r>
    </w:p>
    <w:p w14:paraId="0DEFE0D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w:t>
      </w:r>
      <w:r w:rsidRPr="00731F8E">
        <w:rPr>
          <w:rFonts w:ascii="Times New Roman" w:hAnsi="Times New Roman"/>
        </w:rPr>
        <w:tab/>
        <w:t>In case of expiry of the license period, automatically without notification,</w:t>
      </w:r>
    </w:p>
    <w:p w14:paraId="4691F2B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c)</w:t>
      </w:r>
      <w:r w:rsidRPr="00731F8E">
        <w:rPr>
          <w:rFonts w:ascii="Times New Roman" w:hAnsi="Times New Roman"/>
        </w:rPr>
        <w:tab/>
        <w:t>In the event of the death of the licensee or the termination of its legal entity, including mergers and acquisitions, LPG Distributor and LPG Storage Licenses shall be finalized by the decision of the Board; and LPG Autogas Dealership, LPG Tube Inspection, Repair and Maintenance, LPG Tube Manufacturing and LPG Transport Licenses sahll be finalized by the decision of the Liquefied Petroleum Gas (LPG) Market Department,</w:t>
      </w:r>
    </w:p>
    <w:p w14:paraId="681A644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“e) Upon the determination of the loss of any of the license conditions, LPG Distributor License and LPG Storage License by the decision of the Board; LPG Autogas Dealership, LPG Tube Inspection, Repair and Maintenance, LPG Tube Manufacturing and LPG Transport Licenses by the decision of the Liquefied Petroleum Gas (LPG) Market Department,”</w:t>
      </w:r>
    </w:p>
    <w:p w14:paraId="5785B7E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"f) ın the event that the obligations are not met within the period inserted in the license, LPG Distributor and LPG Storage Licenses by Board Decision; LPG Autogas Dealership, LPG Bottle Inspection, Repair and Maintenance, LPG Bottle Manufacturing and LPG Transportation Licenses by Liquefied Petroleum Gas (LPG) Market Department Decision,"</w:t>
      </w:r>
    </w:p>
    <w:p w14:paraId="3FEE11E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"Storage licenses are terminated by the Board Decision, provided that they are submitted to the Authority together with the documents that the obligations regarding the commitments entered into within the scope of the stock obligation with third parties in the market have been met."</w:t>
      </w:r>
    </w:p>
    <w:p w14:paraId="2B30DE9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 (c) of the first paragraph of Article 17 has been amended as follows;</w:t>
      </w:r>
    </w:p>
    <w:p w14:paraId="0CD76E3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"c) To fulfill the stock obligation within the scope of the National Oil Stock Obligation in accordance with the Petroleum Market Law No. 5015 and Article 5 of the Law No. 5307,"</w:t>
      </w:r>
    </w:p>
    <w:p w14:paraId="3FAC126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Article 23 has been amended as follows;</w:t>
      </w:r>
    </w:p>
    <w:p w14:paraId="474A5B1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23- LPG Storage License holders may engage in the operation of storage facilities which are in compliance with technical regulations, standards, relevant and other legislation, where they have the right to meet the stock needs of those engaged in market activities, refiners or users."</w:t>
      </w:r>
    </w:p>
    <w:p w14:paraId="0A94AC1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With the Amending Regulation published in the Official Gazette dated 28.07.2022 and numbered 31906 </w:t>
      </w:r>
    </w:p>
    <w:p w14:paraId="049AAD1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 xml:space="preserve">The following paragraph has been added to Article 16. of the Liquefied Petroleum Gas (LPG) Market License Regulation; </w:t>
      </w:r>
    </w:p>
    <w:p w14:paraId="3CEE66A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“LPG autogas dealership license time extension applications are finalized without applying the two-month period condition in the second paragraph of this article, provided that the application documents are complete and meet the other conditions specified in the relevant legislation. In case of deficiency in any of the application documents or failure to meet any of the conditions specified in the relevant legislation, the application shall be returned.” </w:t>
      </w:r>
    </w:p>
    <w:p w14:paraId="20E4E9B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Amending Regulation published in the Official Gazette dated 20.09.2022 and numbered 31959 the following amendments were made to the Liquefied Petroleum Gas (LPG) Market License Regulation;</w:t>
      </w:r>
    </w:p>
    <w:p w14:paraId="08E6CB2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In the first paragraph of Article 4, the definition of "LPG autogas dealership contract declaration" to come after the definition of "License" and the definition of "Type contract" hereunder to come after the definition of "Facility" have been added.</w:t>
      </w:r>
    </w:p>
    <w:p w14:paraId="190D51F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"LPG autogas dealership contract statement: The contract statement stating that the LPG autogas dealership contract signed between the autogas dealer and the distributor is the same </w:t>
      </w:r>
      <w:r w:rsidRPr="00731F8E">
        <w:rPr>
          <w:rFonts w:ascii="Times New Roman" w:hAnsi="Times New Roman"/>
        </w:rPr>
        <w:lastRenderedPageBreak/>
        <w:t>as the type contract sample previously submitted to the Authority by the relevant distributor licensee and containing the basic information about the contract (Facility address, contract start date, contract end date and information about the relevant parties) and signed by the authorities of the parties,"</w:t>
      </w:r>
    </w:p>
    <w:p w14:paraId="2F0D672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“Type contract: Examples of contracts related to the main activities of license holders,”</w:t>
      </w:r>
    </w:p>
    <w:p w14:paraId="303B7D3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 (b) of the third paragraph of Article 7 has been amended as follows;</w:t>
      </w:r>
    </w:p>
    <w:p w14:paraId="753F815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 For LPG Autogas Dealership License; LPG autogas dealership contract declaration made with distributors and Business Opening and Operation Permit must be available."</w:t>
      </w:r>
    </w:p>
    <w:p w14:paraId="2051E90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following paragraph has been added to Article 18;</w:t>
      </w:r>
    </w:p>
    <w:p w14:paraId="0166A11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"According to the law, those who operate are obliged to notify the Authority of the examples of type contracts related to their main activities and the changes to be made in them before putting them into effect."</w:t>
      </w:r>
    </w:p>
    <w:p w14:paraId="593DE0F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Amending Regulation published in the Official Gazette dated 08.11.2022 and numbered 32007 the following clause has been added to the first paragraph of Article 17 of Liquefied Petroleum Gas (LPG) Market License Regulation;</w:t>
      </w:r>
    </w:p>
    <w:p w14:paraId="35ED459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"g) In the event that the LPG Distributor License holders do not pay the revenue share debt on time, if they do not submit the document showing that the revenue share debt has been paid to the Authority within 30 (thirty) days from the due date of the debt, LPG Distributor License shall be terminated by Board Decision"</w:t>
      </w:r>
    </w:p>
    <w:p w14:paraId="6A949F6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following provisional article has been added;</w:t>
      </w:r>
    </w:p>
    <w:p w14:paraId="62B5216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"PROVISIONAL ARTICLE 5- As of the date of entry into force of this article; LPG Distributor Licenses shall be terminated by the Board Decision if the LPG Distributor Licensees, who have a revenue share debt for previous periods, do not submit the document showing that the revenue share debt has been paid to the Authority within 30 (thirty) days."</w:t>
      </w:r>
    </w:p>
    <w:p w14:paraId="59CFD34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14E8F043" w14:textId="77777777" w:rsidR="004C0A79"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b/>
        </w:rPr>
        <w:t>2.5.3.</w:t>
      </w:r>
      <w:r w:rsidRPr="00731F8E">
        <w:rPr>
          <w:rFonts w:ascii="Times New Roman" w:hAnsi="Times New Roman"/>
        </w:rPr>
        <w:t xml:space="preserve"> </w:t>
      </w:r>
      <w:r w:rsidRPr="00731F8E">
        <w:rPr>
          <w:rFonts w:ascii="Times New Roman" w:hAnsi="Times New Roman"/>
          <w:b/>
        </w:rPr>
        <w:t>Communiqués</w:t>
      </w:r>
      <w:r w:rsidRPr="00731F8E">
        <w:rPr>
          <w:rFonts w:ascii="Times New Roman" w:hAnsi="Times New Roman"/>
        </w:rPr>
        <w:t xml:space="preserve"> </w:t>
      </w:r>
    </w:p>
    <w:p w14:paraId="4755E6E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4588C87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In 2022, the following Communiqué studies were carried out in the LPG market:</w:t>
      </w:r>
    </w:p>
    <w:p w14:paraId="2B80850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administrative fines to be applied in 2023 were determined by the Communiqué published in the Official Gazette dated 28.12.2022 and numbered 32057 which aims to re-determine the lower and upper limits of administrative fines determined in Article 16 of the Law on the Amendment of the Liquefied Petroleum Gas (LPG) Market Law and the Electricity Market Law dated 2/3/2005 and numbered 5307, by increasing at the rate of 122,93% (one hundred and twenty-two comma ninety-three), which was determined as the revaluation rate for 2022 in the General Communiqué on Tax Procedure Law (Sequence No: 542) published in the Official Gazette dated 24/11/2022 and numbered 32023 the administrative fines to be applied in 2023 were determined with the Communiqué, which was determined as the revaluation rate for 2022 in the General Communiqué on Tax Procedure Law (Sequence No: 542) published in the Official Gazette dated 24/11/2022 and numbered 32023, which was increased by 122.93% (one hundred and twenty-two comma ninety-three).</w:t>
      </w:r>
    </w:p>
    <w:p w14:paraId="7C7C560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48FD2761" w14:textId="77777777" w:rsidR="004C0A79" w:rsidRDefault="004C0A79" w:rsidP="004C0A79">
      <w:pPr>
        <w:pStyle w:val="ListeParagraf"/>
        <w:tabs>
          <w:tab w:val="left" w:pos="836"/>
          <w:tab w:val="left" w:pos="838"/>
        </w:tabs>
        <w:spacing w:line="259" w:lineRule="auto"/>
        <w:ind w:left="838" w:right="971"/>
        <w:rPr>
          <w:rFonts w:ascii="Times New Roman" w:hAnsi="Times New Roman"/>
          <w:b/>
        </w:rPr>
      </w:pPr>
      <w:r w:rsidRPr="00731F8E">
        <w:rPr>
          <w:rFonts w:ascii="Times New Roman" w:hAnsi="Times New Roman"/>
          <w:b/>
        </w:rPr>
        <w:t>2.5.4</w:t>
      </w:r>
      <w:r>
        <w:rPr>
          <w:rFonts w:ascii="Times New Roman" w:hAnsi="Times New Roman"/>
          <w:b/>
        </w:rPr>
        <w:t xml:space="preserve">. </w:t>
      </w:r>
      <w:r w:rsidRPr="00731F8E">
        <w:rPr>
          <w:rFonts w:ascii="Times New Roman" w:hAnsi="Times New Roman"/>
          <w:b/>
        </w:rPr>
        <w:t>Board Decisions</w:t>
      </w:r>
    </w:p>
    <w:p w14:paraId="32DC902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b/>
        </w:rPr>
      </w:pPr>
    </w:p>
    <w:p w14:paraId="5293E35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In 2022, the following Board Decisions were issued as a regulatory action in the LPG market:</w:t>
      </w:r>
    </w:p>
    <w:p w14:paraId="0E84738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Board Decision dated 24.02.2022 and numbered 10806 published in the Official Gazette dated 11.03.2022 and numbered 31775, the "Board Decision on License Application in the Liquefied Petroleum Gas (LPG) Market" numbered 3727 was amended.</w:t>
      </w:r>
    </w:p>
    <w:p w14:paraId="0A5067A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Board Decision dated 24.02.2022 and numbered 10807 published in the Official Gazette dated 11.03.2022 and numbered 31775, the "Decision on the Retention of Compulsory Petroleum Stock and Compulsory Petroleum Stock in the LPG Market as LPG within the Scope of the Coupon System" was amended.</w:t>
      </w:r>
    </w:p>
    <w:p w14:paraId="49A5E75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w:t>
      </w:r>
      <w:r w:rsidRPr="00731F8E">
        <w:rPr>
          <w:rFonts w:ascii="Times New Roman" w:hAnsi="Times New Roman"/>
        </w:rPr>
        <w:tab/>
        <w:t>With the Board Decision dated 26.05.2022 and numbered 10988 published in the Official Gazette dated 28.05.2022 and numbered 31849, it was decided to postpone the implementation date of the "propane content" part of the "TS EN 589+A1:2022 Automotive fuels-LPG-features and test methods" standard, which determines the characteristics of Autogas LPG, until 01/01/2024.</w:t>
      </w:r>
    </w:p>
    <w:p w14:paraId="7CA97EE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Board Decision dated 08.09.2022 and numbered 11184 published in the Official Gazette dated 20.09.2022 and numbered 31959, the Board Decision on the License Application in the Liquefied Petroleum Gas (LPG) Market numbered 3727</w:t>
      </w:r>
    </w:p>
    <w:p w14:paraId="0D762C8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following clause has been added to the first paragraph of Article 3.</w:t>
      </w:r>
    </w:p>
    <w:p w14:paraId="0996EAF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"u)LPG autogas dealership contract statement: The contract statement stating that the LPG autogas dealership contract signed between the autogas dealer and the distributor is the same as the type contract sample previously submitted to the Authority by the relevant distributor licensee and containing the basic information about the contract (Facility address, contract start date, contract end date and information about the relevant parties) and signed by the authorities of the parties,"</w:t>
      </w:r>
    </w:p>
    <w:p w14:paraId="7DC1013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fifth paragraph of Article 4 has been amended as follows;</w:t>
      </w:r>
    </w:p>
    <w:p w14:paraId="70585BA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"(5) Copies of the Chamber Registration Record approved by the relevant chamber and the balance sheet by the independent accountant, independent accountant and financial advisor, certified public accountant or tax office are accepted."</w:t>
      </w:r>
    </w:p>
    <w:p w14:paraId="08C0997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 (d) of the first paragraph of Article 8 has been amended as follows, the fourth paragraph has been repealed and the following paragraph has been added to the same article.</w:t>
      </w:r>
    </w:p>
    <w:p w14:paraId="5FCD347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“d) LPG autogas dealership contract statement,”</w:t>
      </w:r>
    </w:p>
    <w:p w14:paraId="5E61995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"(6) In the event of a change in the basic information about the contract, the new contract statement shall be submitted to the Authority."</w:t>
      </w:r>
    </w:p>
    <w:p w14:paraId="61443A4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Board Decision dated 08.09.2022 and numbered 11185 published in the Official Gazette dated 20.09.2022 and numbered 31959, the Board Decision on the Information and Documents to be Required in License Amendment, Extension and Termination Applications in the Liquefied Petroleum Gas (LPG) Market numbered 3763-3</w:t>
      </w:r>
    </w:p>
    <w:p w14:paraId="117BAA6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third paragraph of Article 5 has been amended as follows;</w:t>
      </w:r>
    </w:p>
    <w:p w14:paraId="5045F72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27269D8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 In LPG Autogas Dealership license title amendments, LPG autogas dealership contract statement containing the current title shall be sought."</w:t>
      </w:r>
    </w:p>
    <w:p w14:paraId="0F763D8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Clauses (a) and (b) of the second paragraph of Article 9 have been amended as follows;</w:t>
      </w:r>
    </w:p>
    <w:p w14:paraId="4622423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 LPG autogas dealership contract statement regarding the contract made with the new distributor,”</w:t>
      </w:r>
    </w:p>
    <w:p w14:paraId="2B526B2E" w14:textId="77777777" w:rsidR="004C0A79"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“b) LPG autogas dealership contract statement that has not expired and declared to the Authority termination notice or mutual termination protocol indicating the termi</w:t>
      </w:r>
      <w:r>
        <w:rPr>
          <w:rFonts w:ascii="Times New Roman" w:hAnsi="Times New Roman"/>
        </w:rPr>
        <w:t>nation of the subject contract.</w:t>
      </w:r>
      <w:r w:rsidRPr="00731F8E">
        <w:rPr>
          <w:rFonts w:ascii="Times New Roman" w:hAnsi="Times New Roman"/>
        </w:rPr>
        <w:t>"</w:t>
      </w:r>
    </w:p>
    <w:p w14:paraId="13E69696" w14:textId="77777777" w:rsidR="004C0A79" w:rsidRDefault="004C0A79" w:rsidP="004C0A79">
      <w:pPr>
        <w:pStyle w:val="ListeParagraf"/>
        <w:tabs>
          <w:tab w:val="left" w:pos="836"/>
          <w:tab w:val="left" w:pos="838"/>
        </w:tabs>
        <w:spacing w:line="259" w:lineRule="auto"/>
        <w:ind w:left="838" w:right="971"/>
        <w:rPr>
          <w:rFonts w:ascii="Times New Roman" w:hAnsi="Times New Roman"/>
        </w:rPr>
      </w:pPr>
    </w:p>
    <w:p w14:paraId="102BA7E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75D5E1BF" w14:textId="77777777" w:rsidR="004C0A79" w:rsidRDefault="004C0A79" w:rsidP="004C0A79">
      <w:pPr>
        <w:pStyle w:val="ListeParagraf"/>
        <w:spacing w:line="259" w:lineRule="auto"/>
        <w:ind w:left="1418" w:right="971" w:hanging="940"/>
        <w:rPr>
          <w:rFonts w:ascii="Times New Roman" w:hAnsi="Times New Roman"/>
          <w:b/>
        </w:rPr>
      </w:pPr>
      <w:r>
        <w:rPr>
          <w:rFonts w:ascii="Times New Roman" w:hAnsi="Times New Roman"/>
          <w:b/>
        </w:rPr>
        <w:t xml:space="preserve">2.6. </w:t>
      </w:r>
      <w:r w:rsidRPr="00731F8E">
        <w:rPr>
          <w:rFonts w:ascii="Times New Roman" w:hAnsi="Times New Roman"/>
          <w:b/>
        </w:rPr>
        <w:t>Other Legislative Activities</w:t>
      </w:r>
    </w:p>
    <w:p w14:paraId="29425480" w14:textId="77777777" w:rsidR="004C0A79" w:rsidRPr="00731F8E" w:rsidRDefault="004C0A79" w:rsidP="004C0A79">
      <w:pPr>
        <w:pStyle w:val="ListeParagraf"/>
        <w:spacing w:line="259" w:lineRule="auto"/>
        <w:ind w:left="1418" w:right="971" w:hanging="940"/>
        <w:rPr>
          <w:rFonts w:ascii="Times New Roman" w:hAnsi="Times New Roman"/>
          <w:b/>
        </w:rPr>
      </w:pPr>
    </w:p>
    <w:p w14:paraId="70B06C91" w14:textId="77777777" w:rsidR="004C0A79"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In this section, regardless of the sectoral distinction mentioned above, the legislative studies carried out by the Authority in 2022 are included.</w:t>
      </w:r>
    </w:p>
    <w:p w14:paraId="3B41EE1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6B5896B0" w14:textId="77777777" w:rsidR="004C0A79" w:rsidRDefault="004C0A79" w:rsidP="004C0A79">
      <w:pPr>
        <w:pStyle w:val="ListeParagraf"/>
        <w:tabs>
          <w:tab w:val="left" w:pos="836"/>
          <w:tab w:val="left" w:pos="838"/>
        </w:tabs>
        <w:spacing w:line="259" w:lineRule="auto"/>
        <w:ind w:left="838" w:right="971"/>
        <w:rPr>
          <w:rFonts w:ascii="Times New Roman" w:hAnsi="Times New Roman"/>
          <w:b/>
        </w:rPr>
      </w:pPr>
      <w:r>
        <w:rPr>
          <w:rFonts w:ascii="Times New Roman" w:hAnsi="Times New Roman"/>
          <w:b/>
        </w:rPr>
        <w:t xml:space="preserve">2.6.1. </w:t>
      </w:r>
      <w:r w:rsidRPr="00731F8E">
        <w:rPr>
          <w:rFonts w:ascii="Times New Roman" w:hAnsi="Times New Roman"/>
          <w:b/>
        </w:rPr>
        <w:t>Legislation Changes Related to Energy Market Notifications</w:t>
      </w:r>
    </w:p>
    <w:p w14:paraId="4099DB1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b/>
        </w:rPr>
      </w:pPr>
      <w:r>
        <w:rPr>
          <w:rFonts w:ascii="Times New Roman" w:hAnsi="Times New Roman"/>
          <w:b/>
        </w:rPr>
        <w:t xml:space="preserve"> </w:t>
      </w:r>
    </w:p>
    <w:p w14:paraId="6976023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With the legislative changes in this context, changing the duration of some notifications that license holders operating in energy markets are obliged to make, in some cases, defining new notification types for the relevant markets, making changes in the Departments that are the addressees of some notifications, making revisions in the name and/or content of some of the </w:t>
      </w:r>
      <w:r w:rsidRPr="00731F8E">
        <w:rPr>
          <w:rFonts w:ascii="Times New Roman" w:hAnsi="Times New Roman"/>
        </w:rPr>
        <w:lastRenderedPageBreak/>
        <w:t>notification forms, in addition to adding additional forms to some of them, removing some of the existing notification forms, making changes in the explanation parts of some notification forms and rearranging which license holders are responsible for notifications.</w:t>
      </w:r>
    </w:p>
    <w:p w14:paraId="6F3F555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Board Decision dated 11.08.2022 and numbered 11119 published in the Official Gazette dated 13.08.2022 and numbered 31922, it was decided to amend and accept the content of "ANNEX-1 Electricity Market Notification Obligation Table", "ANNEX-2 Natural Gas Market Notification Obligation Table", which is the annex of the Energy Market Notification System Usage Instructions adopted by the Board Decision dated 20/11/2014 and numbered 5313-1 and published in the Official Gazette dated 24/12/2014 and numbered 29215, and to publish them in the Official Gazette.</w:t>
      </w:r>
    </w:p>
    <w:p w14:paraId="6BBAADC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b/>
        </w:rPr>
      </w:pPr>
    </w:p>
    <w:p w14:paraId="73A94870" w14:textId="77777777" w:rsidR="004C0A79" w:rsidRDefault="004C0A79" w:rsidP="004C0A79">
      <w:pPr>
        <w:pStyle w:val="ListeParagraf"/>
        <w:tabs>
          <w:tab w:val="left" w:pos="836"/>
          <w:tab w:val="left" w:pos="838"/>
        </w:tabs>
        <w:spacing w:line="259" w:lineRule="auto"/>
        <w:ind w:left="838" w:right="971"/>
        <w:rPr>
          <w:rFonts w:ascii="Times New Roman" w:hAnsi="Times New Roman"/>
          <w:b/>
        </w:rPr>
      </w:pPr>
      <w:r>
        <w:rPr>
          <w:rFonts w:ascii="Times New Roman" w:hAnsi="Times New Roman"/>
          <w:b/>
        </w:rPr>
        <w:t xml:space="preserve">2.6.2. </w:t>
      </w:r>
      <w:r w:rsidRPr="00731F8E">
        <w:rPr>
          <w:rFonts w:ascii="Times New Roman" w:hAnsi="Times New Roman"/>
          <w:b/>
        </w:rPr>
        <w:t>Other Changes</w:t>
      </w:r>
    </w:p>
    <w:p w14:paraId="404CE3D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b/>
        </w:rPr>
      </w:pPr>
    </w:p>
    <w:p w14:paraId="60CE031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In the Official Gazette dated 18.02.2022 and numbered 31754, the Regulation on the Disciplinary Supervisors of the Energy Market Regulatory Authority was published, the purpose of which was to determine the disciplinary supervisors of the civil servants working in the Energy Market Regulatory Authority.</w:t>
      </w:r>
    </w:p>
    <w:p w14:paraId="5A58EAC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With the Amending Regulation published in the Official Gazette dated 06.04.2022 and numbered 31801 the following amendments were made to the Energy Market Regulatory Authority Organization Regulation;</w:t>
      </w:r>
    </w:p>
    <w:p w14:paraId="2033F6A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phrase "two" in the second paragraph of Article 4 has been changed to "three".</w:t>
      </w:r>
    </w:p>
    <w:p w14:paraId="048AA2D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following clause (i) has been added to the first paragraph of Article 5 to come after clause (ı), and the other existing clauses have been continued accordingly.</w:t>
      </w:r>
    </w:p>
    <w:p w14:paraId="5595C5B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“Department of Energy Transition.”</w:t>
      </w:r>
    </w:p>
    <w:p w14:paraId="6DCF768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15/B- (1) The duties and powers of the Department of Energy Transition are as follows:</w:t>
      </w:r>
    </w:p>
    <w:p w14:paraId="4B0383A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w:t>
      </w:r>
      <w:r w:rsidRPr="00731F8E">
        <w:rPr>
          <w:rFonts w:ascii="Times New Roman" w:hAnsi="Times New Roman"/>
        </w:rPr>
        <w:tab/>
        <w:t>To monitor, develop and implement research and development activities and innovative policies and projects within the framework of energy policies and the responsibility areas of the Authority in the energy market, to determine the research and development and innovative projects to be supported, to determine the scope and amount of the supports to be provided and to monitor the implementation and to evaluate the outputs obtained in this context in the relevant market processes.</w:t>
      </w:r>
    </w:p>
    <w:p w14:paraId="60DE1FF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w:t>
      </w:r>
      <w:r w:rsidRPr="00731F8E">
        <w:rPr>
          <w:rFonts w:ascii="Times New Roman" w:hAnsi="Times New Roman"/>
        </w:rPr>
        <w:tab/>
        <w:t>To carry out studies on the design, development and implementation of carbon markets, emission trading, green certificates and similar markets and processes that complement or are related to energy markets within the framework of general policies, to monitor, monitor and direct the implementation.</w:t>
      </w:r>
    </w:p>
    <w:p w14:paraId="447E1EF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c)</w:t>
      </w:r>
      <w:r w:rsidRPr="00731F8E">
        <w:rPr>
          <w:rFonts w:ascii="Times New Roman" w:hAnsi="Times New Roman"/>
        </w:rPr>
        <w:tab/>
        <w:t>To monitor the digitalization process in the energy market, to develop policy and project proposals in this field, to carry out studies for the implementation of the determined policies, to monitor and direct the implementation of the projects.</w:t>
      </w:r>
    </w:p>
    <w:p w14:paraId="35763BA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ç) To conduct research on the use of hydrogen, biofuels, synthetic and paraffinic fuels, biomethane and similar alternative fuels that can be used as a substitute or supporter of fossil fuels in the energy market, to contribute to the development of legislation, to contribute to the design and management of permission and monitoring processes for the use of such fuels.</w:t>
      </w:r>
    </w:p>
    <w:p w14:paraId="13DB345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d)</w:t>
      </w:r>
      <w:r w:rsidRPr="00731F8E">
        <w:rPr>
          <w:rFonts w:ascii="Times New Roman" w:hAnsi="Times New Roman"/>
        </w:rPr>
        <w:tab/>
        <w:t>To develop legislation on the installation and operation of charging stations where electric energy is supplied to electric vehicles in accordance with standards and interoperability, and to provide charging services, to fulfill the requirements of the legislation;</w:t>
      </w:r>
    </w:p>
    <w:p w14:paraId="5B728ED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to carry out works and transactions regarding the market entry permits of the persons who will provide the service and the monitoring and directing of their activities in the market.</w:t>
      </w:r>
    </w:p>
    <w:p w14:paraId="54DECDA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e)</w:t>
      </w:r>
      <w:r w:rsidRPr="00731F8E">
        <w:rPr>
          <w:rFonts w:ascii="Times New Roman" w:hAnsi="Times New Roman"/>
        </w:rPr>
        <w:tab/>
        <w:t>To make projections related to the works and processes within the scope of this article within the framework of energy and other related policies, to develop, provide and use models based on the preparation of projections.</w:t>
      </w:r>
    </w:p>
    <w:p w14:paraId="02839F8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f)</w:t>
      </w:r>
      <w:r w:rsidRPr="00731F8E">
        <w:rPr>
          <w:rFonts w:ascii="Times New Roman" w:hAnsi="Times New Roman"/>
        </w:rPr>
        <w:tab/>
        <w:t>To increase awareness of the activities, works and transactions within the scope of this article and to carry out studies on the protection of consumer rights.</w:t>
      </w:r>
    </w:p>
    <w:p w14:paraId="0E8C22E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g)</w:t>
      </w:r>
      <w:r w:rsidRPr="00731F8E">
        <w:rPr>
          <w:rFonts w:ascii="Times New Roman" w:hAnsi="Times New Roman"/>
        </w:rPr>
        <w:tab/>
        <w:t>To prepare legislative drafts on issues related to their duties</w:t>
      </w:r>
    </w:p>
    <w:p w14:paraId="3123295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 ğ) To perform similar duties assigned by the President.</w:t>
      </w:r>
    </w:p>
    <w:p w14:paraId="2CF50AE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-With the Amending Regulation published in the Official Gazette dated 29.12.2022 and numbered 32058 the following amendments were made to the Professional Personnel Regulation;</w:t>
      </w:r>
    </w:p>
    <w:p w14:paraId="4FAF164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Clauses (d), (e) and (k) of the first paragraph of Article 4 have been amended as follows and the following clause has been added to the same paragraph;</w:t>
      </w:r>
    </w:p>
    <w:p w14:paraId="0AF6990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"d) Thesis Evaluation Commission: The commission that examines and evaluates the thesis prepared by the assistant energy expert,</w:t>
      </w:r>
    </w:p>
    <w:p w14:paraId="315894D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e) Entrance Exam Commission: The exam commission that performs the entrance exam,"</w:t>
      </w:r>
    </w:p>
    <w:p w14:paraId="2E525E3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"k) yds/e-YDS: Foreign Language Knowledge Placement Exam/Electronic Foreign Language Knowledge Placement Exam,"</w:t>
      </w:r>
    </w:p>
    <w:p w14:paraId="28F5054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“l) Proficiency exam commission: The commission that performs the proficiency exam,”</w:t>
      </w:r>
    </w:p>
    <w:p w14:paraId="5AD7349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second sentence and the third paragraph of the first paragraph of Article 5 have been amended as follows;</w:t>
      </w:r>
    </w:p>
    <w:p w14:paraId="0D09D54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assistant energy expert entrance exam consists of written and oral exams."</w:t>
      </w:r>
    </w:p>
    <w:p w14:paraId="4D48F79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 All or part of the written exam can be held in classical and/or test method. If deemed appropriate by the President, some or all of the written exam may be taken by ÖSYM, universities or other public institutions and organizations specialized in this field. "</w:t>
      </w:r>
    </w:p>
    <w:p w14:paraId="0350198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second paragraph of Article 6 has been amended as follows, and the phrase "written" has been added to come after the phrase "Announcements" in the third paragraph.</w:t>
      </w:r>
    </w:p>
    <w:p w14:paraId="32F1160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 The number of staff to be appointed, the application dates, the conditions for participating in the entrance exam, the application procedure, the documents to be requested, the form, subjects, place, time, evaluation method of the exam and the types of scores according to the KPSS results, minimum scores and other issues are announced in the Official Gazette, on the website of the Authority and on the website of the Authority following the approval of the President."</w:t>
      </w:r>
    </w:p>
    <w:p w14:paraId="65E7FD2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 (c) of the first paragraph of Article 7 has been amended as follows.</w:t>
      </w:r>
    </w:p>
    <w:p w14:paraId="0FE727B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“c) To have received an unexpired base score from KPSS as of the application deadline according to the types of scores specified in the exam announcement,”</w:t>
      </w:r>
    </w:p>
    <w:p w14:paraId="31EA946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After the phrase "sample" in clause (a) of the first paragraph of Article 8, the phrase "(Original or certified copy of the document showing that the diploma equivalence is accepted by the Council of Higher Education for those who have completed their education abroad)" has been added, and clause (b) and the second paragraph have been amended as follows;</w:t>
      </w:r>
    </w:p>
    <w:p w14:paraId="0F4D25B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 Three color passport photos taken in the last three months,”</w:t>
      </w:r>
    </w:p>
    <w:p w14:paraId="1DACAA9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 Applications are made to the places specified in the advertisement in person or, if specified in the advertisement, by mail or online. The documents listed in the first paragraph must be submitted to the Authority by the end of the deadline for application. Delays in the mail and applications that are not made within the period specified in the announcement are not taken into account. "</w:t>
      </w:r>
    </w:p>
    <w:p w14:paraId="0418EC7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Article 9 has been repealed.</w:t>
      </w:r>
    </w:p>
    <w:p w14:paraId="4B33B4D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expressions "in case of exam," in the second and fifth paragraphs of Article 10 and the third paragraph has been repealed.</w:t>
      </w:r>
    </w:p>
    <w:p w14:paraId="19AD9DB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Article 11 is amended as follows.</w:t>
      </w:r>
    </w:p>
    <w:p w14:paraId="3488F1E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"ARTICLE 11- (1) The entrance examination commission consists of five original and five substitute members appointed from among the heads of departments, group heads or experts who have served in the Authority for at least five years under the chairmanship of the vice chairman or head of department appointed by the President. The Head of the Human Resources and Support Services Department is a natural member of the entrance examination commission. If the President deems it necessary, he/she can benefit from the faculty members of higher education institutions as a member of the entrance exam commission. However, the number of members to be appointed in this way cannot exceed two.</w:t>
      </w:r>
    </w:p>
    <w:p w14:paraId="04B575D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In the event that the principal members have documentary excuses, the substitute members participate in the entrance exam commission in the order of determination. Chairman and members of the entrance examination commission; even if they are divorced they cannot take part in the exams related to the branch of education attended by their spouses, blood and in-laws or adopted children up to the third degree (including this degree), and substitute members participate instead.</w:t>
      </w:r>
    </w:p>
    <w:p w14:paraId="4075F4F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w:t>
      </w:r>
      <w:r w:rsidRPr="00731F8E">
        <w:rPr>
          <w:rFonts w:ascii="Times New Roman" w:hAnsi="Times New Roman"/>
        </w:rPr>
        <w:tab/>
        <w:t>The entrance exam commission convenes with the full number of members and decides by a majority of votes. Abstentions cannot be used in decisions. Members of the entrance examination commission who vote against must write and sign their reasons in the commission decision.</w:t>
      </w:r>
    </w:p>
    <w:p w14:paraId="0844B03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w:t>
      </w:r>
      <w:r w:rsidRPr="00731F8E">
        <w:rPr>
          <w:rFonts w:ascii="Times New Roman" w:hAnsi="Times New Roman"/>
        </w:rPr>
        <w:tab/>
        <w:t>The preparation of the exam questions or having them prepared, the evaluation of the exam results and the examination and decision of the objections are made by the entrance exam commission.</w:t>
      </w:r>
    </w:p>
    <w:p w14:paraId="4E28A55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w:t>
      </w:r>
      <w:r w:rsidRPr="00731F8E">
        <w:rPr>
          <w:rFonts w:ascii="Times New Roman" w:hAnsi="Times New Roman"/>
        </w:rPr>
        <w:tab/>
        <w:t>The secretariat services of the entrance examination commission are carried out by the Human Resources and Support Services Department. "</w:t>
      </w:r>
    </w:p>
    <w:p w14:paraId="085CBEE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first and fourth paragraphs of Article 2 have been amended as follows;</w:t>
      </w:r>
    </w:p>
    <w:p w14:paraId="6914366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"(1) The written exam is held on the subjects of professional field knowledge and foreign language knowledge specified in the exam announcement, taking into account the graduation status."</w:t>
      </w:r>
    </w:p>
    <w:p w14:paraId="4778C84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 Foreign language or foreign languages in which foreign language questions will be prepared are specified in the entrance exam announcement."</w:t>
      </w:r>
    </w:p>
    <w:p w14:paraId="7FA7BC4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phrase "In case of written examination by the Authority" in the first paragraph of Article 13 has been changed as "In the written examination", clauses (b) and (e) have been changed as follows; the phrase "commission" in clause (ç) has been changed as "entrance examination commission", the phrase "Commission" in clause (g) has been changed as "Entrance examination commission" and the phrase "Commission" in clause (ğ) has been changed as "entrance examination commission".</w:t>
      </w:r>
    </w:p>
    <w:p w14:paraId="60EEFF5B"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 Exams are held under the supervision and supervision of the entrance examination commission. A sufficient number of supervisors are appointed by the chairman of the entrance exam commission. Before the exam starts, a report is issued that the candidates’ identity is checked, the question envelope is intact, closed and sealed, and the exam rules are explained and the closed question envelope is opened in front of the candidates. "</w:t>
      </w:r>
    </w:p>
    <w:p w14:paraId="4BC720C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"e) As a result of the written exam, the subjects of field knowledge and foreign language knowledge are evaluated separately over a hundred full points and a weight score of seventy percent is applied to the field knowledge and thirty percent to the foreign language knowledge. If the exam is held together in classical or classical and test method, the evaluation of the answer sheets is carried out separately by each member of the entrance exam commission by applying the weight score at the determined rates. In the exam made in this way, the arithmetic average of the final scores given by the chairman and members of the entrance exam commission is taken. In order to be considered successful in the written exam, it is necessary to get at least seventy points separately from the subjects of field knowledge and foreign language knowledge. "</w:t>
      </w:r>
    </w:p>
    <w:p w14:paraId="31420AA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w:t>
      </w:r>
      <w:r w:rsidRPr="00731F8E">
        <w:rPr>
          <w:rFonts w:ascii="Times New Roman" w:hAnsi="Times New Roman"/>
        </w:rPr>
        <w:tab/>
        <w:t>The phrase "or directly without a written exam" in Article 14 has been repealed, the phrase "commission" has been changed to "entrance exam commission" and the phrase "Commission" has been changed to "entrance exam commission".</w:t>
      </w:r>
    </w:p>
    <w:p w14:paraId="4DA05D2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first, third and fourth paragraphs of Article 15 have been amended as follows, and the phrase "Commission" in the sixth paragraph has been amended as "entrance exam commission";</w:t>
      </w:r>
    </w:p>
    <w:p w14:paraId="1C224D8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"(1) The entrance exam commission determines the entrance exam success scores of the candidates by taking the arithmetic average of the written exam and the oral exam grade."</w:t>
      </w:r>
    </w:p>
    <w:p w14:paraId="6B04FBE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 According to the exam results, the education specified in the announcement is ranked separately in terms of the branches of education specified in the entrance exam announcement, starting from the candidate with the highest success score. The names of the main candidates are determined by the minutes as much as the number of staff to be appointed according to their branches. Provided that he/she has received seventy or more points from the entrance exam, a list covering the names of the substitute candidates determined by the entrance exam commission shall be determined and announced, not exceeding half of the number of assistant experts specified in the entrance exam announcement. The reserve candidate list to be created in order of success is valid from the date of announcement of the exam results until the next exam, not exceeding one year. The original and reserve list determined with the approval of the President is announced on the website of the Authority. In addition, the exam result is notified in writing to the candidates who are successful in the exam.</w:t>
      </w:r>
    </w:p>
    <w:p w14:paraId="394087D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 When announcing the exam results, if the entrance exam results of the winning candidates are equal, the candidate with a high written score; If both scores are equal, the candidate with a high KPSS score is at the top of the ranking. "</w:t>
      </w:r>
    </w:p>
    <w:p w14:paraId="7BA707B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Clause (e) of the first paragraph of Article 16 has been amended as follows.</w:t>
      </w:r>
    </w:p>
    <w:p w14:paraId="51DFA01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"e) Information and documents to be requested within the scope of the provisions of the Regulation on Security Investigation and Archive Research, which was put into effect by the Presidential Decision dated 2/6/2022 and numbered 5649."</w:t>
      </w:r>
    </w:p>
    <w:p w14:paraId="0B0D7D9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second sentence of the fourth paragraph of Article 17 has been amended as follows;</w:t>
      </w:r>
    </w:p>
    <w:p w14:paraId="1F976DD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"Procedures are established in accordance with the provisions of the Regulation on Security Investigation and Archive Investigation for those who have negative results in the said investigation and interrogation procedures."</w:t>
      </w:r>
    </w:p>
    <w:p w14:paraId="0F5D60C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third and fourth paragraphs of Article 21 have been amended as follows;</w:t>
      </w:r>
    </w:p>
    <w:p w14:paraId="0C56179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 After the basic and preparatory training, an internship and training program is prepared for the assistant experts and approved by the President. The first two months of the internship and training program are considered as two seperate internship activities.</w:t>
      </w:r>
    </w:p>
    <w:p w14:paraId="5DD4EF2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 Assistant experts carry out accompanying work under the direction of at least two different departments during the internship and training period, provided that it is not less than two years in total. During the accompaniment work, the assistant experts conduct research and examinations with the head of the group or expert to be determined by the department they are assigned to, participate in other studies and learn professional practices. In addition, studies that will increase their knowledge and skills in correspondence and reporting techniques related to their duties are emphasized. In addition, it is ensured that expert assistants increase their professional knowledge and experience by participating in studies such as courses, seminars, internships and conferences to be organized in the country and abroad within the framework of institutional needs, relevant legislation and budget availabilities. At the end of the accompaniment work, the relevant department heads, group heads and experts fill in the accompaniment evaluation form to be shaped by the Presidency and send it to the Human Resources and Support Services Department. "</w:t>
      </w:r>
    </w:p>
    <w:p w14:paraId="4CE6799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Article 25 has been repealed.</w:t>
      </w:r>
    </w:p>
    <w:p w14:paraId="40D35CF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w:t>
      </w:r>
      <w:r w:rsidRPr="00731F8E">
        <w:rPr>
          <w:rFonts w:ascii="Times New Roman" w:hAnsi="Times New Roman"/>
        </w:rPr>
        <w:tab/>
        <w:t>The second paragraph of Article 26 has been amended as follows, and the phrase "Thesis projects" in the third paragraph has been amended as "Thesis project".</w:t>
      </w:r>
    </w:p>
    <w:p w14:paraId="07A231A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 Assistant expert; prepares the thesis project by determining a thesis subject within one month following the completion of the two-year service period, except for unpaid leave in the Authority and sickness and accompanying leaves exceeding three months in total, and submits it to the department where he/she works. The head of the department to which he/she is affiliated sends the thesis project to the Human Resources and Support Services Department within five working days at the latest, adding his/her own opinion. In the thesis project; the subject of the thesis, the purpose, importance, method, assumptions, information collection tools, possible bibliography, work plan and annexes, if any information is included. The assistant expert signs the thesis project together with the thesis advisor selected from within or outside the Authority. The thesis advisor to be selected from within the Authority must have worked in the Authority for at least five years and have prepared a specialty thesis or have at least a doctoral degree. The thesis advisor determined from outside the Authority must be a faculty member in the relevant branch of science. The thesis advisor can advise up to two assistant experts from each semester. The thesis advisor cannot take part in the thesis evaluation commission of the assistant expert to whom he/she is a consultant. "</w:t>
      </w:r>
    </w:p>
    <w:p w14:paraId="745840F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third sentence of the third paragraph of Article 27 has been repealed.</w:t>
      </w:r>
    </w:p>
    <w:p w14:paraId="78C1276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second paragraph of Article 15 has been amended as follows;</w:t>
      </w:r>
    </w:p>
    <w:p w14:paraId="2510CAE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 Due to the valid excuse, those who cannot submit their theses within the time limit are given an additional period of no more than three months to submit their theses."</w:t>
      </w:r>
    </w:p>
    <w:p w14:paraId="10457E0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 xml:space="preserve">Article 29 and its title have been amended as follows. </w:t>
      </w:r>
    </w:p>
    <w:p w14:paraId="54FF9DA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“Thesis evaluation commission”</w:t>
      </w:r>
    </w:p>
    <w:p w14:paraId="6D507086"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41F9C8D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29- (1) The thesis evaluation commission shall be appointed under the chairmanship of a department head to be determined by the President among the head of the department to which the deputy expert is affiliated and the group heads and/or experts who have served in the Authority for at least five years. It consists of a total of five principal members. If deemed necessary, faculty members from higher education institutions may also be appointed in the thesis evaluation commission. In addition, three substitute members are appointed. If the principal members cannot participate in the thesis evaluation commission due to an excuse that they can document, their deputies instead of the heads of departments and substitute members instead of other members participate in the determined order.</w:t>
      </w:r>
    </w:p>
    <w:p w14:paraId="269B3CE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w:t>
      </w:r>
      <w:r w:rsidRPr="00731F8E">
        <w:rPr>
          <w:rFonts w:ascii="Times New Roman" w:hAnsi="Times New Roman"/>
        </w:rPr>
        <w:tab/>
        <w:t>The thesis evaluation commission convenes with the total number of members and takes a decision with a majority of votes. Abstentions cannot be used in decisions. Members of the entrance examination commission who vote against must write and sign their reasons in the commission decision.</w:t>
      </w:r>
    </w:p>
    <w:p w14:paraId="2C7CE88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w:t>
      </w:r>
      <w:r w:rsidRPr="00731F8E">
        <w:rPr>
          <w:rFonts w:ascii="Times New Roman" w:hAnsi="Times New Roman"/>
        </w:rPr>
        <w:tab/>
        <w:t>The chairman and members of the thesis evaluation commission cannot take part in the exams attended by their spouses even if divorced, relatives by blood or by marriage to the third degree (including this degree) or their adopted children. Substitute members participate instead.</w:t>
      </w:r>
    </w:p>
    <w:p w14:paraId="4EF13EC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w:t>
      </w:r>
      <w:r w:rsidRPr="00731F8E">
        <w:rPr>
          <w:rFonts w:ascii="Times New Roman" w:hAnsi="Times New Roman"/>
        </w:rPr>
        <w:tab/>
        <w:t>The secretariat services of the thesis evaluation commission are carried out by the Department of Human Resources and Support Services. "</w:t>
      </w:r>
    </w:p>
    <w:p w14:paraId="18018FC4"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In Article 30, the phrase "jury" has been changed to "thesis evaluation commission", the phrase "jury" has been changed to "thesis evaluation commission", and the phrase "jury" has been changed to "thesis evaluation commission".</w:t>
      </w:r>
    </w:p>
    <w:p w14:paraId="0EF50C4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phrases "Jury" in Article 31 have been changed to "Thesis evaluation commission", and the phrase "jury" has been changed to "thesis evaluation commission".</w:t>
      </w:r>
    </w:p>
    <w:p w14:paraId="69E4AA8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second paragraph of the phrase "Jury" in the first paragraph of Article 32 has been amended as "Thesis evaluation commission" as follows.</w:t>
      </w:r>
    </w:p>
    <w:p w14:paraId="046DDEE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"(2) Those whose theses are not accepted are given additional time not to exceed six months to submit their theses or to prepare a new thesis. In case a new thesis is prepared, the thesis selection is made in accordance with the procedure in Article 26. "</w:t>
      </w:r>
    </w:p>
    <w:p w14:paraId="060BD9D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0FB0FC3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 xml:space="preserve">The following article has been added after the Article 33. </w:t>
      </w:r>
    </w:p>
    <w:p w14:paraId="13C8FED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“Proficiency examination commission”</w:t>
      </w:r>
    </w:p>
    <w:p w14:paraId="20E603D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33-A- (1) The entrance examination commission; consists of five original and five substitute members appointed from among the heads of departments, group heads or experts who have served in the Authority for at least five years under the chairmanship of the vice chairman or head of department appointed by the President. The Head of the Human Resources and Support Services Department is a natural member of the qualification examination commission. In the event that the original members cannot participate in the commission for any reason, the substitute members shall participate in the determination order.</w:t>
      </w:r>
    </w:p>
    <w:p w14:paraId="332DC7E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w:t>
      </w:r>
      <w:r w:rsidRPr="00731F8E">
        <w:rPr>
          <w:rFonts w:ascii="Times New Roman" w:hAnsi="Times New Roman"/>
        </w:rPr>
        <w:tab/>
        <w:t>The chairman and members of the qualification examination commission cannot take part in the qualification exams attended by their spouses even if divorced, relatives by blood andby marriage up to the third degree (including this degree) or adopted ones, and substitute members participate instead.</w:t>
      </w:r>
    </w:p>
    <w:p w14:paraId="7E5B250F"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w:t>
      </w:r>
      <w:r w:rsidRPr="00731F8E">
        <w:rPr>
          <w:rFonts w:ascii="Times New Roman" w:hAnsi="Times New Roman"/>
        </w:rPr>
        <w:tab/>
        <w:t>The secretariat services of the qualification examination commission are carried out by the Human Resources and Support Services Department. "</w:t>
      </w:r>
    </w:p>
    <w:p w14:paraId="09A9B47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34 has been amended as follows;</w:t>
      </w:r>
    </w:p>
    <w:p w14:paraId="4E7D61E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"ARTICLE 34- (1) The proficiency exam shall be held in writing by the proficiency exam commission on the date to be determined by the Presidency. The period between the date of success of the thesis and the date of the proficiency exam cannot be less than one month. If deemed appropriate by the President, the written exam questions, some or all of them may be prepared by universities or other public institutions and organizations specialized in this field. The subjects, place and date of the proficiency exam are announced to the assistant expert at least one month before the exam.</w:t>
      </w:r>
    </w:p>
    <w:p w14:paraId="3B216329"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(2)</w:t>
      </w:r>
      <w:r w:rsidRPr="00731F8E">
        <w:rPr>
          <w:rFonts w:ascii="Times New Roman" w:hAnsi="Times New Roman"/>
        </w:rPr>
        <w:tab/>
        <w:t>With the proficiency exam, it is measured whether the assistant expert has gained the knowledge and qualifications required by the legislation regarding the duties and powers of the Authority and the profession. The proficiency exam consists of the following subjects:</w:t>
      </w:r>
    </w:p>
    <w:p w14:paraId="0AE5F4F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a)</w:t>
      </w:r>
      <w:r w:rsidRPr="00731F8E">
        <w:rPr>
          <w:rFonts w:ascii="Times New Roman" w:hAnsi="Times New Roman"/>
        </w:rPr>
        <w:tab/>
        <w:t>Duties and authorities of the Authority (1)</w:t>
      </w:r>
    </w:p>
    <w:p w14:paraId="32F4404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b)</w:t>
      </w:r>
      <w:r w:rsidRPr="00731F8E">
        <w:rPr>
          <w:rFonts w:ascii="Times New Roman" w:hAnsi="Times New Roman"/>
        </w:rPr>
        <w:tab/>
        <w:t>Organizational law, legislation, data and policies related to electricity, natural gas, petroleum and LPG markets.</w:t>
      </w:r>
    </w:p>
    <w:p w14:paraId="5F522693"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c)</w:t>
      </w:r>
      <w:r w:rsidRPr="00731F8E">
        <w:rPr>
          <w:rFonts w:ascii="Times New Roman" w:hAnsi="Times New Roman"/>
        </w:rPr>
        <w:tab/>
        <w:t>Energy management in Turkey, Turkey's energy policies.</w:t>
      </w:r>
    </w:p>
    <w:p w14:paraId="6D9EC63E"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ç) International energy policies, international energy organization.</w:t>
      </w:r>
    </w:p>
    <w:p w14:paraId="7F28277D"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d)</w:t>
      </w:r>
      <w:r w:rsidRPr="00731F8E">
        <w:rPr>
          <w:rFonts w:ascii="Times New Roman" w:hAnsi="Times New Roman"/>
        </w:rPr>
        <w:tab/>
        <w:t>Other matters to be determined by the qualification examination commission, taking into account the graduation of the assistant expert, the work and transactions carried out.</w:t>
      </w:r>
    </w:p>
    <w:p w14:paraId="427FE710"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(3)</w:t>
      </w:r>
      <w:r w:rsidRPr="00731F8E">
        <w:rPr>
          <w:rFonts w:ascii="Times New Roman" w:hAnsi="Times New Roman"/>
        </w:rPr>
        <w:tab/>
        <w:t>If the written exam is held in the test procedure, the evaluation is made according to the answer key. In the event that the exam is held together in classical or classical and test method, the evaluation of the answer sheets is made separately by each member of the proficiency exam commission, the arithmetic average of the scores given by the members of the commission over one hundred full points is taken and the exam minutes are prepared by showing the grades given by each member separately. Assistant experts who score at least seventy points out of one hundred full points in the proficiency exam are considered successful.</w:t>
      </w:r>
    </w:p>
    <w:p w14:paraId="3FD02602"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p>
    <w:p w14:paraId="2F4EE25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(4)</w:t>
      </w:r>
      <w:r w:rsidRPr="00731F8E">
        <w:rPr>
          <w:rFonts w:ascii="Times New Roman" w:hAnsi="Times New Roman"/>
        </w:rPr>
        <w:tab/>
        <w:t>Those who fail the proficiency exam even though their thesis is found successful by the thesis evaluation commission or who do not use the exam right without a valid excuse even though they are entitled to take this exam are given the right to take the proficiency exam for the second time to be used within a year. "</w:t>
      </w:r>
    </w:p>
    <w:p w14:paraId="004EAFC7"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lastRenderedPageBreak/>
        <w:t>-</w:t>
      </w:r>
      <w:r w:rsidRPr="00731F8E">
        <w:rPr>
          <w:rFonts w:ascii="Times New Roman" w:hAnsi="Times New Roman"/>
        </w:rPr>
        <w:tab/>
        <w:t>The first sentence of the first paragraph of Article 35 and the second paragraph are amended as follows.</w:t>
      </w:r>
    </w:p>
    <w:p w14:paraId="65BA1C4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"The result of the proficiency exam is notified to the Human Resources and Support Services Department together with the exam minutes by the proficiency exam commission."</w:t>
      </w:r>
    </w:p>
    <w:p w14:paraId="2FDC292A"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 xml:space="preserve">"(2) The exam results may be objected within seven working days from the date of notification. As of the end of this period, the objections are examined and decided by the qualification examination commission within a maximum of ten working days and notified to the assistant expert. Decisions on objections are final. Objections not made in due time will not be taken into consideration. </w:t>
      </w:r>
    </w:p>
    <w:p w14:paraId="2C23EFCC"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first paragraph of Article 36 has been amended as follows and the second paragraph has been repealed;</w:t>
      </w:r>
    </w:p>
    <w:p w14:paraId="79B3402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"(1) The assistant expert, who has been notified that he/she is successful in the proficiency exam, is appointed to the cadre of energy expert if he/she submits another internationally valid document at the minimum (C) level or equivalent in terms of language proficiency from yds/e-YDS, which is valid on the date of the proficiency exam or has been taken within two years at the latest from the proficiency exam."</w:t>
      </w:r>
    </w:p>
    <w:p w14:paraId="6CB0BFE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The first paragraph of Article 41 has been amended as follows;</w:t>
      </w:r>
    </w:p>
    <w:p w14:paraId="53BDFF11"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"(1) Experts perform their duties within the framework of the relevant legislation, using scientific principles and methods, in line with the principles and strategies of the Authority."</w:t>
      </w:r>
    </w:p>
    <w:p w14:paraId="3AEF1168"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 xml:space="preserve">Provisional Article 1 and its title has been amended as follows. </w:t>
      </w:r>
    </w:p>
    <w:p w14:paraId="007BA1A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w:t>
      </w:r>
      <w:r w:rsidRPr="00731F8E">
        <w:rPr>
          <w:rFonts w:ascii="Times New Roman" w:hAnsi="Times New Roman"/>
        </w:rPr>
        <w:tab/>
        <w:t>“Existing Assistant Experts”</w:t>
      </w:r>
    </w:p>
    <w:p w14:paraId="21F4E8C5" w14:textId="77777777" w:rsidR="004C0A79" w:rsidRPr="00731F8E" w:rsidRDefault="004C0A79" w:rsidP="004C0A79">
      <w:pPr>
        <w:pStyle w:val="ListeParagraf"/>
        <w:tabs>
          <w:tab w:val="left" w:pos="836"/>
          <w:tab w:val="left" w:pos="838"/>
        </w:tabs>
        <w:spacing w:line="259" w:lineRule="auto"/>
        <w:ind w:left="838" w:right="971"/>
        <w:rPr>
          <w:rFonts w:ascii="Times New Roman" w:hAnsi="Times New Roman"/>
        </w:rPr>
      </w:pPr>
      <w:r w:rsidRPr="00731F8E">
        <w:rPr>
          <w:rFonts w:ascii="Times New Roman" w:hAnsi="Times New Roman"/>
        </w:rPr>
        <w:t>PROVISIONAL ARTICLE 1- (1) On the date of entry into force of the Regulation establishing this article, the theses of those who are assistant experts in the Authotity and do not make the thesis selection, proficiency exams and appointment to the cadres of energy experts shall be finalized in accordance with the provisions of the Regulation after the amendment."</w:t>
      </w:r>
    </w:p>
    <w:p w14:paraId="4B929F64" w14:textId="77777777" w:rsidR="004C0A79" w:rsidRPr="00731F8E" w:rsidRDefault="004C0A79" w:rsidP="004C0A79">
      <w:pPr>
        <w:pStyle w:val="GvdeMetni"/>
        <w:spacing w:before="4"/>
        <w:rPr>
          <w:rFonts w:cs="Times New Roman"/>
          <w:i/>
          <w:szCs w:val="22"/>
        </w:rPr>
      </w:pPr>
    </w:p>
    <w:p w14:paraId="52F98BCB" w14:textId="77777777" w:rsidR="004C0A79" w:rsidRPr="00731F8E" w:rsidRDefault="004C0A79" w:rsidP="004C0A79">
      <w:pPr>
        <w:tabs>
          <w:tab w:val="left" w:pos="856"/>
        </w:tabs>
        <w:spacing w:before="4"/>
        <w:ind w:right="133"/>
        <w:rPr>
          <w:rFonts w:ascii="Times New Roman" w:hAnsi="Times New Roman"/>
        </w:rPr>
      </w:pPr>
    </w:p>
    <w:p w14:paraId="20E3606A" w14:textId="5A6CFFB5" w:rsidR="2768CA13" w:rsidRPr="008902F2" w:rsidRDefault="2768CA13" w:rsidP="2768CA13">
      <w:pPr>
        <w:rPr>
          <w:rFonts w:ascii="Times New Roman" w:eastAsia="Times New Roman" w:hAnsi="Times New Roman"/>
          <w:color w:val="000000" w:themeColor="text1"/>
        </w:rPr>
      </w:pPr>
    </w:p>
    <w:p w14:paraId="63B68810" w14:textId="77777777" w:rsidR="00B70537" w:rsidRPr="008902F2" w:rsidRDefault="00B70537" w:rsidP="00B70537">
      <w:pPr>
        <w:pStyle w:val="ListeParagraf"/>
        <w:spacing w:after="0" w:line="259" w:lineRule="auto"/>
        <w:ind w:left="0" w:right="-143"/>
        <w:rPr>
          <w:rFonts w:ascii="Times New Roman" w:hAnsi="Times New Roman"/>
          <w:i/>
          <w:iCs/>
          <w:color w:val="000000" w:themeColor="text1"/>
        </w:rPr>
      </w:pPr>
      <w:bookmarkStart w:id="52" w:name="_Toc442431254"/>
    </w:p>
    <w:p w14:paraId="287A03D8" w14:textId="77777777" w:rsidR="00B70537" w:rsidRPr="008902F2" w:rsidRDefault="00B70537">
      <w:pPr>
        <w:jc w:val="left"/>
        <w:rPr>
          <w:rFonts w:ascii="Times New Roman" w:hAnsi="Times New Roman"/>
          <w:i/>
          <w:iCs/>
          <w:color w:val="000000" w:themeColor="text1"/>
        </w:rPr>
      </w:pPr>
      <w:r w:rsidRPr="008902F2">
        <w:rPr>
          <w:rFonts w:ascii="Times New Roman" w:hAnsi="Times New Roman"/>
          <w:i/>
          <w:iCs/>
          <w:color w:val="000000" w:themeColor="text1"/>
        </w:rPr>
        <w:br w:type="page"/>
      </w:r>
    </w:p>
    <w:p w14:paraId="1FF613C3" w14:textId="098C679F" w:rsidR="2768CA13" w:rsidRPr="008902F2" w:rsidRDefault="2768CA13" w:rsidP="00B70537">
      <w:pPr>
        <w:pStyle w:val="ListeParagraf"/>
        <w:spacing w:after="0" w:line="259" w:lineRule="auto"/>
        <w:ind w:left="0" w:right="-143"/>
        <w:rPr>
          <w:rFonts w:ascii="Times New Roman" w:hAnsi="Times New Roman"/>
          <w:i/>
          <w:iCs/>
          <w:color w:val="000000" w:themeColor="text1"/>
        </w:rPr>
        <w:sectPr w:rsidR="2768CA13" w:rsidRPr="008902F2" w:rsidSect="00F922DE">
          <w:footerReference w:type="first" r:id="rId22"/>
          <w:pgSz w:w="11906" w:h="16838"/>
          <w:pgMar w:top="1418" w:right="566" w:bottom="1418" w:left="1418" w:header="709" w:footer="709" w:gutter="0"/>
          <w:cols w:space="708"/>
          <w:docGrid w:linePitch="360"/>
        </w:sectPr>
      </w:pPr>
    </w:p>
    <w:p w14:paraId="3662C8C0" w14:textId="74393C36" w:rsidR="00CB5826" w:rsidRPr="008902F2" w:rsidRDefault="756206D8" w:rsidP="00A86526">
      <w:pPr>
        <w:pStyle w:val="Balk1"/>
        <w:numPr>
          <w:ilvl w:val="0"/>
          <w:numId w:val="24"/>
        </w:numPr>
        <w:spacing w:before="0" w:after="240"/>
        <w:rPr>
          <w:rFonts w:ascii="Times New Roman" w:hAnsi="Times New Roman" w:cs="Times New Roman"/>
          <w:szCs w:val="22"/>
          <w:lang w:val="en-US"/>
        </w:rPr>
      </w:pPr>
      <w:bookmarkStart w:id="53" w:name="_Hlk113239918"/>
      <w:bookmarkStart w:id="54" w:name="_Hlk113630074"/>
      <w:bookmarkStart w:id="55" w:name="_Hlk115943756"/>
      <w:bookmarkStart w:id="56" w:name="_Hlk113629055"/>
      <w:bookmarkStart w:id="57" w:name="_Hlk92370505"/>
      <w:bookmarkStart w:id="58" w:name="_Hlk92447109"/>
      <w:bookmarkStart w:id="59" w:name="_Hlk92372000"/>
      <w:bookmarkStart w:id="60" w:name="_Hlk92372269"/>
      <w:bookmarkStart w:id="61" w:name="_Hlk92222219"/>
      <w:bookmarkStart w:id="62" w:name="_Hlk92873860"/>
      <w:bookmarkStart w:id="63" w:name="_Toc442431241"/>
      <w:bookmarkStart w:id="64" w:name="_Toc514251618"/>
      <w:bookmarkStart w:id="65" w:name="_Toc6684436"/>
      <w:bookmarkStart w:id="66" w:name="_Hlk78189856"/>
      <w:bookmarkStart w:id="67" w:name="_Hlk92830541"/>
      <w:bookmarkStart w:id="68" w:name="_Toc442431246"/>
      <w:bookmarkStart w:id="69" w:name="_Hlk94693853"/>
      <w:bookmarkStart w:id="70" w:name="_Toc14311340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902F2">
        <w:rPr>
          <w:rFonts w:ascii="Times New Roman" w:hAnsi="Times New Roman" w:cs="Times New Roman"/>
          <w:szCs w:val="22"/>
          <w:lang w:val="en-US"/>
        </w:rPr>
        <w:lastRenderedPageBreak/>
        <w:t>LICENSING, CERTIFICATION AND PERMITTING ACTIVITIES</w:t>
      </w:r>
      <w:bookmarkEnd w:id="52"/>
      <w:bookmarkEnd w:id="70"/>
    </w:p>
    <w:p w14:paraId="13564551" w14:textId="77777777" w:rsidR="00CB5826" w:rsidRPr="008902F2" w:rsidRDefault="00CB5826" w:rsidP="00CB5826">
      <w:pPr>
        <w:spacing w:after="0"/>
        <w:rPr>
          <w:rFonts w:ascii="Times New Roman" w:hAnsi="Times New Roman"/>
        </w:rPr>
      </w:pPr>
      <w:r w:rsidRPr="008902F2">
        <w:rPr>
          <w:rFonts w:ascii="Times New Roman" w:hAnsi="Times New Roman"/>
        </w:rPr>
        <w:t>This section includes licensing, certification and permitting activities for electricity, natural gas, oil and LPG markets.</w:t>
      </w:r>
    </w:p>
    <w:p w14:paraId="28884FF6" w14:textId="77777777" w:rsidR="00CB5826" w:rsidRPr="008902F2" w:rsidRDefault="43BAFEC2" w:rsidP="00A86526">
      <w:pPr>
        <w:pStyle w:val="Balk2"/>
        <w:numPr>
          <w:ilvl w:val="1"/>
          <w:numId w:val="27"/>
        </w:numPr>
        <w:spacing w:before="240" w:after="240"/>
        <w:rPr>
          <w:rFonts w:ascii="Times New Roman" w:hAnsi="Times New Roman" w:cs="Times New Roman"/>
          <w:szCs w:val="22"/>
        </w:rPr>
      </w:pPr>
      <w:bookmarkStart w:id="71" w:name="_Toc442431255"/>
      <w:r w:rsidRPr="008902F2">
        <w:rPr>
          <w:rFonts w:ascii="Times New Roman" w:hAnsi="Times New Roman" w:cs="Times New Roman"/>
          <w:szCs w:val="22"/>
        </w:rPr>
        <w:t xml:space="preserve"> </w:t>
      </w:r>
      <w:bookmarkStart w:id="72" w:name="_Toc143113403"/>
      <w:r w:rsidRPr="008902F2">
        <w:rPr>
          <w:rFonts w:ascii="Times New Roman" w:hAnsi="Times New Roman" w:cs="Times New Roman"/>
          <w:szCs w:val="22"/>
        </w:rPr>
        <w:t>Electricity Market Licensing and Permitting Activities</w:t>
      </w:r>
      <w:bookmarkEnd w:id="71"/>
      <w:bookmarkEnd w:id="72"/>
    </w:p>
    <w:p w14:paraId="1975EDA3" w14:textId="77777777" w:rsidR="00AB21FD" w:rsidRPr="008902F2" w:rsidRDefault="756206D8" w:rsidP="00A86526">
      <w:pPr>
        <w:pStyle w:val="Balk3"/>
        <w:numPr>
          <w:ilvl w:val="2"/>
          <w:numId w:val="27"/>
        </w:numPr>
        <w:spacing w:after="240"/>
        <w:rPr>
          <w:rFonts w:ascii="Times New Roman" w:hAnsi="Times New Roman" w:cs="Times New Roman"/>
        </w:rPr>
      </w:pPr>
      <w:bookmarkStart w:id="73" w:name="_Toc442431256"/>
      <w:bookmarkStart w:id="74" w:name="_Toc143113404"/>
      <w:r w:rsidRPr="008902F2">
        <w:rPr>
          <w:rFonts w:ascii="Times New Roman" w:hAnsi="Times New Roman" w:cs="Times New Roman"/>
        </w:rPr>
        <w:t>Licensing Activities</w:t>
      </w:r>
      <w:bookmarkEnd w:id="73"/>
      <w:bookmarkEnd w:id="74"/>
    </w:p>
    <w:p w14:paraId="442AB339" w14:textId="30629AEF" w:rsidR="00AB21FD" w:rsidRPr="008902F2" w:rsidRDefault="4F771E27" w:rsidP="00AB21FD">
      <w:pPr>
        <w:spacing w:after="0"/>
        <w:rPr>
          <w:rFonts w:ascii="Times New Roman" w:hAnsi="Times New Roman"/>
        </w:rPr>
      </w:pPr>
      <w:r w:rsidRPr="008902F2">
        <w:rPr>
          <w:rFonts w:ascii="Times New Roman" w:hAnsi="Times New Roman"/>
        </w:rPr>
        <w:t>Article 4, paragraph 1 of Law No. 6446 on the Electricity Market enumerates the activities that can be carried out through obtaining a license under the provisions of the law in the electricity market. These activities include generation, transmission, distribution, wholesale supply, retail supply, market operation, import, and export activities. Paragraph 3 of the same article defines legal entities that can operate in the market. In this context, legal entities wishing to engage in activities in the electricity market are required to obtain a license from the Authority. Procedures and principles related to the licenses issued by the Authority are regulated in the Electricity Market Licensing Regulation.</w:t>
      </w:r>
    </w:p>
    <w:p w14:paraId="51DE83A3" w14:textId="77777777" w:rsidR="005A2989" w:rsidRPr="008902F2" w:rsidRDefault="005A2989" w:rsidP="00AB21FD">
      <w:pPr>
        <w:spacing w:after="0"/>
        <w:rPr>
          <w:rFonts w:ascii="Times New Roman" w:hAnsi="Times New Roman"/>
        </w:rPr>
      </w:pPr>
    </w:p>
    <w:p w14:paraId="3CB898EF" w14:textId="42425D3D" w:rsidR="621766AA" w:rsidRPr="008902F2" w:rsidRDefault="621766AA" w:rsidP="6F691FB8">
      <w:pPr>
        <w:spacing w:after="0"/>
        <w:rPr>
          <w:rFonts w:ascii="Times New Roman" w:hAnsi="Times New Roman"/>
        </w:rPr>
      </w:pPr>
      <w:r w:rsidRPr="008902F2">
        <w:rPr>
          <w:rFonts w:ascii="Times New Roman" w:hAnsi="Times New Roman"/>
        </w:rPr>
        <w:t>With the exception of exemptions in the electricity market, market activities are conducted within the scope of licenses obtained from the Authority. It is mandatory to obtain a separate license for each market activity and for each facility where the activity is conducted, unless exempted. License holders are obliged to maintain separate accounts and records for each licensed activity and for each region where the activity is limited, for each activity subject to tariff regulation and within the scope of the license for that activity.</w:t>
      </w:r>
    </w:p>
    <w:p w14:paraId="4907302A" w14:textId="38182917" w:rsidR="6F691FB8" w:rsidRPr="008902F2" w:rsidRDefault="6F691FB8" w:rsidP="6F691FB8">
      <w:pPr>
        <w:spacing w:after="0"/>
        <w:rPr>
          <w:rFonts w:ascii="Times New Roman" w:hAnsi="Times New Roman"/>
        </w:rPr>
      </w:pPr>
    </w:p>
    <w:p w14:paraId="20E7E792" w14:textId="34B17FE9" w:rsidR="00AB21FD" w:rsidRPr="008902F2" w:rsidRDefault="2F3E7A5B" w:rsidP="00AB21FD">
      <w:pPr>
        <w:spacing w:after="0"/>
        <w:rPr>
          <w:rFonts w:ascii="Times New Roman" w:hAnsi="Times New Roman"/>
        </w:rPr>
      </w:pPr>
      <w:r w:rsidRPr="008902F2">
        <w:rPr>
          <w:rFonts w:ascii="Times New Roman" w:hAnsi="Times New Roman"/>
        </w:rPr>
        <w:t>Licenses cannot be transferred; however, the shares of the license holder can be transferred. Pursuant to the amendment made by the Law on the Amendment of the Electricity Market Law and Some Laws, published in the Official Gazette dated 02.12.2020 and numbered 31322, and dated 22.11.2020 and numbered 7257, shares of legal entities that are subject to tariff regulation can only be transferred with the approval of the Authority, whereas the approval requirement for share transfers of other license holders has been removed. Furthermore, if a license holder intends to merge as a whole with another license holder or a legal entity that is not a license holder, within its own structure or the structure of another license holder, or if a license holder intends to fully or partially split, permission must be obtained from the Authority</w:t>
      </w:r>
      <w:r w:rsidR="005A2989" w:rsidRPr="008902F2">
        <w:rPr>
          <w:rFonts w:ascii="Times New Roman" w:hAnsi="Times New Roman"/>
        </w:rPr>
        <w:t>.</w:t>
      </w:r>
    </w:p>
    <w:p w14:paraId="33DDB71F" w14:textId="08CD770E" w:rsidR="6F691FB8" w:rsidRPr="008902F2" w:rsidRDefault="6F691FB8" w:rsidP="6F691FB8">
      <w:pPr>
        <w:spacing w:after="0"/>
        <w:rPr>
          <w:rFonts w:ascii="Times New Roman" w:hAnsi="Times New Roman"/>
        </w:rPr>
      </w:pPr>
    </w:p>
    <w:p w14:paraId="23E509F7" w14:textId="26BC8DA3" w:rsidR="59167B29" w:rsidRPr="008902F2" w:rsidRDefault="59167B29" w:rsidP="6F691FB8">
      <w:pPr>
        <w:spacing w:after="0"/>
        <w:rPr>
          <w:rFonts w:ascii="Times New Roman" w:hAnsi="Times New Roman"/>
        </w:rPr>
      </w:pPr>
      <w:r w:rsidRPr="008902F2">
        <w:rPr>
          <w:rFonts w:ascii="Times New Roman" w:hAnsi="Times New Roman"/>
        </w:rPr>
        <w:t xml:space="preserve">Licenses can be granted for a minimum period of ten years and a maximum period of forty-nine years for production, transmission, and distribution licenses. Legal entities holding licenses are required to carry out their activities within the framework defined in the license and to secure their facility assets related to the activities against potential risks in accordance with the activity types. In this context, legal entities holding licenses are obligated to secure their production, transmission, and distribution facilities against risks such as natural disasters, fire, accidents, theft, third-party liability, terrorism, and sabotage. </w:t>
      </w:r>
    </w:p>
    <w:p w14:paraId="55400AA2" w14:textId="2A06184E" w:rsidR="6F691FB8" w:rsidRPr="008902F2" w:rsidRDefault="6F691FB8" w:rsidP="6F691FB8">
      <w:pPr>
        <w:spacing w:after="0"/>
        <w:rPr>
          <w:rFonts w:ascii="Times New Roman" w:hAnsi="Times New Roman"/>
        </w:rPr>
      </w:pPr>
    </w:p>
    <w:p w14:paraId="62553475" w14:textId="7007D077" w:rsidR="00E15918" w:rsidRPr="008902F2" w:rsidRDefault="59167B29" w:rsidP="00422076">
      <w:pPr>
        <w:spacing w:after="0"/>
        <w:rPr>
          <w:rFonts w:ascii="Times New Roman" w:hAnsi="Times New Roman"/>
        </w:rPr>
      </w:pPr>
      <w:r w:rsidRPr="008902F2">
        <w:rPr>
          <w:rFonts w:ascii="Times New Roman" w:hAnsi="Times New Roman"/>
        </w:rPr>
        <w:t>The licenses granted by the Authority for operating in the electricity market are Production License, Transmission License, Distribution License, Supply License, Industrial Zone Distribution License, Industrial Zone Production License, and Market Operation License.</w:t>
      </w:r>
      <w:bookmarkStart w:id="75" w:name="_Toc416447575"/>
      <w:bookmarkStart w:id="76" w:name="_Toc442441729"/>
      <w:bookmarkStart w:id="77" w:name="_Toc132713891"/>
    </w:p>
    <w:p w14:paraId="5D080015" w14:textId="77777777" w:rsidR="00422076" w:rsidRPr="008902F2" w:rsidRDefault="00422076" w:rsidP="00422076">
      <w:pPr>
        <w:spacing w:after="0"/>
        <w:rPr>
          <w:rStyle w:val="Gl"/>
          <w:rFonts w:ascii="Times New Roman" w:hAnsi="Times New Roman"/>
          <w:b w:val="0"/>
          <w:bCs w:val="0"/>
        </w:rPr>
      </w:pPr>
    </w:p>
    <w:p w14:paraId="6D67BEE1" w14:textId="1E13794A" w:rsidR="00CB5826" w:rsidRPr="008902F2" w:rsidRDefault="00CB5826" w:rsidP="00422076">
      <w:pPr>
        <w:pStyle w:val="Balk5"/>
        <w:jc w:val="center"/>
        <w:rPr>
          <w:rStyle w:val="Gl"/>
          <w:rFonts w:ascii="Times New Roman" w:hAnsi="Times New Roman" w:cs="Times New Roman"/>
          <w:color w:val="000000" w:themeColor="text1"/>
        </w:rPr>
      </w:pPr>
      <w:r w:rsidRPr="008902F2">
        <w:rPr>
          <w:rStyle w:val="Gl"/>
          <w:rFonts w:ascii="Times New Roman" w:hAnsi="Times New Roman" w:cs="Times New Roman"/>
          <w:color w:val="000000" w:themeColor="text1"/>
        </w:rPr>
        <w:t>Table 3.1: License Transactions in the Electricity Market in 2022 (Units)</w:t>
      </w:r>
      <w:bookmarkEnd w:id="75"/>
      <w:bookmarkEnd w:id="76"/>
      <w:bookmarkEnd w:id="77"/>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312"/>
        <w:gridCol w:w="1376"/>
        <w:gridCol w:w="993"/>
        <w:gridCol w:w="1134"/>
        <w:gridCol w:w="1136"/>
        <w:gridCol w:w="1417"/>
        <w:gridCol w:w="850"/>
        <w:gridCol w:w="1693"/>
      </w:tblGrid>
      <w:tr w:rsidR="00422076" w:rsidRPr="008902F2" w14:paraId="596AAFDA" w14:textId="77777777" w:rsidTr="00422076">
        <w:trPr>
          <w:trHeight w:val="1095"/>
          <w:jc w:val="center"/>
        </w:trPr>
        <w:tc>
          <w:tcPr>
            <w:tcW w:w="662" w:type="pct"/>
            <w:shd w:val="clear" w:color="000000" w:fill="6E9ECA"/>
            <w:vAlign w:val="center"/>
            <w:hideMark/>
          </w:tcPr>
          <w:p w14:paraId="0C24BADC"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694" w:type="pct"/>
            <w:shd w:val="clear" w:color="000000" w:fill="6E9ECA"/>
            <w:vAlign w:val="center"/>
            <w:hideMark/>
          </w:tcPr>
          <w:p w14:paraId="253D750E"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 Applications</w:t>
            </w:r>
          </w:p>
        </w:tc>
        <w:tc>
          <w:tcPr>
            <w:tcW w:w="501" w:type="pct"/>
            <w:shd w:val="clear" w:color="000000" w:fill="6E9ECA"/>
            <w:vAlign w:val="center"/>
            <w:hideMark/>
          </w:tcPr>
          <w:p w14:paraId="35DEDD19"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Granted</w:t>
            </w:r>
          </w:p>
        </w:tc>
        <w:tc>
          <w:tcPr>
            <w:tcW w:w="572" w:type="pct"/>
            <w:shd w:val="clear" w:color="000000" w:fill="6E9ECA"/>
            <w:vAlign w:val="center"/>
            <w:hideMark/>
          </w:tcPr>
          <w:p w14:paraId="70484799" w14:textId="0E0D57D4"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w:t>
            </w:r>
            <w:r w:rsidR="00422076" w:rsidRPr="008902F2">
              <w:rPr>
                <w:rFonts w:ascii="Times New Roman" w:eastAsia="Times New Roman" w:hAnsi="Times New Roman"/>
                <w:b/>
                <w:color w:val="FFFFFF"/>
              </w:rPr>
              <w:t xml:space="preserve"> </w:t>
            </w:r>
            <w:r w:rsidRPr="008902F2">
              <w:rPr>
                <w:rFonts w:ascii="Times New Roman" w:eastAsia="Times New Roman" w:hAnsi="Times New Roman"/>
                <w:b/>
                <w:color w:val="FFFFFF"/>
              </w:rPr>
              <w:t>/</w:t>
            </w:r>
            <w:r w:rsidR="00422076" w:rsidRPr="008902F2">
              <w:rPr>
                <w:rFonts w:ascii="Times New Roman" w:eastAsia="Times New Roman" w:hAnsi="Times New Roman"/>
                <w:b/>
                <w:color w:val="FFFFFF"/>
              </w:rPr>
              <w:t xml:space="preserve"> </w:t>
            </w:r>
            <w:r w:rsidRPr="008902F2">
              <w:rPr>
                <w:rFonts w:ascii="Times New Roman" w:eastAsia="Times New Roman" w:hAnsi="Times New Roman"/>
                <w:b/>
                <w:color w:val="FFFFFF"/>
              </w:rPr>
              <w:lastRenderedPageBreak/>
              <w:t>Expired Licenses</w:t>
            </w:r>
          </w:p>
        </w:tc>
        <w:tc>
          <w:tcPr>
            <w:tcW w:w="573" w:type="pct"/>
            <w:shd w:val="clear" w:color="000000" w:fill="6E9ECA"/>
            <w:vAlign w:val="center"/>
            <w:hideMark/>
          </w:tcPr>
          <w:p w14:paraId="503D922E"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lastRenderedPageBreak/>
              <w:t>Number of Revoked Licenses</w:t>
            </w:r>
          </w:p>
        </w:tc>
        <w:tc>
          <w:tcPr>
            <w:tcW w:w="715" w:type="pct"/>
            <w:shd w:val="clear" w:color="000000" w:fill="6E9ECA"/>
            <w:vAlign w:val="center"/>
            <w:hideMark/>
          </w:tcPr>
          <w:p w14:paraId="585895DA"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Amendments</w:t>
            </w:r>
          </w:p>
        </w:tc>
        <w:tc>
          <w:tcPr>
            <w:tcW w:w="429" w:type="pct"/>
            <w:shd w:val="clear" w:color="000000" w:fill="6E9ECA"/>
            <w:vAlign w:val="center"/>
            <w:hideMark/>
          </w:tcPr>
          <w:p w14:paraId="370B0089"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854" w:type="pct"/>
            <w:shd w:val="clear" w:color="000000" w:fill="6E9ECA"/>
            <w:vAlign w:val="center"/>
            <w:hideMark/>
          </w:tcPr>
          <w:p w14:paraId="5E318CEF"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Term</w:t>
            </w:r>
          </w:p>
        </w:tc>
      </w:tr>
      <w:tr w:rsidR="00422076" w:rsidRPr="008902F2" w14:paraId="0685F282" w14:textId="77777777" w:rsidTr="00515E9F">
        <w:trPr>
          <w:trHeight w:val="340"/>
          <w:jc w:val="center"/>
        </w:trPr>
        <w:tc>
          <w:tcPr>
            <w:tcW w:w="662" w:type="pct"/>
            <w:shd w:val="clear" w:color="auto" w:fill="auto"/>
            <w:vAlign w:val="center"/>
            <w:hideMark/>
          </w:tcPr>
          <w:p w14:paraId="1C05EBBA"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Distribution License</w:t>
            </w:r>
          </w:p>
        </w:tc>
        <w:tc>
          <w:tcPr>
            <w:tcW w:w="694" w:type="pct"/>
            <w:shd w:val="clear" w:color="auto" w:fill="auto"/>
            <w:vAlign w:val="center"/>
            <w:hideMark/>
          </w:tcPr>
          <w:p w14:paraId="0CF44D54"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01" w:type="pct"/>
            <w:shd w:val="clear" w:color="auto" w:fill="auto"/>
            <w:vAlign w:val="center"/>
            <w:hideMark/>
          </w:tcPr>
          <w:p w14:paraId="165DCE8A"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2" w:type="pct"/>
            <w:shd w:val="clear" w:color="auto" w:fill="auto"/>
            <w:vAlign w:val="center"/>
            <w:hideMark/>
          </w:tcPr>
          <w:p w14:paraId="7BD0726E"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3" w:type="pct"/>
            <w:shd w:val="clear" w:color="auto" w:fill="auto"/>
            <w:vAlign w:val="center"/>
            <w:hideMark/>
          </w:tcPr>
          <w:p w14:paraId="47F30171"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715" w:type="pct"/>
            <w:shd w:val="clear" w:color="auto" w:fill="auto"/>
            <w:vAlign w:val="center"/>
            <w:hideMark/>
          </w:tcPr>
          <w:p w14:paraId="15AA318D"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 </w:t>
            </w:r>
          </w:p>
        </w:tc>
        <w:tc>
          <w:tcPr>
            <w:tcW w:w="429" w:type="pct"/>
            <w:shd w:val="clear" w:color="auto" w:fill="auto"/>
            <w:vAlign w:val="center"/>
            <w:hideMark/>
          </w:tcPr>
          <w:p w14:paraId="132FFD68"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854" w:type="pct"/>
            <w:shd w:val="clear" w:color="auto" w:fill="auto"/>
            <w:vAlign w:val="center"/>
            <w:hideMark/>
          </w:tcPr>
          <w:p w14:paraId="7B568215"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21</w:t>
            </w:r>
          </w:p>
        </w:tc>
      </w:tr>
      <w:tr w:rsidR="00422076" w:rsidRPr="008902F2" w14:paraId="3D619BC4" w14:textId="77777777" w:rsidTr="00515E9F">
        <w:trPr>
          <w:trHeight w:val="340"/>
          <w:jc w:val="center"/>
        </w:trPr>
        <w:tc>
          <w:tcPr>
            <w:tcW w:w="662" w:type="pct"/>
            <w:shd w:val="clear" w:color="auto" w:fill="auto"/>
            <w:vAlign w:val="center"/>
            <w:hideMark/>
          </w:tcPr>
          <w:p w14:paraId="2C080262"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Transmission License</w:t>
            </w:r>
          </w:p>
        </w:tc>
        <w:tc>
          <w:tcPr>
            <w:tcW w:w="694" w:type="pct"/>
            <w:shd w:val="clear" w:color="auto" w:fill="auto"/>
            <w:vAlign w:val="center"/>
            <w:hideMark/>
          </w:tcPr>
          <w:p w14:paraId="6F6BB521"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01" w:type="pct"/>
            <w:shd w:val="clear" w:color="auto" w:fill="auto"/>
            <w:vAlign w:val="center"/>
            <w:hideMark/>
          </w:tcPr>
          <w:p w14:paraId="53AF8648"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2" w:type="pct"/>
            <w:shd w:val="clear" w:color="auto" w:fill="auto"/>
            <w:vAlign w:val="center"/>
            <w:hideMark/>
          </w:tcPr>
          <w:p w14:paraId="3A6AE620"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3" w:type="pct"/>
            <w:shd w:val="clear" w:color="auto" w:fill="auto"/>
            <w:vAlign w:val="center"/>
            <w:hideMark/>
          </w:tcPr>
          <w:p w14:paraId="5D56E414"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715" w:type="pct"/>
            <w:shd w:val="clear" w:color="auto" w:fill="auto"/>
            <w:vAlign w:val="center"/>
            <w:hideMark/>
          </w:tcPr>
          <w:p w14:paraId="01512BE8"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 </w:t>
            </w:r>
          </w:p>
        </w:tc>
        <w:tc>
          <w:tcPr>
            <w:tcW w:w="429" w:type="pct"/>
            <w:shd w:val="clear" w:color="auto" w:fill="auto"/>
            <w:vAlign w:val="center"/>
            <w:hideMark/>
          </w:tcPr>
          <w:p w14:paraId="6BC9F2DD"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854" w:type="pct"/>
            <w:shd w:val="clear" w:color="auto" w:fill="auto"/>
            <w:vAlign w:val="center"/>
            <w:hideMark/>
          </w:tcPr>
          <w:p w14:paraId="050B3AD0"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1</w:t>
            </w:r>
          </w:p>
        </w:tc>
      </w:tr>
      <w:tr w:rsidR="00422076" w:rsidRPr="008902F2" w14:paraId="2BB78654" w14:textId="77777777" w:rsidTr="00515E9F">
        <w:trPr>
          <w:trHeight w:val="340"/>
          <w:jc w:val="center"/>
        </w:trPr>
        <w:tc>
          <w:tcPr>
            <w:tcW w:w="662" w:type="pct"/>
            <w:shd w:val="clear" w:color="auto" w:fill="auto"/>
            <w:vAlign w:val="center"/>
            <w:hideMark/>
          </w:tcPr>
          <w:p w14:paraId="4E1F9E7F"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OSB Distribution License</w:t>
            </w:r>
          </w:p>
        </w:tc>
        <w:tc>
          <w:tcPr>
            <w:tcW w:w="694" w:type="pct"/>
            <w:shd w:val="clear" w:color="auto" w:fill="auto"/>
            <w:vAlign w:val="center"/>
            <w:hideMark/>
          </w:tcPr>
          <w:p w14:paraId="44B0A208"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8</w:t>
            </w:r>
          </w:p>
        </w:tc>
        <w:tc>
          <w:tcPr>
            <w:tcW w:w="501" w:type="pct"/>
            <w:shd w:val="clear" w:color="auto" w:fill="auto"/>
            <w:vAlign w:val="center"/>
            <w:hideMark/>
          </w:tcPr>
          <w:p w14:paraId="75697EEC"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7</w:t>
            </w:r>
          </w:p>
        </w:tc>
        <w:tc>
          <w:tcPr>
            <w:tcW w:w="572" w:type="pct"/>
            <w:shd w:val="clear" w:color="auto" w:fill="auto"/>
            <w:vAlign w:val="center"/>
            <w:hideMark/>
          </w:tcPr>
          <w:p w14:paraId="24452D0A"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3" w:type="pct"/>
            <w:shd w:val="clear" w:color="auto" w:fill="auto"/>
            <w:vAlign w:val="center"/>
            <w:hideMark/>
          </w:tcPr>
          <w:p w14:paraId="6A355B75"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715" w:type="pct"/>
            <w:shd w:val="clear" w:color="auto" w:fill="auto"/>
            <w:vAlign w:val="center"/>
            <w:hideMark/>
          </w:tcPr>
          <w:p w14:paraId="0B778152"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3</w:t>
            </w:r>
          </w:p>
        </w:tc>
        <w:tc>
          <w:tcPr>
            <w:tcW w:w="429" w:type="pct"/>
            <w:shd w:val="clear" w:color="auto" w:fill="auto"/>
            <w:vAlign w:val="center"/>
            <w:hideMark/>
          </w:tcPr>
          <w:p w14:paraId="5D9857E1"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18</w:t>
            </w:r>
          </w:p>
        </w:tc>
        <w:tc>
          <w:tcPr>
            <w:tcW w:w="854" w:type="pct"/>
            <w:shd w:val="clear" w:color="auto" w:fill="auto"/>
            <w:vAlign w:val="center"/>
            <w:hideMark/>
          </w:tcPr>
          <w:p w14:paraId="61407E9D"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196</w:t>
            </w:r>
          </w:p>
        </w:tc>
      </w:tr>
      <w:tr w:rsidR="00422076" w:rsidRPr="008902F2" w14:paraId="6DFA88F5" w14:textId="77777777" w:rsidTr="00515E9F">
        <w:trPr>
          <w:trHeight w:val="340"/>
          <w:jc w:val="center"/>
        </w:trPr>
        <w:tc>
          <w:tcPr>
            <w:tcW w:w="662" w:type="pct"/>
            <w:shd w:val="clear" w:color="auto" w:fill="auto"/>
            <w:vAlign w:val="center"/>
            <w:hideMark/>
          </w:tcPr>
          <w:p w14:paraId="2EFBBFBE"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OSB Production License</w:t>
            </w:r>
          </w:p>
        </w:tc>
        <w:tc>
          <w:tcPr>
            <w:tcW w:w="694" w:type="pct"/>
            <w:shd w:val="clear" w:color="auto" w:fill="auto"/>
            <w:vAlign w:val="center"/>
            <w:hideMark/>
          </w:tcPr>
          <w:p w14:paraId="579F9DF6"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01" w:type="pct"/>
            <w:shd w:val="clear" w:color="auto" w:fill="auto"/>
            <w:vAlign w:val="center"/>
            <w:hideMark/>
          </w:tcPr>
          <w:p w14:paraId="0146225B"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2" w:type="pct"/>
            <w:shd w:val="clear" w:color="auto" w:fill="auto"/>
            <w:vAlign w:val="center"/>
            <w:hideMark/>
          </w:tcPr>
          <w:p w14:paraId="4207ADCD"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3" w:type="pct"/>
            <w:shd w:val="clear" w:color="auto" w:fill="auto"/>
            <w:vAlign w:val="center"/>
            <w:hideMark/>
          </w:tcPr>
          <w:p w14:paraId="5D64A453"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715" w:type="pct"/>
            <w:shd w:val="clear" w:color="auto" w:fill="auto"/>
            <w:vAlign w:val="center"/>
            <w:hideMark/>
          </w:tcPr>
          <w:p w14:paraId="0DA70637"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 </w:t>
            </w:r>
          </w:p>
        </w:tc>
        <w:tc>
          <w:tcPr>
            <w:tcW w:w="429" w:type="pct"/>
            <w:shd w:val="clear" w:color="auto" w:fill="auto"/>
            <w:vAlign w:val="center"/>
            <w:hideMark/>
          </w:tcPr>
          <w:p w14:paraId="3081C80F"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854" w:type="pct"/>
            <w:shd w:val="clear" w:color="auto" w:fill="auto"/>
            <w:vAlign w:val="center"/>
            <w:hideMark/>
          </w:tcPr>
          <w:p w14:paraId="7A036E3D"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3</w:t>
            </w:r>
          </w:p>
        </w:tc>
      </w:tr>
      <w:tr w:rsidR="00422076" w:rsidRPr="008902F2" w14:paraId="5333ED59" w14:textId="77777777" w:rsidTr="00515E9F">
        <w:trPr>
          <w:trHeight w:val="340"/>
          <w:jc w:val="center"/>
        </w:trPr>
        <w:tc>
          <w:tcPr>
            <w:tcW w:w="662" w:type="pct"/>
            <w:shd w:val="clear" w:color="auto" w:fill="auto"/>
            <w:vAlign w:val="center"/>
            <w:hideMark/>
          </w:tcPr>
          <w:p w14:paraId="5572A301"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Production Associate Degree*</w:t>
            </w:r>
          </w:p>
        </w:tc>
        <w:tc>
          <w:tcPr>
            <w:tcW w:w="694" w:type="pct"/>
            <w:shd w:val="clear" w:color="auto" w:fill="auto"/>
            <w:vAlign w:val="center"/>
            <w:hideMark/>
          </w:tcPr>
          <w:p w14:paraId="036AC05E"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347</w:t>
            </w:r>
          </w:p>
        </w:tc>
        <w:tc>
          <w:tcPr>
            <w:tcW w:w="501" w:type="pct"/>
            <w:shd w:val="clear" w:color="auto" w:fill="auto"/>
            <w:vAlign w:val="center"/>
            <w:hideMark/>
          </w:tcPr>
          <w:p w14:paraId="5E240B06"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96</w:t>
            </w:r>
          </w:p>
        </w:tc>
        <w:tc>
          <w:tcPr>
            <w:tcW w:w="572" w:type="pct"/>
            <w:shd w:val="clear" w:color="auto" w:fill="auto"/>
            <w:vAlign w:val="center"/>
            <w:hideMark/>
          </w:tcPr>
          <w:p w14:paraId="3CBA40D0"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51</w:t>
            </w:r>
          </w:p>
        </w:tc>
        <w:tc>
          <w:tcPr>
            <w:tcW w:w="573" w:type="pct"/>
            <w:shd w:val="clear" w:color="auto" w:fill="auto"/>
            <w:vAlign w:val="center"/>
            <w:hideMark/>
          </w:tcPr>
          <w:p w14:paraId="6B965A47"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w:t>
            </w:r>
          </w:p>
        </w:tc>
        <w:tc>
          <w:tcPr>
            <w:tcW w:w="715" w:type="pct"/>
            <w:shd w:val="clear" w:color="auto" w:fill="auto"/>
            <w:vAlign w:val="center"/>
            <w:hideMark/>
          </w:tcPr>
          <w:p w14:paraId="44C26413"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22</w:t>
            </w:r>
          </w:p>
        </w:tc>
        <w:tc>
          <w:tcPr>
            <w:tcW w:w="429" w:type="pct"/>
            <w:shd w:val="clear" w:color="auto" w:fill="auto"/>
            <w:vAlign w:val="center"/>
            <w:hideMark/>
          </w:tcPr>
          <w:p w14:paraId="297C5CAB"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517</w:t>
            </w:r>
          </w:p>
        </w:tc>
        <w:tc>
          <w:tcPr>
            <w:tcW w:w="854" w:type="pct"/>
            <w:shd w:val="clear" w:color="auto" w:fill="auto"/>
            <w:vAlign w:val="center"/>
            <w:hideMark/>
          </w:tcPr>
          <w:p w14:paraId="094661BD"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263</w:t>
            </w:r>
          </w:p>
        </w:tc>
      </w:tr>
      <w:tr w:rsidR="00422076" w:rsidRPr="008902F2" w14:paraId="4A373A48" w14:textId="77777777" w:rsidTr="00515E9F">
        <w:trPr>
          <w:trHeight w:val="340"/>
          <w:jc w:val="center"/>
        </w:trPr>
        <w:tc>
          <w:tcPr>
            <w:tcW w:w="662" w:type="pct"/>
            <w:shd w:val="clear" w:color="auto" w:fill="auto"/>
            <w:vAlign w:val="center"/>
            <w:hideMark/>
          </w:tcPr>
          <w:p w14:paraId="73951EB0"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Market Operating License</w:t>
            </w:r>
          </w:p>
        </w:tc>
        <w:tc>
          <w:tcPr>
            <w:tcW w:w="694" w:type="pct"/>
            <w:shd w:val="clear" w:color="auto" w:fill="auto"/>
            <w:vAlign w:val="center"/>
            <w:hideMark/>
          </w:tcPr>
          <w:p w14:paraId="3209E21E"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01" w:type="pct"/>
            <w:shd w:val="clear" w:color="auto" w:fill="auto"/>
            <w:vAlign w:val="center"/>
            <w:hideMark/>
          </w:tcPr>
          <w:p w14:paraId="62D7B3BE"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2" w:type="pct"/>
            <w:shd w:val="clear" w:color="auto" w:fill="auto"/>
            <w:vAlign w:val="center"/>
            <w:hideMark/>
          </w:tcPr>
          <w:p w14:paraId="1E6EE343"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573" w:type="pct"/>
            <w:shd w:val="clear" w:color="auto" w:fill="auto"/>
            <w:vAlign w:val="center"/>
            <w:hideMark/>
          </w:tcPr>
          <w:p w14:paraId="42EFDDCA"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715" w:type="pct"/>
            <w:shd w:val="clear" w:color="auto" w:fill="auto"/>
            <w:vAlign w:val="center"/>
            <w:hideMark/>
          </w:tcPr>
          <w:p w14:paraId="371CAACD" w14:textId="77777777" w:rsidR="00330B87" w:rsidRPr="008902F2" w:rsidRDefault="00537FF1"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0 </w:t>
            </w:r>
          </w:p>
        </w:tc>
        <w:tc>
          <w:tcPr>
            <w:tcW w:w="429" w:type="pct"/>
            <w:shd w:val="clear" w:color="auto" w:fill="auto"/>
            <w:vAlign w:val="center"/>
            <w:hideMark/>
          </w:tcPr>
          <w:p w14:paraId="624370D3"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854" w:type="pct"/>
            <w:shd w:val="clear" w:color="auto" w:fill="auto"/>
            <w:vAlign w:val="center"/>
            <w:hideMark/>
          </w:tcPr>
          <w:p w14:paraId="138328F9"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eastAsia="Times New Roman" w:hAnsi="Times New Roman"/>
                <w:b/>
                <w:color w:val="000000"/>
              </w:rPr>
              <w:t>2</w:t>
            </w:r>
          </w:p>
        </w:tc>
      </w:tr>
      <w:tr w:rsidR="00422076" w:rsidRPr="008902F2" w14:paraId="048A8FFE" w14:textId="77777777" w:rsidTr="00515E9F">
        <w:trPr>
          <w:trHeight w:val="340"/>
          <w:jc w:val="center"/>
        </w:trPr>
        <w:tc>
          <w:tcPr>
            <w:tcW w:w="662" w:type="pct"/>
            <w:shd w:val="clear" w:color="auto" w:fill="auto"/>
            <w:vAlign w:val="center"/>
            <w:hideMark/>
          </w:tcPr>
          <w:p w14:paraId="05F9D574"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Supply License</w:t>
            </w:r>
          </w:p>
        </w:tc>
        <w:tc>
          <w:tcPr>
            <w:tcW w:w="694" w:type="pct"/>
            <w:shd w:val="clear" w:color="auto" w:fill="auto"/>
            <w:vAlign w:val="center"/>
            <w:hideMark/>
          </w:tcPr>
          <w:p w14:paraId="72947656"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74</w:t>
            </w:r>
          </w:p>
        </w:tc>
        <w:tc>
          <w:tcPr>
            <w:tcW w:w="501" w:type="pct"/>
            <w:shd w:val="clear" w:color="auto" w:fill="auto"/>
            <w:vAlign w:val="center"/>
            <w:hideMark/>
          </w:tcPr>
          <w:p w14:paraId="58A771A2"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75</w:t>
            </w:r>
          </w:p>
        </w:tc>
        <w:tc>
          <w:tcPr>
            <w:tcW w:w="572" w:type="pct"/>
            <w:shd w:val="clear" w:color="auto" w:fill="auto"/>
            <w:vAlign w:val="center"/>
            <w:hideMark/>
          </w:tcPr>
          <w:p w14:paraId="68D9363B"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3</w:t>
            </w:r>
          </w:p>
        </w:tc>
        <w:tc>
          <w:tcPr>
            <w:tcW w:w="573" w:type="pct"/>
            <w:shd w:val="clear" w:color="auto" w:fill="auto"/>
            <w:vAlign w:val="center"/>
            <w:hideMark/>
          </w:tcPr>
          <w:p w14:paraId="54B6C890"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2</w:t>
            </w:r>
          </w:p>
        </w:tc>
        <w:tc>
          <w:tcPr>
            <w:tcW w:w="715" w:type="pct"/>
            <w:shd w:val="clear" w:color="auto" w:fill="auto"/>
            <w:vAlign w:val="center"/>
            <w:hideMark/>
          </w:tcPr>
          <w:p w14:paraId="423D4B9D"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15</w:t>
            </w:r>
          </w:p>
        </w:tc>
        <w:tc>
          <w:tcPr>
            <w:tcW w:w="429" w:type="pct"/>
            <w:shd w:val="clear" w:color="auto" w:fill="auto"/>
            <w:vAlign w:val="center"/>
            <w:hideMark/>
          </w:tcPr>
          <w:p w14:paraId="01687A06"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169</w:t>
            </w:r>
          </w:p>
        </w:tc>
        <w:tc>
          <w:tcPr>
            <w:tcW w:w="854" w:type="pct"/>
            <w:shd w:val="clear" w:color="auto" w:fill="auto"/>
            <w:vAlign w:val="center"/>
            <w:hideMark/>
          </w:tcPr>
          <w:p w14:paraId="0EEDF11B" w14:textId="77777777"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hAnsi="Times New Roman"/>
                <w:b/>
                <w:color w:val="000000"/>
              </w:rPr>
              <w:t>301</w:t>
            </w:r>
          </w:p>
        </w:tc>
      </w:tr>
      <w:tr w:rsidR="00422076" w:rsidRPr="008902F2" w14:paraId="1EDD9167" w14:textId="77777777" w:rsidTr="00515E9F">
        <w:trPr>
          <w:trHeight w:val="340"/>
          <w:jc w:val="center"/>
        </w:trPr>
        <w:tc>
          <w:tcPr>
            <w:tcW w:w="662" w:type="pct"/>
            <w:shd w:val="clear" w:color="auto" w:fill="auto"/>
            <w:vAlign w:val="center"/>
            <w:hideMark/>
          </w:tcPr>
          <w:p w14:paraId="6F7D752B" w14:textId="77777777" w:rsidR="00330B87" w:rsidRPr="008902F2" w:rsidRDefault="00330B87" w:rsidP="00515E9F">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Production License</w:t>
            </w:r>
          </w:p>
        </w:tc>
        <w:tc>
          <w:tcPr>
            <w:tcW w:w="694" w:type="pct"/>
            <w:shd w:val="clear" w:color="auto" w:fill="auto"/>
            <w:vAlign w:val="center"/>
            <w:hideMark/>
          </w:tcPr>
          <w:p w14:paraId="61A51A77"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39</w:t>
            </w:r>
          </w:p>
        </w:tc>
        <w:tc>
          <w:tcPr>
            <w:tcW w:w="501" w:type="pct"/>
            <w:shd w:val="clear" w:color="auto" w:fill="auto"/>
            <w:vAlign w:val="center"/>
            <w:hideMark/>
          </w:tcPr>
          <w:p w14:paraId="04C1D538"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62</w:t>
            </w:r>
          </w:p>
        </w:tc>
        <w:tc>
          <w:tcPr>
            <w:tcW w:w="572" w:type="pct"/>
            <w:shd w:val="clear" w:color="auto" w:fill="auto"/>
            <w:vAlign w:val="center"/>
            <w:hideMark/>
          </w:tcPr>
          <w:p w14:paraId="00B008B9"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52</w:t>
            </w:r>
          </w:p>
        </w:tc>
        <w:tc>
          <w:tcPr>
            <w:tcW w:w="573" w:type="pct"/>
            <w:shd w:val="clear" w:color="auto" w:fill="auto"/>
            <w:vAlign w:val="center"/>
            <w:hideMark/>
          </w:tcPr>
          <w:p w14:paraId="76DB90EB"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5</w:t>
            </w:r>
          </w:p>
        </w:tc>
        <w:tc>
          <w:tcPr>
            <w:tcW w:w="715" w:type="pct"/>
            <w:shd w:val="clear" w:color="auto" w:fill="auto"/>
            <w:vAlign w:val="center"/>
            <w:hideMark/>
          </w:tcPr>
          <w:p w14:paraId="0B543BE5"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417</w:t>
            </w:r>
          </w:p>
        </w:tc>
        <w:tc>
          <w:tcPr>
            <w:tcW w:w="429" w:type="pct"/>
            <w:shd w:val="clear" w:color="auto" w:fill="auto"/>
            <w:vAlign w:val="center"/>
            <w:hideMark/>
          </w:tcPr>
          <w:p w14:paraId="516E5B54" w14:textId="77777777" w:rsidR="00330B87" w:rsidRPr="008902F2" w:rsidRDefault="00330B87" w:rsidP="00330B87">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575</w:t>
            </w:r>
          </w:p>
        </w:tc>
        <w:tc>
          <w:tcPr>
            <w:tcW w:w="854" w:type="pct"/>
            <w:shd w:val="clear" w:color="auto" w:fill="auto"/>
            <w:vAlign w:val="center"/>
            <w:hideMark/>
          </w:tcPr>
          <w:p w14:paraId="0E7DD993" w14:textId="7CF9FC4C" w:rsidR="00330B87" w:rsidRPr="008902F2" w:rsidRDefault="00330B87" w:rsidP="00330B87">
            <w:pPr>
              <w:spacing w:after="0" w:line="240" w:lineRule="auto"/>
              <w:jc w:val="right"/>
              <w:rPr>
                <w:rFonts w:ascii="Times New Roman" w:eastAsia="Times New Roman" w:hAnsi="Times New Roman"/>
                <w:b/>
                <w:color w:val="000000"/>
                <w:lang w:eastAsia="tr-TR"/>
              </w:rPr>
            </w:pPr>
            <w:r w:rsidRPr="008902F2">
              <w:rPr>
                <w:rFonts w:ascii="Times New Roman" w:hAnsi="Times New Roman"/>
                <w:b/>
                <w:color w:val="000000"/>
              </w:rPr>
              <w:t>1</w:t>
            </w:r>
            <w:r w:rsidR="00B43DAC" w:rsidRPr="008902F2">
              <w:rPr>
                <w:rFonts w:ascii="Times New Roman" w:hAnsi="Times New Roman"/>
                <w:b/>
                <w:color w:val="000000"/>
              </w:rPr>
              <w:t>.</w:t>
            </w:r>
            <w:r w:rsidRPr="008902F2">
              <w:rPr>
                <w:rFonts w:ascii="Times New Roman" w:hAnsi="Times New Roman"/>
                <w:b/>
                <w:color w:val="000000"/>
              </w:rPr>
              <w:t>890</w:t>
            </w:r>
          </w:p>
        </w:tc>
      </w:tr>
      <w:tr w:rsidR="00422076" w:rsidRPr="008902F2" w14:paraId="1B2C5B8F" w14:textId="77777777" w:rsidTr="00515E9F">
        <w:trPr>
          <w:trHeight w:val="340"/>
          <w:jc w:val="center"/>
        </w:trPr>
        <w:tc>
          <w:tcPr>
            <w:tcW w:w="662" w:type="pct"/>
            <w:shd w:val="clear" w:color="auto" w:fill="auto"/>
            <w:vAlign w:val="center"/>
            <w:hideMark/>
          </w:tcPr>
          <w:p w14:paraId="58B4E25C" w14:textId="77777777" w:rsidR="00881DA9" w:rsidRPr="008902F2" w:rsidRDefault="00881DA9"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Sum</w:t>
            </w:r>
          </w:p>
        </w:tc>
        <w:tc>
          <w:tcPr>
            <w:tcW w:w="694"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5EC727CF" w14:textId="77777777" w:rsidR="00881DA9" w:rsidRPr="008902F2" w:rsidRDefault="00537FF1"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468</w:t>
            </w:r>
          </w:p>
        </w:tc>
        <w:tc>
          <w:tcPr>
            <w:tcW w:w="501"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3A7A6776" w14:textId="77777777" w:rsidR="00881DA9" w:rsidRPr="008902F2" w:rsidRDefault="00537FF1"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240</w:t>
            </w:r>
          </w:p>
        </w:tc>
        <w:tc>
          <w:tcPr>
            <w:tcW w:w="572"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352E6F29" w14:textId="77777777" w:rsidR="00881DA9" w:rsidRPr="008902F2" w:rsidRDefault="00537FF1"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108</w:t>
            </w:r>
          </w:p>
        </w:tc>
        <w:tc>
          <w:tcPr>
            <w:tcW w:w="573"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03853697" w14:textId="77777777" w:rsidR="00881DA9" w:rsidRPr="008902F2" w:rsidRDefault="00881DA9"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8</w:t>
            </w:r>
          </w:p>
        </w:tc>
        <w:tc>
          <w:tcPr>
            <w:tcW w:w="715"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217B4BAA" w14:textId="77777777" w:rsidR="00881DA9" w:rsidRPr="008902F2" w:rsidRDefault="00B44AB8"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483</w:t>
            </w:r>
          </w:p>
        </w:tc>
        <w:tc>
          <w:tcPr>
            <w:tcW w:w="429"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5FBCDD14" w14:textId="75F96DE6" w:rsidR="00881DA9" w:rsidRPr="008902F2" w:rsidRDefault="00881DA9"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1</w:t>
            </w:r>
            <w:r w:rsidR="00B43DAC" w:rsidRPr="008902F2">
              <w:rPr>
                <w:rFonts w:ascii="Times New Roman" w:hAnsi="Times New Roman"/>
                <w:b/>
              </w:rPr>
              <w:t>.</w:t>
            </w:r>
            <w:r w:rsidRPr="008902F2">
              <w:rPr>
                <w:rFonts w:ascii="Times New Roman" w:hAnsi="Times New Roman"/>
                <w:b/>
              </w:rPr>
              <w:t>279</w:t>
            </w:r>
          </w:p>
        </w:tc>
        <w:tc>
          <w:tcPr>
            <w:tcW w:w="854"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2FC947AB" w14:textId="1D50F79B" w:rsidR="00881DA9" w:rsidRPr="008902F2" w:rsidRDefault="00537FF1" w:rsidP="00881DA9">
            <w:pPr>
              <w:spacing w:after="0" w:line="240" w:lineRule="auto"/>
              <w:jc w:val="right"/>
              <w:rPr>
                <w:rFonts w:ascii="Times New Roman" w:eastAsia="Times New Roman" w:hAnsi="Times New Roman"/>
                <w:b/>
                <w:bCs/>
                <w:color w:val="000000"/>
                <w:lang w:eastAsia="tr-TR"/>
              </w:rPr>
            </w:pPr>
            <w:r w:rsidRPr="008902F2">
              <w:rPr>
                <w:rFonts w:ascii="Times New Roman" w:hAnsi="Times New Roman"/>
                <w:b/>
              </w:rPr>
              <w:t>2</w:t>
            </w:r>
            <w:r w:rsidR="00B43DAC" w:rsidRPr="008902F2">
              <w:rPr>
                <w:rFonts w:ascii="Times New Roman" w:hAnsi="Times New Roman"/>
                <w:b/>
              </w:rPr>
              <w:t>.</w:t>
            </w:r>
            <w:r w:rsidRPr="008902F2">
              <w:rPr>
                <w:rFonts w:ascii="Times New Roman" w:hAnsi="Times New Roman"/>
                <w:b/>
              </w:rPr>
              <w:t>453</w:t>
            </w:r>
          </w:p>
        </w:tc>
      </w:tr>
    </w:tbl>
    <w:p w14:paraId="211D2550" w14:textId="221B7F3B" w:rsidR="00CB5826" w:rsidRPr="008902F2" w:rsidRDefault="756206D8" w:rsidP="6F691FB8">
      <w:pPr>
        <w:spacing w:after="0" w:line="240" w:lineRule="auto"/>
        <w:rPr>
          <w:rFonts w:ascii="Times New Roman" w:hAnsi="Times New Roman"/>
          <w:i/>
          <w:iCs/>
          <w:sz w:val="20"/>
          <w:szCs w:val="20"/>
        </w:rPr>
      </w:pPr>
      <w:r w:rsidRPr="008902F2">
        <w:rPr>
          <w:rFonts w:ascii="Times New Roman" w:hAnsi="Times New Roman"/>
          <w:sz w:val="20"/>
          <w:szCs w:val="20"/>
        </w:rPr>
        <w:t>*</w:t>
      </w:r>
      <w:r w:rsidR="6C47100E" w:rsidRPr="008902F2">
        <w:rPr>
          <w:rFonts w:ascii="Times New Roman" w:hAnsi="Times New Roman"/>
          <w:sz w:val="20"/>
          <w:szCs w:val="20"/>
        </w:rPr>
        <w:t xml:space="preserve"> The legal entity applying for a Production License is granted permission by the Authority for a specified period to obtain the necessary permits, approvals, licenses, and similar documents required by regulations to initiate the investment in the production facility. This permission allows the legal entity to acquire ownership or usage rights for the area where the production facility will be established.</w:t>
      </w:r>
    </w:p>
    <w:p w14:paraId="4148676D" w14:textId="77777777" w:rsidR="00CB5826" w:rsidRPr="008902F2" w:rsidRDefault="00CB5826" w:rsidP="00CB5826">
      <w:pPr>
        <w:spacing w:after="0"/>
        <w:rPr>
          <w:rFonts w:ascii="Times New Roman" w:hAnsi="Times New Roman"/>
        </w:rPr>
      </w:pPr>
    </w:p>
    <w:p w14:paraId="100B3741" w14:textId="77777777" w:rsidR="00CB5826" w:rsidRPr="008902F2" w:rsidRDefault="00CB5826" w:rsidP="00CB5826">
      <w:pPr>
        <w:spacing w:after="0"/>
        <w:rPr>
          <w:rFonts w:ascii="Times New Roman" w:hAnsi="Times New Roman"/>
        </w:rPr>
      </w:pPr>
      <w:r w:rsidRPr="008902F2">
        <w:rPr>
          <w:rFonts w:ascii="Times New Roman" w:hAnsi="Times New Roman"/>
        </w:rPr>
        <w:t>The licensing procedures carried out by the Authority within the scope of the production activity and the distribution of the licensed production capacity as of the end of 2022 on the basis of fuel/resource type and installed power are shown in Table 3.2.</w:t>
      </w:r>
    </w:p>
    <w:p w14:paraId="64EFBB0F" w14:textId="77777777" w:rsidR="00CB5826" w:rsidRPr="008902F2" w:rsidRDefault="00CB5826" w:rsidP="00C466F8">
      <w:pPr>
        <w:spacing w:after="0"/>
        <w:jc w:val="center"/>
        <w:rPr>
          <w:rFonts w:ascii="Times New Roman" w:hAnsi="Times New Roman"/>
        </w:rPr>
      </w:pPr>
    </w:p>
    <w:p w14:paraId="79907035" w14:textId="77777777" w:rsidR="00CB5826" w:rsidRPr="008902F2" w:rsidRDefault="00CB5826" w:rsidP="00C466F8">
      <w:pPr>
        <w:pStyle w:val="Balk5"/>
        <w:spacing w:before="0"/>
        <w:jc w:val="center"/>
        <w:rPr>
          <w:rStyle w:val="Gl"/>
          <w:rFonts w:ascii="Times New Roman" w:hAnsi="Times New Roman" w:cs="Times New Roman"/>
          <w:color w:val="000000" w:themeColor="text1"/>
        </w:rPr>
      </w:pPr>
      <w:bookmarkStart w:id="78" w:name="_Toc416447578"/>
      <w:bookmarkStart w:id="79" w:name="_Toc442441731"/>
      <w:bookmarkStart w:id="80" w:name="_Toc132713892"/>
      <w:bookmarkStart w:id="81" w:name="_Hlk126241511"/>
      <w:r w:rsidRPr="008902F2">
        <w:rPr>
          <w:rStyle w:val="Gl"/>
          <w:rFonts w:ascii="Times New Roman" w:hAnsi="Times New Roman" w:cs="Times New Roman"/>
          <w:color w:val="000000" w:themeColor="text1"/>
        </w:rPr>
        <w:t xml:space="preserve">Table 3.2: License Procedures Carried Out in the Electricity Market within the Scope of Generation Activities in 2022 </w:t>
      </w:r>
      <w:bookmarkStart w:id="82" w:name="_Toc416447579"/>
      <w:bookmarkEnd w:id="78"/>
      <w:bookmarkEnd w:id="79"/>
      <w:bookmarkEnd w:id="80"/>
      <w:bookmarkEnd w:id="8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70"/>
        <w:gridCol w:w="1265"/>
        <w:gridCol w:w="1241"/>
        <w:gridCol w:w="1187"/>
        <w:gridCol w:w="1444"/>
        <w:gridCol w:w="980"/>
        <w:gridCol w:w="1266"/>
        <w:gridCol w:w="1258"/>
      </w:tblGrid>
      <w:tr w:rsidR="00B43DAC" w:rsidRPr="008902F2" w14:paraId="587818CD" w14:textId="77777777" w:rsidTr="00B43DAC">
        <w:trPr>
          <w:trHeight w:val="1790"/>
          <w:tblHeader/>
        </w:trPr>
        <w:tc>
          <w:tcPr>
            <w:tcW w:w="647" w:type="pct"/>
            <w:shd w:val="clear" w:color="000000" w:fill="6E9ECA"/>
            <w:vAlign w:val="center"/>
            <w:hideMark/>
          </w:tcPr>
          <w:p w14:paraId="7FE4660F"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632" w:type="pct"/>
            <w:shd w:val="clear" w:color="auto" w:fill="6E9ECA"/>
            <w:vAlign w:val="center"/>
            <w:hideMark/>
          </w:tcPr>
          <w:p w14:paraId="5CFFE870"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Source/Fuel Type</w:t>
            </w:r>
          </w:p>
        </w:tc>
        <w:tc>
          <w:tcPr>
            <w:tcW w:w="598" w:type="pct"/>
            <w:shd w:val="clear" w:color="000000" w:fill="6E9ECA"/>
            <w:vAlign w:val="center"/>
            <w:hideMark/>
          </w:tcPr>
          <w:p w14:paraId="347475E3"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Application (MWe)</w:t>
            </w:r>
          </w:p>
          <w:p w14:paraId="271C0797"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p>
        </w:tc>
        <w:tc>
          <w:tcPr>
            <w:tcW w:w="605" w:type="pct"/>
            <w:shd w:val="clear" w:color="000000" w:fill="6E9ECA"/>
            <w:vAlign w:val="center"/>
            <w:hideMark/>
          </w:tcPr>
          <w:p w14:paraId="36A47D14" w14:textId="04EA980C"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Licensed Installed Power Issued</w:t>
            </w:r>
            <w:r w:rsidR="00B43DAC" w:rsidRPr="008902F2">
              <w:rPr>
                <w:rFonts w:ascii="Times New Roman" w:eastAsia="Times New Roman" w:hAnsi="Times New Roman"/>
                <w:b/>
                <w:color w:val="FFFFFF"/>
              </w:rPr>
              <w:t xml:space="preserve"> </w:t>
            </w:r>
            <w:r w:rsidRPr="008902F2">
              <w:rPr>
                <w:rFonts w:ascii="Times New Roman" w:eastAsia="Times New Roman" w:hAnsi="Times New Roman"/>
                <w:b/>
                <w:color w:val="FFFFFF"/>
              </w:rPr>
              <w:t>(MWe)</w:t>
            </w:r>
          </w:p>
        </w:tc>
        <w:tc>
          <w:tcPr>
            <w:tcW w:w="734" w:type="pct"/>
            <w:shd w:val="clear" w:color="000000" w:fill="6E9ECA"/>
            <w:vAlign w:val="center"/>
            <w:hideMark/>
          </w:tcPr>
          <w:p w14:paraId="3B1719A4" w14:textId="1EFA36C8"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Expired/</w:t>
            </w:r>
            <w:r w:rsidR="00B43DAC" w:rsidRPr="008902F2">
              <w:rPr>
                <w:rFonts w:ascii="Times New Roman" w:eastAsia="Times New Roman" w:hAnsi="Times New Roman"/>
                <w:b/>
                <w:color w:val="FFFFFF"/>
              </w:rPr>
              <w:t xml:space="preserve"> </w:t>
            </w:r>
            <w:r w:rsidRPr="008902F2">
              <w:rPr>
                <w:rFonts w:ascii="Times New Roman" w:eastAsia="Times New Roman" w:hAnsi="Times New Roman"/>
                <w:b/>
                <w:color w:val="FFFFFF"/>
              </w:rPr>
              <w:t>Terminated</w:t>
            </w:r>
          </w:p>
          <w:p w14:paraId="36286200"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LicenseBoard Power (MWe)</w:t>
            </w:r>
          </w:p>
        </w:tc>
        <w:tc>
          <w:tcPr>
            <w:tcW w:w="500" w:type="pct"/>
            <w:shd w:val="clear" w:color="000000" w:fill="6E9ECA"/>
            <w:vAlign w:val="center"/>
            <w:hideMark/>
          </w:tcPr>
          <w:p w14:paraId="1E20E0AA"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Revoked License Installed Power (MWe)</w:t>
            </w:r>
          </w:p>
        </w:tc>
        <w:tc>
          <w:tcPr>
            <w:tcW w:w="644" w:type="pct"/>
            <w:shd w:val="clear" w:color="000000" w:fill="6E9ECA"/>
            <w:vAlign w:val="center"/>
            <w:hideMark/>
          </w:tcPr>
          <w:p w14:paraId="13C4366A"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Licensed Installed Power in Force at the End of the Term</w:t>
            </w:r>
          </w:p>
        </w:tc>
        <w:tc>
          <w:tcPr>
            <w:tcW w:w="641" w:type="pct"/>
            <w:shd w:val="clear" w:color="000000" w:fill="6E9ECA"/>
            <w:vAlign w:val="center"/>
            <w:hideMark/>
          </w:tcPr>
          <w:p w14:paraId="61C3C820" w14:textId="77777777" w:rsidR="00442F9A" w:rsidRPr="008902F2" w:rsidRDefault="00442F9A" w:rsidP="00442F9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the Semester (Units)</w:t>
            </w:r>
          </w:p>
        </w:tc>
      </w:tr>
      <w:tr w:rsidR="00B43DAC" w:rsidRPr="008902F2" w14:paraId="08E377C7" w14:textId="77777777" w:rsidTr="00515E9F">
        <w:trPr>
          <w:trHeight w:val="412"/>
        </w:trPr>
        <w:tc>
          <w:tcPr>
            <w:tcW w:w="647" w:type="pct"/>
            <w:vMerge w:val="restart"/>
            <w:shd w:val="clear" w:color="auto" w:fill="auto"/>
            <w:vAlign w:val="center"/>
            <w:hideMark/>
          </w:tcPr>
          <w:p w14:paraId="19D080BE" w14:textId="77777777" w:rsidR="00FD3B66" w:rsidRPr="008902F2" w:rsidRDefault="00FD3B66"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OSB Production License</w:t>
            </w:r>
          </w:p>
        </w:tc>
        <w:tc>
          <w:tcPr>
            <w:tcW w:w="632" w:type="pct"/>
            <w:shd w:val="clear" w:color="auto" w:fill="auto"/>
            <w:vAlign w:val="center"/>
            <w:hideMark/>
          </w:tcPr>
          <w:p w14:paraId="19B23E82" w14:textId="77777777" w:rsidR="00FD3B66" w:rsidRPr="008902F2" w:rsidRDefault="00FD3B66"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Natural Gas</w:t>
            </w:r>
          </w:p>
        </w:tc>
        <w:tc>
          <w:tcPr>
            <w:tcW w:w="598" w:type="pct"/>
            <w:shd w:val="clear" w:color="auto" w:fill="auto"/>
            <w:vAlign w:val="center"/>
            <w:hideMark/>
          </w:tcPr>
          <w:p w14:paraId="71FF66A7"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0,00</w:t>
            </w:r>
          </w:p>
        </w:tc>
        <w:tc>
          <w:tcPr>
            <w:tcW w:w="605" w:type="pct"/>
            <w:shd w:val="clear" w:color="auto" w:fill="auto"/>
            <w:vAlign w:val="center"/>
            <w:hideMark/>
          </w:tcPr>
          <w:p w14:paraId="2CBF4DE3"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0,00</w:t>
            </w:r>
          </w:p>
        </w:tc>
        <w:tc>
          <w:tcPr>
            <w:tcW w:w="734" w:type="pct"/>
            <w:shd w:val="clear" w:color="auto" w:fill="auto"/>
            <w:vAlign w:val="center"/>
            <w:hideMark/>
          </w:tcPr>
          <w:p w14:paraId="744C3788"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0,00</w:t>
            </w:r>
          </w:p>
        </w:tc>
        <w:tc>
          <w:tcPr>
            <w:tcW w:w="500" w:type="pct"/>
            <w:shd w:val="clear" w:color="auto" w:fill="auto"/>
            <w:vAlign w:val="center"/>
            <w:hideMark/>
          </w:tcPr>
          <w:p w14:paraId="6B6BD1A7"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0,00</w:t>
            </w:r>
          </w:p>
        </w:tc>
        <w:tc>
          <w:tcPr>
            <w:tcW w:w="644" w:type="pct"/>
            <w:shd w:val="clear" w:color="auto" w:fill="auto"/>
            <w:vAlign w:val="center"/>
            <w:hideMark/>
          </w:tcPr>
          <w:p w14:paraId="6E968A9B"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156,682</w:t>
            </w:r>
          </w:p>
        </w:tc>
        <w:tc>
          <w:tcPr>
            <w:tcW w:w="641" w:type="pct"/>
            <w:shd w:val="clear" w:color="auto" w:fill="auto"/>
            <w:vAlign w:val="center"/>
            <w:hideMark/>
          </w:tcPr>
          <w:p w14:paraId="57AB7477" w14:textId="77777777" w:rsidR="00FD3B66" w:rsidRPr="008902F2" w:rsidRDefault="00FD3B66"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3</w:t>
            </w:r>
          </w:p>
        </w:tc>
      </w:tr>
      <w:tr w:rsidR="00B43DAC" w:rsidRPr="008902F2" w14:paraId="5F8A63C9" w14:textId="77777777" w:rsidTr="00515E9F">
        <w:trPr>
          <w:trHeight w:val="340"/>
        </w:trPr>
        <w:tc>
          <w:tcPr>
            <w:tcW w:w="647" w:type="pct"/>
            <w:vMerge/>
            <w:vAlign w:val="center"/>
            <w:hideMark/>
          </w:tcPr>
          <w:p w14:paraId="0CC95B50" w14:textId="77777777" w:rsidR="00FD3B66" w:rsidRPr="008902F2" w:rsidRDefault="00FD3B66"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6E9ECA"/>
            <w:vAlign w:val="center"/>
            <w:hideMark/>
          </w:tcPr>
          <w:p w14:paraId="224E9AFF" w14:textId="77777777" w:rsidR="00FD3B66" w:rsidRPr="008902F2" w:rsidRDefault="00FD3B66"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Sum</w:t>
            </w:r>
          </w:p>
        </w:tc>
        <w:tc>
          <w:tcPr>
            <w:tcW w:w="598" w:type="pct"/>
            <w:shd w:val="clear" w:color="auto" w:fill="6E9ECA"/>
            <w:vAlign w:val="center"/>
            <w:hideMark/>
          </w:tcPr>
          <w:p w14:paraId="7E1E68F4"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0,00</w:t>
            </w:r>
          </w:p>
        </w:tc>
        <w:tc>
          <w:tcPr>
            <w:tcW w:w="605" w:type="pct"/>
            <w:shd w:val="clear" w:color="auto" w:fill="6E9ECA"/>
            <w:vAlign w:val="center"/>
            <w:hideMark/>
          </w:tcPr>
          <w:p w14:paraId="7897FF5F"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0,00</w:t>
            </w:r>
          </w:p>
        </w:tc>
        <w:tc>
          <w:tcPr>
            <w:tcW w:w="734" w:type="pct"/>
            <w:shd w:val="clear" w:color="auto" w:fill="6E9ECA"/>
            <w:vAlign w:val="center"/>
            <w:hideMark/>
          </w:tcPr>
          <w:p w14:paraId="2BFF6F10"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0,00</w:t>
            </w:r>
          </w:p>
        </w:tc>
        <w:tc>
          <w:tcPr>
            <w:tcW w:w="500" w:type="pct"/>
            <w:shd w:val="clear" w:color="auto" w:fill="6E9ECA"/>
            <w:vAlign w:val="center"/>
            <w:hideMark/>
          </w:tcPr>
          <w:p w14:paraId="2976D956"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0,00</w:t>
            </w:r>
          </w:p>
        </w:tc>
        <w:tc>
          <w:tcPr>
            <w:tcW w:w="644" w:type="pct"/>
            <w:shd w:val="clear" w:color="auto" w:fill="6E9ECA"/>
            <w:vAlign w:val="center"/>
            <w:hideMark/>
          </w:tcPr>
          <w:p w14:paraId="202B12D7"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156,682</w:t>
            </w:r>
          </w:p>
        </w:tc>
        <w:tc>
          <w:tcPr>
            <w:tcW w:w="641" w:type="pct"/>
            <w:shd w:val="clear" w:color="auto" w:fill="6E9ECA"/>
            <w:vAlign w:val="center"/>
            <w:hideMark/>
          </w:tcPr>
          <w:p w14:paraId="297C039E" w14:textId="77777777" w:rsidR="00FD3B66" w:rsidRPr="008902F2" w:rsidRDefault="00FD3B66"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bCs/>
                <w:color w:val="000000"/>
              </w:rPr>
              <w:t>3</w:t>
            </w:r>
          </w:p>
        </w:tc>
      </w:tr>
      <w:tr w:rsidR="00B43DAC" w:rsidRPr="008902F2" w14:paraId="3382750C" w14:textId="77777777" w:rsidTr="00515E9F">
        <w:trPr>
          <w:trHeight w:val="340"/>
        </w:trPr>
        <w:tc>
          <w:tcPr>
            <w:tcW w:w="647" w:type="pct"/>
            <w:vMerge w:val="restart"/>
            <w:shd w:val="clear" w:color="auto" w:fill="auto"/>
            <w:vAlign w:val="center"/>
            <w:hideMark/>
          </w:tcPr>
          <w:p w14:paraId="33C5CA8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Associate</w:t>
            </w:r>
          </w:p>
        </w:tc>
        <w:tc>
          <w:tcPr>
            <w:tcW w:w="632" w:type="pct"/>
            <w:shd w:val="clear" w:color="auto" w:fill="auto"/>
            <w:vAlign w:val="center"/>
            <w:hideMark/>
          </w:tcPr>
          <w:p w14:paraId="471BE37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Biomass</w:t>
            </w:r>
          </w:p>
        </w:tc>
        <w:tc>
          <w:tcPr>
            <w:tcW w:w="598" w:type="pct"/>
            <w:shd w:val="clear" w:color="auto" w:fill="auto"/>
            <w:vAlign w:val="center"/>
            <w:hideMark/>
          </w:tcPr>
          <w:p w14:paraId="557A872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80,275</w:t>
            </w:r>
          </w:p>
        </w:tc>
        <w:tc>
          <w:tcPr>
            <w:tcW w:w="605" w:type="pct"/>
            <w:shd w:val="clear" w:color="auto" w:fill="auto"/>
            <w:vAlign w:val="center"/>
            <w:hideMark/>
          </w:tcPr>
          <w:p w14:paraId="01D35D8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49,740</w:t>
            </w:r>
          </w:p>
        </w:tc>
        <w:tc>
          <w:tcPr>
            <w:tcW w:w="734" w:type="pct"/>
            <w:shd w:val="clear" w:color="auto" w:fill="auto"/>
            <w:vAlign w:val="center"/>
            <w:hideMark/>
          </w:tcPr>
          <w:p w14:paraId="3F08C4D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96,959</w:t>
            </w:r>
          </w:p>
        </w:tc>
        <w:tc>
          <w:tcPr>
            <w:tcW w:w="500" w:type="pct"/>
            <w:shd w:val="clear" w:color="auto" w:fill="auto"/>
            <w:vAlign w:val="center"/>
            <w:hideMark/>
          </w:tcPr>
          <w:p w14:paraId="6F096F5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37E15B9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464,088</w:t>
            </w:r>
          </w:p>
        </w:tc>
        <w:tc>
          <w:tcPr>
            <w:tcW w:w="641" w:type="pct"/>
            <w:shd w:val="clear" w:color="auto" w:fill="auto"/>
            <w:vAlign w:val="center"/>
            <w:hideMark/>
          </w:tcPr>
          <w:p w14:paraId="481C4B9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75</w:t>
            </w:r>
          </w:p>
        </w:tc>
      </w:tr>
      <w:tr w:rsidR="00B43DAC" w:rsidRPr="008902F2" w14:paraId="1791368C" w14:textId="77777777" w:rsidTr="00515E9F">
        <w:trPr>
          <w:trHeight w:val="340"/>
        </w:trPr>
        <w:tc>
          <w:tcPr>
            <w:tcW w:w="647" w:type="pct"/>
            <w:vMerge/>
            <w:vAlign w:val="center"/>
            <w:hideMark/>
          </w:tcPr>
          <w:p w14:paraId="1BB14473"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4FEA1C1A"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Other</w:t>
            </w:r>
          </w:p>
        </w:tc>
        <w:tc>
          <w:tcPr>
            <w:tcW w:w="598" w:type="pct"/>
            <w:shd w:val="clear" w:color="auto" w:fill="auto"/>
            <w:vAlign w:val="center"/>
            <w:hideMark/>
          </w:tcPr>
          <w:p w14:paraId="1167D22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05" w:type="pct"/>
            <w:shd w:val="clear" w:color="auto" w:fill="auto"/>
            <w:vAlign w:val="center"/>
            <w:hideMark/>
          </w:tcPr>
          <w:p w14:paraId="0778348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734" w:type="pct"/>
            <w:shd w:val="clear" w:color="auto" w:fill="auto"/>
            <w:vAlign w:val="center"/>
            <w:hideMark/>
          </w:tcPr>
          <w:p w14:paraId="6EB7359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641D0CF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617E348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5353C90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01DD2B7C" w14:textId="77777777" w:rsidTr="00515E9F">
        <w:trPr>
          <w:trHeight w:val="340"/>
        </w:trPr>
        <w:tc>
          <w:tcPr>
            <w:tcW w:w="647" w:type="pct"/>
            <w:vMerge/>
            <w:vAlign w:val="center"/>
            <w:hideMark/>
          </w:tcPr>
          <w:p w14:paraId="7B928E39"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032BCB1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Natural Gas</w:t>
            </w:r>
          </w:p>
        </w:tc>
        <w:tc>
          <w:tcPr>
            <w:tcW w:w="598" w:type="pct"/>
            <w:shd w:val="clear" w:color="auto" w:fill="auto"/>
            <w:vAlign w:val="center"/>
            <w:hideMark/>
          </w:tcPr>
          <w:p w14:paraId="7E9394C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5,500</w:t>
            </w:r>
          </w:p>
        </w:tc>
        <w:tc>
          <w:tcPr>
            <w:tcW w:w="605" w:type="pct"/>
            <w:shd w:val="clear" w:color="auto" w:fill="auto"/>
            <w:vAlign w:val="center"/>
            <w:hideMark/>
          </w:tcPr>
          <w:p w14:paraId="2DA659B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4,300</w:t>
            </w:r>
          </w:p>
        </w:tc>
        <w:tc>
          <w:tcPr>
            <w:tcW w:w="734" w:type="pct"/>
            <w:shd w:val="clear" w:color="auto" w:fill="auto"/>
            <w:vAlign w:val="center"/>
            <w:hideMark/>
          </w:tcPr>
          <w:p w14:paraId="28B70B4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4,300</w:t>
            </w:r>
          </w:p>
        </w:tc>
        <w:tc>
          <w:tcPr>
            <w:tcW w:w="500" w:type="pct"/>
            <w:shd w:val="clear" w:color="auto" w:fill="auto"/>
            <w:vAlign w:val="center"/>
            <w:hideMark/>
          </w:tcPr>
          <w:p w14:paraId="3CEA95A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38A7332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5F1B12B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65D1CAFD" w14:textId="77777777" w:rsidTr="00515E9F">
        <w:trPr>
          <w:trHeight w:val="340"/>
        </w:trPr>
        <w:tc>
          <w:tcPr>
            <w:tcW w:w="647" w:type="pct"/>
            <w:vMerge/>
            <w:vAlign w:val="center"/>
          </w:tcPr>
          <w:p w14:paraId="18079FA4"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tcPr>
          <w:p w14:paraId="0DED47F2"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Industrial Waste</w:t>
            </w:r>
          </w:p>
        </w:tc>
        <w:tc>
          <w:tcPr>
            <w:tcW w:w="598" w:type="pct"/>
            <w:shd w:val="clear" w:color="auto" w:fill="auto"/>
            <w:vAlign w:val="center"/>
          </w:tcPr>
          <w:p w14:paraId="07AEB615"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5,680</w:t>
            </w:r>
          </w:p>
        </w:tc>
        <w:tc>
          <w:tcPr>
            <w:tcW w:w="605" w:type="pct"/>
            <w:shd w:val="clear" w:color="auto" w:fill="auto"/>
            <w:vAlign w:val="center"/>
          </w:tcPr>
          <w:p w14:paraId="7719D589"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11,360</w:t>
            </w:r>
          </w:p>
        </w:tc>
        <w:tc>
          <w:tcPr>
            <w:tcW w:w="734" w:type="pct"/>
            <w:shd w:val="clear" w:color="auto" w:fill="auto"/>
            <w:vAlign w:val="center"/>
          </w:tcPr>
          <w:p w14:paraId="095500AE"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500" w:type="pct"/>
            <w:shd w:val="clear" w:color="auto" w:fill="auto"/>
            <w:vAlign w:val="center"/>
          </w:tcPr>
          <w:p w14:paraId="7F659493"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644" w:type="pct"/>
            <w:shd w:val="clear" w:color="auto" w:fill="auto"/>
            <w:vAlign w:val="center"/>
          </w:tcPr>
          <w:p w14:paraId="615BEB50"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5,680</w:t>
            </w:r>
          </w:p>
        </w:tc>
        <w:tc>
          <w:tcPr>
            <w:tcW w:w="641" w:type="pct"/>
            <w:shd w:val="clear" w:color="auto" w:fill="auto"/>
            <w:vAlign w:val="center"/>
          </w:tcPr>
          <w:p w14:paraId="511F3AB7"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1</w:t>
            </w:r>
          </w:p>
        </w:tc>
      </w:tr>
      <w:tr w:rsidR="00B43DAC" w:rsidRPr="008902F2" w14:paraId="58185233" w14:textId="77777777" w:rsidTr="00515E9F">
        <w:trPr>
          <w:trHeight w:val="340"/>
        </w:trPr>
        <w:tc>
          <w:tcPr>
            <w:tcW w:w="647" w:type="pct"/>
            <w:vMerge/>
            <w:vAlign w:val="center"/>
            <w:hideMark/>
          </w:tcPr>
          <w:p w14:paraId="40115F30"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4FC98B2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Sun</w:t>
            </w:r>
          </w:p>
        </w:tc>
        <w:tc>
          <w:tcPr>
            <w:tcW w:w="598" w:type="pct"/>
            <w:shd w:val="clear" w:color="auto" w:fill="auto"/>
            <w:vAlign w:val="center"/>
            <w:hideMark/>
          </w:tcPr>
          <w:p w14:paraId="722D544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6.905,276</w:t>
            </w:r>
          </w:p>
        </w:tc>
        <w:tc>
          <w:tcPr>
            <w:tcW w:w="605" w:type="pct"/>
            <w:shd w:val="clear" w:color="auto" w:fill="auto"/>
            <w:vAlign w:val="center"/>
            <w:hideMark/>
          </w:tcPr>
          <w:p w14:paraId="7711DE7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1.420,000</w:t>
            </w:r>
          </w:p>
        </w:tc>
        <w:tc>
          <w:tcPr>
            <w:tcW w:w="734" w:type="pct"/>
            <w:shd w:val="clear" w:color="auto" w:fill="auto"/>
            <w:vAlign w:val="center"/>
            <w:hideMark/>
          </w:tcPr>
          <w:p w14:paraId="21780AE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7A96767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34A57E7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1.170,000</w:t>
            </w:r>
          </w:p>
        </w:tc>
        <w:tc>
          <w:tcPr>
            <w:tcW w:w="641" w:type="pct"/>
            <w:shd w:val="clear" w:color="auto" w:fill="auto"/>
            <w:vAlign w:val="center"/>
            <w:hideMark/>
          </w:tcPr>
          <w:p w14:paraId="6F78937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57</w:t>
            </w:r>
          </w:p>
        </w:tc>
      </w:tr>
      <w:tr w:rsidR="00B43DAC" w:rsidRPr="008902F2" w14:paraId="2DBBD11A" w14:textId="77777777" w:rsidTr="00515E9F">
        <w:trPr>
          <w:trHeight w:val="340"/>
        </w:trPr>
        <w:tc>
          <w:tcPr>
            <w:tcW w:w="647" w:type="pct"/>
            <w:vMerge/>
            <w:vAlign w:val="center"/>
            <w:hideMark/>
          </w:tcPr>
          <w:p w14:paraId="5DBC631D"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51392CA5"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Hydraulic</w:t>
            </w:r>
          </w:p>
        </w:tc>
        <w:tc>
          <w:tcPr>
            <w:tcW w:w="598" w:type="pct"/>
            <w:shd w:val="clear" w:color="auto" w:fill="auto"/>
            <w:vAlign w:val="center"/>
            <w:hideMark/>
          </w:tcPr>
          <w:p w14:paraId="2F6AF3E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504,802</w:t>
            </w:r>
          </w:p>
        </w:tc>
        <w:tc>
          <w:tcPr>
            <w:tcW w:w="605" w:type="pct"/>
            <w:shd w:val="clear" w:color="auto" w:fill="auto"/>
            <w:vAlign w:val="center"/>
            <w:hideMark/>
          </w:tcPr>
          <w:p w14:paraId="0D9FCC0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386,851</w:t>
            </w:r>
          </w:p>
        </w:tc>
        <w:tc>
          <w:tcPr>
            <w:tcW w:w="734" w:type="pct"/>
            <w:shd w:val="clear" w:color="auto" w:fill="auto"/>
            <w:vAlign w:val="center"/>
            <w:hideMark/>
          </w:tcPr>
          <w:p w14:paraId="211B35F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663,886</w:t>
            </w:r>
          </w:p>
        </w:tc>
        <w:tc>
          <w:tcPr>
            <w:tcW w:w="500" w:type="pct"/>
            <w:shd w:val="clear" w:color="auto" w:fill="auto"/>
            <w:vAlign w:val="center"/>
            <w:hideMark/>
          </w:tcPr>
          <w:p w14:paraId="54F35B8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16,040</w:t>
            </w:r>
          </w:p>
        </w:tc>
        <w:tc>
          <w:tcPr>
            <w:tcW w:w="644" w:type="pct"/>
            <w:shd w:val="clear" w:color="auto" w:fill="auto"/>
            <w:vAlign w:val="center"/>
            <w:hideMark/>
          </w:tcPr>
          <w:p w14:paraId="064BC18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2.941,238</w:t>
            </w:r>
          </w:p>
        </w:tc>
        <w:tc>
          <w:tcPr>
            <w:tcW w:w="641" w:type="pct"/>
            <w:shd w:val="clear" w:color="auto" w:fill="auto"/>
            <w:vAlign w:val="center"/>
            <w:hideMark/>
          </w:tcPr>
          <w:p w14:paraId="55440C0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64</w:t>
            </w:r>
          </w:p>
        </w:tc>
      </w:tr>
      <w:tr w:rsidR="00B43DAC" w:rsidRPr="008902F2" w14:paraId="5F7572D7" w14:textId="77777777" w:rsidTr="00515E9F">
        <w:trPr>
          <w:trHeight w:val="340"/>
        </w:trPr>
        <w:tc>
          <w:tcPr>
            <w:tcW w:w="647" w:type="pct"/>
            <w:vMerge/>
            <w:vAlign w:val="center"/>
            <w:hideMark/>
          </w:tcPr>
          <w:p w14:paraId="659666E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72BD8F43"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Imported Coal</w:t>
            </w:r>
          </w:p>
        </w:tc>
        <w:tc>
          <w:tcPr>
            <w:tcW w:w="598" w:type="pct"/>
            <w:shd w:val="clear" w:color="auto" w:fill="auto"/>
            <w:vAlign w:val="center"/>
            <w:hideMark/>
          </w:tcPr>
          <w:p w14:paraId="76D6696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05" w:type="pct"/>
            <w:shd w:val="clear" w:color="auto" w:fill="auto"/>
            <w:vAlign w:val="center"/>
            <w:hideMark/>
          </w:tcPr>
          <w:p w14:paraId="7AA9E15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734" w:type="pct"/>
            <w:shd w:val="clear" w:color="auto" w:fill="auto"/>
            <w:vAlign w:val="center"/>
            <w:hideMark/>
          </w:tcPr>
          <w:p w14:paraId="5225B90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4E77BD6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1E545B5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5EC6149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5E37FDB7" w14:textId="77777777" w:rsidTr="00515E9F">
        <w:trPr>
          <w:trHeight w:val="340"/>
        </w:trPr>
        <w:tc>
          <w:tcPr>
            <w:tcW w:w="647" w:type="pct"/>
            <w:vMerge/>
            <w:vAlign w:val="center"/>
            <w:hideMark/>
          </w:tcPr>
          <w:p w14:paraId="27E573D0"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4AF5C72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Geothermal</w:t>
            </w:r>
          </w:p>
        </w:tc>
        <w:tc>
          <w:tcPr>
            <w:tcW w:w="598" w:type="pct"/>
            <w:shd w:val="clear" w:color="auto" w:fill="auto"/>
            <w:vAlign w:val="center"/>
            <w:hideMark/>
          </w:tcPr>
          <w:p w14:paraId="0846BBB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37,700</w:t>
            </w:r>
          </w:p>
        </w:tc>
        <w:tc>
          <w:tcPr>
            <w:tcW w:w="605" w:type="pct"/>
            <w:shd w:val="clear" w:color="auto" w:fill="auto"/>
            <w:vAlign w:val="center"/>
            <w:hideMark/>
          </w:tcPr>
          <w:p w14:paraId="14337CB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73,200</w:t>
            </w:r>
          </w:p>
        </w:tc>
        <w:tc>
          <w:tcPr>
            <w:tcW w:w="734" w:type="pct"/>
            <w:shd w:val="clear" w:color="auto" w:fill="auto"/>
            <w:vAlign w:val="center"/>
            <w:hideMark/>
          </w:tcPr>
          <w:p w14:paraId="51742A2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35,000</w:t>
            </w:r>
          </w:p>
        </w:tc>
        <w:tc>
          <w:tcPr>
            <w:tcW w:w="500" w:type="pct"/>
            <w:shd w:val="clear" w:color="auto" w:fill="auto"/>
            <w:vAlign w:val="center"/>
            <w:hideMark/>
          </w:tcPr>
          <w:p w14:paraId="2E0534B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44FD051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336,960</w:t>
            </w:r>
          </w:p>
        </w:tc>
        <w:tc>
          <w:tcPr>
            <w:tcW w:w="641" w:type="pct"/>
            <w:shd w:val="clear" w:color="auto" w:fill="auto"/>
            <w:vAlign w:val="center"/>
            <w:hideMark/>
          </w:tcPr>
          <w:p w14:paraId="4E1E336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14</w:t>
            </w:r>
          </w:p>
        </w:tc>
      </w:tr>
      <w:tr w:rsidR="00B43DAC" w:rsidRPr="008902F2" w14:paraId="2473F4ED" w14:textId="77777777" w:rsidTr="00515E9F">
        <w:trPr>
          <w:trHeight w:val="340"/>
        </w:trPr>
        <w:tc>
          <w:tcPr>
            <w:tcW w:w="647" w:type="pct"/>
            <w:vMerge/>
            <w:vAlign w:val="center"/>
            <w:hideMark/>
          </w:tcPr>
          <w:p w14:paraId="53FC8B84"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03BD38C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Coal</w:t>
            </w:r>
          </w:p>
        </w:tc>
        <w:tc>
          <w:tcPr>
            <w:tcW w:w="598" w:type="pct"/>
            <w:shd w:val="clear" w:color="auto" w:fill="auto"/>
            <w:vAlign w:val="center"/>
            <w:hideMark/>
          </w:tcPr>
          <w:p w14:paraId="77B7E54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5,650</w:t>
            </w:r>
          </w:p>
        </w:tc>
        <w:tc>
          <w:tcPr>
            <w:tcW w:w="605" w:type="pct"/>
            <w:shd w:val="clear" w:color="auto" w:fill="auto"/>
            <w:vAlign w:val="center"/>
            <w:hideMark/>
          </w:tcPr>
          <w:p w14:paraId="2723028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5,650</w:t>
            </w:r>
          </w:p>
        </w:tc>
        <w:tc>
          <w:tcPr>
            <w:tcW w:w="734" w:type="pct"/>
            <w:shd w:val="clear" w:color="auto" w:fill="auto"/>
            <w:vAlign w:val="center"/>
            <w:hideMark/>
          </w:tcPr>
          <w:p w14:paraId="23E6DA4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01C8079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2C0DEC5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674C032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07017E27" w14:textId="77777777" w:rsidTr="00515E9F">
        <w:trPr>
          <w:trHeight w:val="340"/>
        </w:trPr>
        <w:tc>
          <w:tcPr>
            <w:tcW w:w="647" w:type="pct"/>
            <w:vMerge/>
            <w:vAlign w:val="center"/>
          </w:tcPr>
          <w:p w14:paraId="760DAE74"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tcPr>
          <w:p w14:paraId="1D0E562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LNG</w:t>
            </w:r>
          </w:p>
        </w:tc>
        <w:tc>
          <w:tcPr>
            <w:tcW w:w="598" w:type="pct"/>
            <w:shd w:val="clear" w:color="auto" w:fill="auto"/>
            <w:vAlign w:val="center"/>
          </w:tcPr>
          <w:p w14:paraId="42232F54"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1,000</w:t>
            </w:r>
          </w:p>
        </w:tc>
        <w:tc>
          <w:tcPr>
            <w:tcW w:w="605" w:type="pct"/>
            <w:shd w:val="clear" w:color="auto" w:fill="auto"/>
            <w:vAlign w:val="center"/>
          </w:tcPr>
          <w:p w14:paraId="0E372284"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734" w:type="pct"/>
            <w:shd w:val="clear" w:color="auto" w:fill="auto"/>
            <w:vAlign w:val="center"/>
          </w:tcPr>
          <w:p w14:paraId="435A1514"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500" w:type="pct"/>
            <w:shd w:val="clear" w:color="auto" w:fill="auto"/>
            <w:vAlign w:val="center"/>
          </w:tcPr>
          <w:p w14:paraId="151B1E56"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644" w:type="pct"/>
            <w:shd w:val="clear" w:color="auto" w:fill="auto"/>
            <w:vAlign w:val="center"/>
          </w:tcPr>
          <w:p w14:paraId="22784CD8"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0,000</w:t>
            </w:r>
          </w:p>
        </w:tc>
        <w:tc>
          <w:tcPr>
            <w:tcW w:w="641" w:type="pct"/>
            <w:shd w:val="clear" w:color="auto" w:fill="auto"/>
            <w:vAlign w:val="center"/>
          </w:tcPr>
          <w:p w14:paraId="222157C1"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rPr>
              <w:t>0</w:t>
            </w:r>
          </w:p>
        </w:tc>
      </w:tr>
      <w:tr w:rsidR="00B43DAC" w:rsidRPr="008902F2" w14:paraId="2154ADF4" w14:textId="77777777" w:rsidTr="00515E9F">
        <w:trPr>
          <w:trHeight w:val="340"/>
        </w:trPr>
        <w:tc>
          <w:tcPr>
            <w:tcW w:w="647" w:type="pct"/>
            <w:vMerge/>
            <w:vAlign w:val="center"/>
            <w:hideMark/>
          </w:tcPr>
          <w:p w14:paraId="179BB159"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22C2D0BD"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Diesel</w:t>
            </w:r>
          </w:p>
        </w:tc>
        <w:tc>
          <w:tcPr>
            <w:tcW w:w="598" w:type="pct"/>
            <w:shd w:val="clear" w:color="auto" w:fill="auto"/>
            <w:vAlign w:val="center"/>
            <w:hideMark/>
          </w:tcPr>
          <w:p w14:paraId="2CD326D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05" w:type="pct"/>
            <w:shd w:val="clear" w:color="auto" w:fill="auto"/>
            <w:vAlign w:val="center"/>
            <w:hideMark/>
          </w:tcPr>
          <w:p w14:paraId="4B071DC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734" w:type="pct"/>
            <w:shd w:val="clear" w:color="auto" w:fill="auto"/>
            <w:vAlign w:val="center"/>
            <w:hideMark/>
          </w:tcPr>
          <w:p w14:paraId="099F544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17CB3A0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64A6BE2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6977734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06580E9F" w14:textId="77777777" w:rsidTr="00515E9F">
        <w:trPr>
          <w:trHeight w:val="340"/>
        </w:trPr>
        <w:tc>
          <w:tcPr>
            <w:tcW w:w="647" w:type="pct"/>
            <w:vMerge/>
            <w:vAlign w:val="center"/>
            <w:hideMark/>
          </w:tcPr>
          <w:p w14:paraId="7955E85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613F4A3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Process Waste Heat</w:t>
            </w:r>
          </w:p>
        </w:tc>
        <w:tc>
          <w:tcPr>
            <w:tcW w:w="598" w:type="pct"/>
            <w:shd w:val="clear" w:color="auto" w:fill="auto"/>
            <w:vAlign w:val="center"/>
            <w:hideMark/>
          </w:tcPr>
          <w:p w14:paraId="46B00C9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10,000</w:t>
            </w:r>
          </w:p>
        </w:tc>
        <w:tc>
          <w:tcPr>
            <w:tcW w:w="605" w:type="pct"/>
            <w:shd w:val="clear" w:color="auto" w:fill="auto"/>
            <w:vAlign w:val="center"/>
            <w:hideMark/>
          </w:tcPr>
          <w:p w14:paraId="228010E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10,000</w:t>
            </w:r>
          </w:p>
        </w:tc>
        <w:tc>
          <w:tcPr>
            <w:tcW w:w="734" w:type="pct"/>
            <w:shd w:val="clear" w:color="auto" w:fill="auto"/>
            <w:vAlign w:val="center"/>
            <w:hideMark/>
          </w:tcPr>
          <w:p w14:paraId="4AEAA2F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5B224F3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4A3CF42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15,300</w:t>
            </w:r>
          </w:p>
        </w:tc>
        <w:tc>
          <w:tcPr>
            <w:tcW w:w="641" w:type="pct"/>
            <w:shd w:val="clear" w:color="auto" w:fill="auto"/>
            <w:vAlign w:val="center"/>
            <w:hideMark/>
          </w:tcPr>
          <w:p w14:paraId="58A8CB7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2</w:t>
            </w:r>
          </w:p>
        </w:tc>
      </w:tr>
      <w:tr w:rsidR="00B43DAC" w:rsidRPr="008902F2" w14:paraId="1DB28021" w14:textId="77777777" w:rsidTr="00515E9F">
        <w:trPr>
          <w:trHeight w:val="340"/>
        </w:trPr>
        <w:tc>
          <w:tcPr>
            <w:tcW w:w="647" w:type="pct"/>
            <w:vMerge/>
            <w:vAlign w:val="center"/>
            <w:hideMark/>
          </w:tcPr>
          <w:p w14:paraId="47A1F79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1968991E" w14:textId="77777777" w:rsidR="00537FF1" w:rsidRPr="008902F2" w:rsidRDefault="00151CF9"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Wind</w:t>
            </w:r>
          </w:p>
        </w:tc>
        <w:tc>
          <w:tcPr>
            <w:tcW w:w="598" w:type="pct"/>
            <w:shd w:val="clear" w:color="auto" w:fill="auto"/>
            <w:vAlign w:val="center"/>
            <w:hideMark/>
          </w:tcPr>
          <w:p w14:paraId="4B2D170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11.030,790</w:t>
            </w:r>
          </w:p>
        </w:tc>
        <w:tc>
          <w:tcPr>
            <w:tcW w:w="605" w:type="pct"/>
            <w:shd w:val="clear" w:color="auto" w:fill="auto"/>
            <w:vAlign w:val="center"/>
            <w:hideMark/>
          </w:tcPr>
          <w:p w14:paraId="1580778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294,000</w:t>
            </w:r>
          </w:p>
        </w:tc>
        <w:tc>
          <w:tcPr>
            <w:tcW w:w="734" w:type="pct"/>
            <w:shd w:val="clear" w:color="auto" w:fill="auto"/>
            <w:vAlign w:val="center"/>
            <w:hideMark/>
          </w:tcPr>
          <w:p w14:paraId="14EC0A6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254,995</w:t>
            </w:r>
          </w:p>
        </w:tc>
        <w:tc>
          <w:tcPr>
            <w:tcW w:w="500" w:type="pct"/>
            <w:shd w:val="clear" w:color="auto" w:fill="auto"/>
            <w:vAlign w:val="center"/>
            <w:hideMark/>
          </w:tcPr>
          <w:p w14:paraId="21EA6FE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178D88F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2.985,656</w:t>
            </w:r>
          </w:p>
        </w:tc>
        <w:tc>
          <w:tcPr>
            <w:tcW w:w="641" w:type="pct"/>
            <w:shd w:val="clear" w:color="auto" w:fill="auto"/>
            <w:vAlign w:val="center"/>
            <w:hideMark/>
          </w:tcPr>
          <w:p w14:paraId="2EC8893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50</w:t>
            </w:r>
          </w:p>
        </w:tc>
      </w:tr>
      <w:tr w:rsidR="00B43DAC" w:rsidRPr="008902F2" w14:paraId="5512FFEB" w14:textId="77777777" w:rsidTr="00515E9F">
        <w:trPr>
          <w:trHeight w:val="340"/>
        </w:trPr>
        <w:tc>
          <w:tcPr>
            <w:tcW w:w="647" w:type="pct"/>
            <w:vMerge/>
            <w:vAlign w:val="center"/>
            <w:hideMark/>
          </w:tcPr>
          <w:p w14:paraId="0959290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61887E1C"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Uranium</w:t>
            </w:r>
          </w:p>
        </w:tc>
        <w:tc>
          <w:tcPr>
            <w:tcW w:w="598" w:type="pct"/>
            <w:shd w:val="clear" w:color="auto" w:fill="auto"/>
            <w:vAlign w:val="center"/>
            <w:hideMark/>
          </w:tcPr>
          <w:p w14:paraId="5751EF0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05" w:type="pct"/>
            <w:shd w:val="clear" w:color="auto" w:fill="auto"/>
            <w:vAlign w:val="center"/>
            <w:hideMark/>
          </w:tcPr>
          <w:p w14:paraId="5C7A1C0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734" w:type="pct"/>
            <w:shd w:val="clear" w:color="auto" w:fill="auto"/>
            <w:vAlign w:val="center"/>
            <w:hideMark/>
          </w:tcPr>
          <w:p w14:paraId="0282F37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500" w:type="pct"/>
            <w:shd w:val="clear" w:color="auto" w:fill="auto"/>
            <w:vAlign w:val="center"/>
            <w:hideMark/>
          </w:tcPr>
          <w:p w14:paraId="538F0F8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5291A4C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290A971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4792F570" w14:textId="77777777" w:rsidTr="00515E9F">
        <w:trPr>
          <w:trHeight w:val="340"/>
        </w:trPr>
        <w:tc>
          <w:tcPr>
            <w:tcW w:w="647" w:type="pct"/>
            <w:vMerge/>
            <w:vAlign w:val="center"/>
            <w:hideMark/>
          </w:tcPr>
          <w:p w14:paraId="365386CD"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5FF4A60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Domestic Coal</w:t>
            </w:r>
          </w:p>
        </w:tc>
        <w:tc>
          <w:tcPr>
            <w:tcW w:w="598" w:type="pct"/>
            <w:shd w:val="clear" w:color="auto" w:fill="auto"/>
            <w:vAlign w:val="center"/>
            <w:hideMark/>
          </w:tcPr>
          <w:p w14:paraId="4D08D84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05" w:type="pct"/>
            <w:shd w:val="clear" w:color="auto" w:fill="auto"/>
            <w:vAlign w:val="center"/>
            <w:hideMark/>
          </w:tcPr>
          <w:p w14:paraId="77471F3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734" w:type="pct"/>
            <w:shd w:val="clear" w:color="auto" w:fill="auto"/>
            <w:vAlign w:val="center"/>
            <w:hideMark/>
          </w:tcPr>
          <w:p w14:paraId="77FCB2F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4,830</w:t>
            </w:r>
          </w:p>
        </w:tc>
        <w:tc>
          <w:tcPr>
            <w:tcW w:w="500" w:type="pct"/>
            <w:shd w:val="clear" w:color="auto" w:fill="auto"/>
            <w:vAlign w:val="center"/>
            <w:hideMark/>
          </w:tcPr>
          <w:p w14:paraId="120FC4C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4" w:type="pct"/>
            <w:shd w:val="clear" w:color="auto" w:fill="auto"/>
            <w:vAlign w:val="center"/>
            <w:hideMark/>
          </w:tcPr>
          <w:p w14:paraId="4444B20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0,000</w:t>
            </w:r>
          </w:p>
        </w:tc>
        <w:tc>
          <w:tcPr>
            <w:tcW w:w="641" w:type="pct"/>
            <w:shd w:val="clear" w:color="auto" w:fill="auto"/>
            <w:vAlign w:val="center"/>
            <w:hideMark/>
          </w:tcPr>
          <w:p w14:paraId="40717F1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rPr>
              <w:t>0</w:t>
            </w:r>
          </w:p>
        </w:tc>
      </w:tr>
      <w:tr w:rsidR="00B43DAC" w:rsidRPr="008902F2" w14:paraId="2E9CC91B" w14:textId="77777777" w:rsidTr="00515E9F">
        <w:trPr>
          <w:trHeight w:val="340"/>
        </w:trPr>
        <w:tc>
          <w:tcPr>
            <w:tcW w:w="647" w:type="pct"/>
            <w:vMerge/>
            <w:vAlign w:val="center"/>
            <w:hideMark/>
          </w:tcPr>
          <w:p w14:paraId="582CAAF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6E9ECA"/>
            <w:vAlign w:val="center"/>
            <w:hideMark/>
          </w:tcPr>
          <w:p w14:paraId="7B77F028" w14:textId="77777777" w:rsidR="00537FF1" w:rsidRPr="008902F2" w:rsidRDefault="00537FF1" w:rsidP="00515E9F">
            <w:pPr>
              <w:spacing w:after="0" w:line="240" w:lineRule="auto"/>
              <w:jc w:val="left"/>
              <w:rPr>
                <w:rFonts w:ascii="Times New Roman" w:eastAsia="Times New Roman" w:hAnsi="Times New Roman"/>
                <w:b/>
                <w:bCs/>
                <w:lang w:eastAsia="tr-TR"/>
              </w:rPr>
            </w:pPr>
            <w:r w:rsidRPr="008902F2">
              <w:rPr>
                <w:rFonts w:ascii="Times New Roman" w:eastAsia="Arial" w:hAnsi="Times New Roman"/>
                <w:b/>
                <w:color w:val="000000"/>
                <w:sz w:val="20"/>
              </w:rPr>
              <w:t>Sum</w:t>
            </w:r>
          </w:p>
        </w:tc>
        <w:tc>
          <w:tcPr>
            <w:tcW w:w="598" w:type="pct"/>
            <w:shd w:val="clear" w:color="auto" w:fill="6E9ECA"/>
            <w:vAlign w:val="center"/>
            <w:hideMark/>
          </w:tcPr>
          <w:p w14:paraId="375CD88D"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18.586,673</w:t>
            </w:r>
          </w:p>
        </w:tc>
        <w:tc>
          <w:tcPr>
            <w:tcW w:w="605" w:type="pct"/>
            <w:shd w:val="clear" w:color="auto" w:fill="6E9ECA"/>
            <w:vAlign w:val="center"/>
            <w:hideMark/>
          </w:tcPr>
          <w:p w14:paraId="47CDC267"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2.255,101</w:t>
            </w:r>
          </w:p>
        </w:tc>
        <w:tc>
          <w:tcPr>
            <w:tcW w:w="734" w:type="pct"/>
            <w:shd w:val="clear" w:color="auto" w:fill="6E9ECA"/>
            <w:vAlign w:val="center"/>
            <w:hideMark/>
          </w:tcPr>
          <w:p w14:paraId="5BCD4F8E"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1.059,970</w:t>
            </w:r>
          </w:p>
        </w:tc>
        <w:tc>
          <w:tcPr>
            <w:tcW w:w="500" w:type="pct"/>
            <w:shd w:val="clear" w:color="auto" w:fill="6E9ECA"/>
            <w:vAlign w:val="center"/>
            <w:hideMark/>
          </w:tcPr>
          <w:p w14:paraId="089C634A"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16,040</w:t>
            </w:r>
          </w:p>
        </w:tc>
        <w:tc>
          <w:tcPr>
            <w:tcW w:w="644" w:type="pct"/>
            <w:shd w:val="clear" w:color="auto" w:fill="6E9ECA"/>
            <w:vAlign w:val="center"/>
            <w:hideMark/>
          </w:tcPr>
          <w:p w14:paraId="2D2335BB"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7.918,922</w:t>
            </w:r>
          </w:p>
        </w:tc>
        <w:tc>
          <w:tcPr>
            <w:tcW w:w="641" w:type="pct"/>
            <w:shd w:val="clear" w:color="auto" w:fill="6E9ECA"/>
            <w:vAlign w:val="center"/>
            <w:hideMark/>
          </w:tcPr>
          <w:p w14:paraId="74775723" w14:textId="77777777" w:rsidR="00537FF1" w:rsidRPr="008902F2" w:rsidRDefault="00537FF1" w:rsidP="00515E9F">
            <w:pPr>
              <w:spacing w:after="0" w:line="240" w:lineRule="auto"/>
              <w:jc w:val="right"/>
              <w:rPr>
                <w:rFonts w:ascii="Times New Roman" w:eastAsia="Times New Roman" w:hAnsi="Times New Roman"/>
                <w:b/>
                <w:bCs/>
                <w:lang w:eastAsia="tr-TR"/>
              </w:rPr>
            </w:pPr>
            <w:r w:rsidRPr="008902F2">
              <w:rPr>
                <w:rFonts w:ascii="Times New Roman" w:eastAsia="Arial" w:hAnsi="Times New Roman"/>
                <w:b/>
                <w:color w:val="000000"/>
              </w:rPr>
              <w:t>263</w:t>
            </w:r>
          </w:p>
        </w:tc>
      </w:tr>
      <w:tr w:rsidR="00B43DAC" w:rsidRPr="008902F2" w14:paraId="77E51D60" w14:textId="77777777" w:rsidTr="00515E9F">
        <w:trPr>
          <w:trHeight w:val="340"/>
        </w:trPr>
        <w:tc>
          <w:tcPr>
            <w:tcW w:w="647" w:type="pct"/>
            <w:vMerge w:val="restart"/>
            <w:shd w:val="clear" w:color="auto" w:fill="auto"/>
            <w:vAlign w:val="center"/>
            <w:hideMark/>
          </w:tcPr>
          <w:p w14:paraId="1C32C93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Production License</w:t>
            </w:r>
          </w:p>
        </w:tc>
        <w:tc>
          <w:tcPr>
            <w:tcW w:w="632" w:type="pct"/>
            <w:shd w:val="clear" w:color="auto" w:fill="auto"/>
            <w:vAlign w:val="center"/>
            <w:hideMark/>
          </w:tcPr>
          <w:p w14:paraId="26A371F7"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Biomass</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0A0CC13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37,256</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071F448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121,725</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173FE99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88,635</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2D92FFE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1E58432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2.653,143</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758C16F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344</w:t>
            </w:r>
          </w:p>
        </w:tc>
      </w:tr>
      <w:tr w:rsidR="00B43DAC" w:rsidRPr="008902F2" w14:paraId="5CE06B22" w14:textId="77777777" w:rsidTr="00515E9F">
        <w:trPr>
          <w:trHeight w:val="340"/>
        </w:trPr>
        <w:tc>
          <w:tcPr>
            <w:tcW w:w="647" w:type="pct"/>
            <w:vMerge/>
            <w:shd w:val="clear" w:color="auto" w:fill="auto"/>
            <w:vAlign w:val="center"/>
          </w:tcPr>
          <w:p w14:paraId="718EF448"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tcPr>
          <w:p w14:paraId="34CF58C8"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Wave</w:t>
            </w:r>
          </w:p>
        </w:tc>
        <w:tc>
          <w:tcPr>
            <w:tcW w:w="598" w:type="pct"/>
            <w:tcBorders>
              <w:top w:val="single" w:sz="7" w:space="0" w:color="D3D3D3"/>
              <w:left w:val="single" w:sz="7" w:space="0" w:color="D3D3D3"/>
              <w:bottom w:val="single" w:sz="7" w:space="0" w:color="D3D3D3"/>
              <w:right w:val="single" w:sz="7" w:space="0" w:color="D3D3D3"/>
            </w:tcBorders>
            <w:vAlign w:val="center"/>
          </w:tcPr>
          <w:p w14:paraId="0BA81C9A" w14:textId="77777777" w:rsidR="00537FF1" w:rsidRPr="008902F2" w:rsidRDefault="00537FF1" w:rsidP="00515E9F">
            <w:pPr>
              <w:spacing w:after="0" w:line="240" w:lineRule="auto"/>
              <w:jc w:val="right"/>
              <w:rPr>
                <w:rFonts w:ascii="Times New Roman" w:eastAsia="Arial" w:hAnsi="Times New Roman"/>
                <w:color w:val="000000"/>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tcPr>
          <w:p w14:paraId="01166835" w14:textId="77777777" w:rsidR="00537FF1" w:rsidRPr="008902F2" w:rsidRDefault="00537FF1" w:rsidP="00515E9F">
            <w:pPr>
              <w:spacing w:after="0" w:line="240" w:lineRule="auto"/>
              <w:jc w:val="right"/>
              <w:rPr>
                <w:rFonts w:ascii="Times New Roman" w:eastAsia="Arial" w:hAnsi="Times New Roman"/>
                <w:color w:val="000000"/>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tcPr>
          <w:p w14:paraId="76553A8D" w14:textId="77777777" w:rsidR="00537FF1" w:rsidRPr="008902F2" w:rsidRDefault="00537FF1" w:rsidP="00515E9F">
            <w:pPr>
              <w:spacing w:after="0" w:line="240" w:lineRule="auto"/>
              <w:jc w:val="right"/>
              <w:rPr>
                <w:rFonts w:ascii="Times New Roman" w:eastAsia="Arial" w:hAnsi="Times New Roman"/>
                <w:color w:val="000000"/>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tcPr>
          <w:p w14:paraId="6F996557" w14:textId="77777777" w:rsidR="00537FF1" w:rsidRPr="008902F2" w:rsidRDefault="00537FF1" w:rsidP="00515E9F">
            <w:pPr>
              <w:spacing w:after="0" w:line="240" w:lineRule="auto"/>
              <w:jc w:val="right"/>
              <w:rPr>
                <w:rFonts w:ascii="Times New Roman" w:hAnsi="Times New Roman"/>
                <w:color w:val="000000"/>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tcPr>
          <w:p w14:paraId="32858A64" w14:textId="77777777" w:rsidR="00537FF1" w:rsidRPr="008902F2" w:rsidRDefault="00537FF1" w:rsidP="00515E9F">
            <w:pPr>
              <w:spacing w:after="0" w:line="240" w:lineRule="auto"/>
              <w:jc w:val="right"/>
              <w:rPr>
                <w:rFonts w:ascii="Times New Roman" w:eastAsia="Arial" w:hAnsi="Times New Roman"/>
                <w:color w:val="000000"/>
              </w:rPr>
            </w:pPr>
            <w:r w:rsidRPr="008902F2">
              <w:rPr>
                <w:rFonts w:ascii="Times New Roman" w:eastAsia="Arial" w:hAnsi="Times New Roman"/>
                <w:color w:val="000000"/>
                <w:sz w:val="20"/>
              </w:rPr>
              <w:t>0,000</w:t>
            </w:r>
          </w:p>
        </w:tc>
        <w:tc>
          <w:tcPr>
            <w:tcW w:w="641" w:type="pct"/>
            <w:tcBorders>
              <w:top w:val="single" w:sz="7" w:space="0" w:color="D3D3D3"/>
              <w:left w:val="single" w:sz="7" w:space="0" w:color="D3D3D3"/>
              <w:bottom w:val="single" w:sz="7" w:space="0" w:color="D3D3D3"/>
              <w:right w:val="single" w:sz="7" w:space="0" w:color="D3D3D3"/>
            </w:tcBorders>
            <w:vAlign w:val="center"/>
          </w:tcPr>
          <w:p w14:paraId="486DD9CC" w14:textId="77777777" w:rsidR="00537FF1" w:rsidRPr="008902F2" w:rsidRDefault="00537FF1" w:rsidP="00515E9F">
            <w:pPr>
              <w:spacing w:after="0" w:line="240" w:lineRule="auto"/>
              <w:jc w:val="right"/>
              <w:rPr>
                <w:rFonts w:ascii="Times New Roman" w:eastAsia="Arial" w:hAnsi="Times New Roman"/>
                <w:color w:val="000000"/>
              </w:rPr>
            </w:pPr>
            <w:r w:rsidRPr="008902F2">
              <w:rPr>
                <w:rFonts w:ascii="Times New Roman" w:eastAsia="Arial" w:hAnsi="Times New Roman"/>
                <w:color w:val="000000"/>
                <w:sz w:val="20"/>
              </w:rPr>
              <w:t>0</w:t>
            </w:r>
          </w:p>
        </w:tc>
      </w:tr>
      <w:tr w:rsidR="00B43DAC" w:rsidRPr="008902F2" w14:paraId="497ACA6B" w14:textId="77777777" w:rsidTr="00515E9F">
        <w:trPr>
          <w:trHeight w:val="340"/>
        </w:trPr>
        <w:tc>
          <w:tcPr>
            <w:tcW w:w="647" w:type="pct"/>
            <w:vMerge/>
            <w:vAlign w:val="center"/>
            <w:hideMark/>
          </w:tcPr>
          <w:p w14:paraId="1985FB3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5E080E7D"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Other</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412F561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6D98CC6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0028D20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29F0E0A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0E7C88E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66,390</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49832D1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8</w:t>
            </w:r>
          </w:p>
        </w:tc>
      </w:tr>
      <w:tr w:rsidR="00B43DAC" w:rsidRPr="008902F2" w14:paraId="2BE1AFE5" w14:textId="77777777" w:rsidTr="00515E9F">
        <w:trPr>
          <w:trHeight w:val="340"/>
        </w:trPr>
        <w:tc>
          <w:tcPr>
            <w:tcW w:w="647" w:type="pct"/>
            <w:vMerge/>
            <w:vAlign w:val="center"/>
            <w:hideMark/>
          </w:tcPr>
          <w:p w14:paraId="1F521B06"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7B96EA9C"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Natural Gas</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6C40994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28,360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4925927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43,360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1848DB9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224,953</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6E878C8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4E91253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26.709,135</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51805AB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266</w:t>
            </w:r>
          </w:p>
        </w:tc>
      </w:tr>
      <w:tr w:rsidR="00B43DAC" w:rsidRPr="008902F2" w14:paraId="60B9A343" w14:textId="77777777" w:rsidTr="00515E9F">
        <w:trPr>
          <w:trHeight w:val="340"/>
        </w:trPr>
        <w:tc>
          <w:tcPr>
            <w:tcW w:w="647" w:type="pct"/>
            <w:vMerge/>
            <w:vAlign w:val="center"/>
            <w:hideMark/>
          </w:tcPr>
          <w:p w14:paraId="447B2103"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17B38434"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Fuel-oil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3EA6519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6E0AEA7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3C2A42F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682F0FE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4B156FA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991,506</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6C375A7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21</w:t>
            </w:r>
          </w:p>
        </w:tc>
      </w:tr>
      <w:tr w:rsidR="00B43DAC" w:rsidRPr="008902F2" w14:paraId="7F7B2849" w14:textId="77777777" w:rsidTr="00515E9F">
        <w:trPr>
          <w:trHeight w:val="340"/>
        </w:trPr>
        <w:tc>
          <w:tcPr>
            <w:tcW w:w="647" w:type="pct"/>
            <w:vMerge/>
            <w:vAlign w:val="center"/>
            <w:hideMark/>
          </w:tcPr>
          <w:p w14:paraId="1C7DFABA"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3FCDEA1E"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Sun</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71A5489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3F4454F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7,000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5A9A3D5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7,000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0CB100A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10ACFD7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1.468,814</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0903FD9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37</w:t>
            </w:r>
          </w:p>
        </w:tc>
      </w:tr>
      <w:tr w:rsidR="00B43DAC" w:rsidRPr="008902F2" w14:paraId="7BDD54B1" w14:textId="77777777" w:rsidTr="00515E9F">
        <w:trPr>
          <w:trHeight w:val="340"/>
        </w:trPr>
        <w:tc>
          <w:tcPr>
            <w:tcW w:w="647" w:type="pct"/>
            <w:vMerge/>
            <w:vAlign w:val="center"/>
            <w:hideMark/>
          </w:tcPr>
          <w:p w14:paraId="415284E4"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39A3E0B6"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Hydraulic</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01D445F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305,559</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03524B4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348,037</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46B1B67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411,537</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56A8F8C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107,030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5DB38C7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32.957,555</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69F5BAD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782</w:t>
            </w:r>
          </w:p>
        </w:tc>
      </w:tr>
      <w:tr w:rsidR="00B43DAC" w:rsidRPr="008902F2" w14:paraId="0CCCECAB" w14:textId="77777777" w:rsidTr="00515E9F">
        <w:trPr>
          <w:trHeight w:val="340"/>
        </w:trPr>
        <w:tc>
          <w:tcPr>
            <w:tcW w:w="647" w:type="pct"/>
            <w:vMerge/>
            <w:vAlign w:val="center"/>
            <w:hideMark/>
          </w:tcPr>
          <w:p w14:paraId="36A2DEB6"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22F687F8"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Imported Coal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40F9222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57E18A2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1CCC014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3AD7119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466B55A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12.814,800</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4C2A823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15</w:t>
            </w:r>
          </w:p>
        </w:tc>
      </w:tr>
      <w:tr w:rsidR="00B43DAC" w:rsidRPr="008902F2" w14:paraId="78861E0E" w14:textId="77777777" w:rsidTr="00515E9F">
        <w:trPr>
          <w:trHeight w:val="340"/>
        </w:trPr>
        <w:tc>
          <w:tcPr>
            <w:tcW w:w="647" w:type="pct"/>
            <w:vMerge/>
            <w:vAlign w:val="center"/>
            <w:hideMark/>
          </w:tcPr>
          <w:p w14:paraId="0347D1D5"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3465A0FE"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Geothermal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73C61BC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25,000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703D5D4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25,000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19AF4A7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425D0B1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55B748E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1.860,633</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43A19E7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66</w:t>
            </w:r>
          </w:p>
        </w:tc>
      </w:tr>
      <w:tr w:rsidR="00B43DAC" w:rsidRPr="008902F2" w14:paraId="72F95DEF" w14:textId="77777777" w:rsidTr="00515E9F">
        <w:trPr>
          <w:trHeight w:val="340"/>
        </w:trPr>
        <w:tc>
          <w:tcPr>
            <w:tcW w:w="647" w:type="pct"/>
            <w:vMerge/>
            <w:vAlign w:val="center"/>
            <w:hideMark/>
          </w:tcPr>
          <w:p w14:paraId="3AE1DF72"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5FDB268C"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Coal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21FE2AF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726C84E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55,000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7BB4112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61,000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67967BC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7E93FD0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1.252,374</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0F95318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14</w:t>
            </w:r>
          </w:p>
        </w:tc>
      </w:tr>
      <w:tr w:rsidR="00B43DAC" w:rsidRPr="008902F2" w14:paraId="05B65BA5" w14:textId="77777777" w:rsidTr="00515E9F">
        <w:trPr>
          <w:trHeight w:val="340"/>
        </w:trPr>
        <w:tc>
          <w:tcPr>
            <w:tcW w:w="647" w:type="pct"/>
            <w:vMerge/>
            <w:vAlign w:val="center"/>
            <w:hideMark/>
          </w:tcPr>
          <w:p w14:paraId="284F2E65"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55150E49"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Diesel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028F472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292BAE6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21D1DAE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2B25DA6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0576AFD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209,864</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2B2B730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9</w:t>
            </w:r>
          </w:p>
        </w:tc>
      </w:tr>
      <w:tr w:rsidR="00B43DAC" w:rsidRPr="008902F2" w14:paraId="173354CD" w14:textId="77777777" w:rsidTr="00515E9F">
        <w:trPr>
          <w:trHeight w:val="340"/>
        </w:trPr>
        <w:tc>
          <w:tcPr>
            <w:tcW w:w="647" w:type="pct"/>
            <w:vMerge/>
            <w:vAlign w:val="center"/>
            <w:hideMark/>
          </w:tcPr>
          <w:p w14:paraId="687CCB83"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26228422"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Oil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0933C7E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1E401EE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4C40AAC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59D811C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071E5D6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16,872</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2E643A3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w:t>
            </w:r>
          </w:p>
        </w:tc>
      </w:tr>
      <w:tr w:rsidR="00B43DAC" w:rsidRPr="008902F2" w14:paraId="4637B572" w14:textId="77777777" w:rsidTr="00515E9F">
        <w:trPr>
          <w:trHeight w:val="340"/>
        </w:trPr>
        <w:tc>
          <w:tcPr>
            <w:tcW w:w="647" w:type="pct"/>
            <w:vMerge/>
            <w:vAlign w:val="center"/>
            <w:hideMark/>
          </w:tcPr>
          <w:p w14:paraId="26F7A8D2"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1E359E3E"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Prolitik Oil &amp; Prolitik Gaz</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23B53EA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7011B76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6535F4A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7E07C55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0483676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7DCFEC4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w:t>
            </w:r>
          </w:p>
        </w:tc>
      </w:tr>
      <w:tr w:rsidR="00B43DAC" w:rsidRPr="008902F2" w14:paraId="6375A551" w14:textId="77777777" w:rsidTr="00515E9F">
        <w:trPr>
          <w:trHeight w:val="340"/>
        </w:trPr>
        <w:tc>
          <w:tcPr>
            <w:tcW w:w="647" w:type="pct"/>
            <w:vMerge/>
            <w:vAlign w:val="center"/>
            <w:hideMark/>
          </w:tcPr>
          <w:p w14:paraId="3CDFBF48"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093601C9"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Process Waste Heat</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24B57276"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6099C36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2D5D844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3FB8700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46B521C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161,945</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052CBC2D"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14</w:t>
            </w:r>
          </w:p>
        </w:tc>
      </w:tr>
      <w:tr w:rsidR="00B43DAC" w:rsidRPr="008902F2" w14:paraId="6066CD2D" w14:textId="77777777" w:rsidTr="00515E9F">
        <w:trPr>
          <w:trHeight w:val="340"/>
        </w:trPr>
        <w:tc>
          <w:tcPr>
            <w:tcW w:w="647" w:type="pct"/>
            <w:vMerge/>
            <w:vAlign w:val="center"/>
            <w:hideMark/>
          </w:tcPr>
          <w:p w14:paraId="0F964381"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20BE7450" w14:textId="77777777" w:rsidR="00537FF1" w:rsidRPr="008902F2" w:rsidRDefault="00151CF9"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Wind</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2835360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266,195</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7B057B4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626,690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2371ADD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346,895</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6B40B8F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11,200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3E6C9F4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13.397,045</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5731983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287</w:t>
            </w:r>
          </w:p>
        </w:tc>
      </w:tr>
      <w:tr w:rsidR="00B43DAC" w:rsidRPr="008902F2" w14:paraId="2A338FEA" w14:textId="77777777" w:rsidTr="00515E9F">
        <w:trPr>
          <w:trHeight w:val="340"/>
        </w:trPr>
        <w:tc>
          <w:tcPr>
            <w:tcW w:w="647" w:type="pct"/>
            <w:vMerge/>
            <w:vAlign w:val="center"/>
            <w:hideMark/>
          </w:tcPr>
          <w:p w14:paraId="6B253C85"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67423A1D"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Uranium</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404E078B"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36ED9AE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3302E399"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2E144B37"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0FE1005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4.800,000</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39507054"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w:t>
            </w:r>
          </w:p>
        </w:tc>
      </w:tr>
      <w:tr w:rsidR="00B43DAC" w:rsidRPr="008902F2" w14:paraId="53AA6C99" w14:textId="77777777" w:rsidTr="00515E9F">
        <w:trPr>
          <w:trHeight w:val="340"/>
        </w:trPr>
        <w:tc>
          <w:tcPr>
            <w:tcW w:w="647" w:type="pct"/>
            <w:vMerge/>
            <w:vAlign w:val="center"/>
            <w:hideMark/>
          </w:tcPr>
          <w:p w14:paraId="37098E63"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0F405E6F"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Domestic Asphaltite</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721F092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78CCD490"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4AC04F7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6EB11B75"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6735C01E"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405,000</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0295336A"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w:t>
            </w:r>
          </w:p>
        </w:tc>
      </w:tr>
      <w:tr w:rsidR="00B43DAC" w:rsidRPr="008902F2" w14:paraId="3C456357" w14:textId="77777777" w:rsidTr="00515E9F">
        <w:trPr>
          <w:trHeight w:val="340"/>
        </w:trPr>
        <w:tc>
          <w:tcPr>
            <w:tcW w:w="647" w:type="pct"/>
            <w:vMerge/>
            <w:vAlign w:val="center"/>
            <w:hideMark/>
          </w:tcPr>
          <w:p w14:paraId="0A377B76"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p>
        </w:tc>
        <w:tc>
          <w:tcPr>
            <w:tcW w:w="632" w:type="pct"/>
            <w:shd w:val="clear" w:color="auto" w:fill="auto"/>
            <w:vAlign w:val="center"/>
            <w:hideMark/>
          </w:tcPr>
          <w:p w14:paraId="20880EDB" w14:textId="77777777" w:rsidR="00537FF1" w:rsidRPr="008902F2" w:rsidRDefault="00537FF1" w:rsidP="00515E9F">
            <w:pPr>
              <w:spacing w:after="0" w:line="240" w:lineRule="auto"/>
              <w:jc w:val="left"/>
              <w:rPr>
                <w:rFonts w:ascii="Times New Roman" w:eastAsia="Times New Roman" w:hAnsi="Times New Roman"/>
                <w:b/>
                <w:bCs/>
                <w:color w:val="000000"/>
                <w:lang w:eastAsia="tr-TR"/>
              </w:rPr>
            </w:pPr>
            <w:r w:rsidRPr="008902F2">
              <w:rPr>
                <w:rFonts w:ascii="Times New Roman" w:eastAsia="Arial" w:hAnsi="Times New Roman"/>
                <w:b/>
                <w:color w:val="000000"/>
                <w:sz w:val="20"/>
              </w:rPr>
              <w:t>Domestic Coal</w:t>
            </w:r>
          </w:p>
        </w:tc>
        <w:tc>
          <w:tcPr>
            <w:tcW w:w="598" w:type="pct"/>
            <w:tcBorders>
              <w:top w:val="single" w:sz="7" w:space="0" w:color="D3D3D3"/>
              <w:left w:val="single" w:sz="7" w:space="0" w:color="D3D3D3"/>
              <w:bottom w:val="single" w:sz="7" w:space="0" w:color="D3D3D3"/>
              <w:right w:val="single" w:sz="7" w:space="0" w:color="D3D3D3"/>
            </w:tcBorders>
            <w:vAlign w:val="center"/>
            <w:hideMark/>
          </w:tcPr>
          <w:p w14:paraId="64419523"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605" w:type="pct"/>
            <w:tcBorders>
              <w:top w:val="single" w:sz="7" w:space="0" w:color="D3D3D3"/>
              <w:left w:val="single" w:sz="7" w:space="0" w:color="D3D3D3"/>
              <w:bottom w:val="single" w:sz="7" w:space="0" w:color="D3D3D3"/>
              <w:right w:val="single" w:sz="7" w:space="0" w:color="D3D3D3"/>
            </w:tcBorders>
            <w:vAlign w:val="center"/>
            <w:hideMark/>
          </w:tcPr>
          <w:p w14:paraId="1B75CDBF"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734" w:type="pct"/>
            <w:tcBorders>
              <w:top w:val="single" w:sz="7" w:space="0" w:color="D3D3D3"/>
              <w:left w:val="single" w:sz="7" w:space="0" w:color="D3D3D3"/>
              <w:bottom w:val="single" w:sz="7" w:space="0" w:color="D3D3D3"/>
              <w:right w:val="single" w:sz="7" w:space="0" w:color="D3D3D3"/>
            </w:tcBorders>
            <w:vAlign w:val="center"/>
            <w:hideMark/>
          </w:tcPr>
          <w:p w14:paraId="1CBB13DC"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0,000</w:t>
            </w:r>
          </w:p>
        </w:tc>
        <w:tc>
          <w:tcPr>
            <w:tcW w:w="500" w:type="pct"/>
            <w:tcBorders>
              <w:top w:val="single" w:sz="7" w:space="0" w:color="D3D3D3"/>
              <w:left w:val="single" w:sz="7" w:space="0" w:color="D3D3D3"/>
              <w:bottom w:val="single" w:sz="7" w:space="0" w:color="D3D3D3"/>
              <w:right w:val="single" w:sz="7" w:space="0" w:color="D3D3D3"/>
            </w:tcBorders>
            <w:vAlign w:val="center"/>
            <w:hideMark/>
          </w:tcPr>
          <w:p w14:paraId="58969321"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500,000</w:t>
            </w:r>
          </w:p>
        </w:tc>
        <w:tc>
          <w:tcPr>
            <w:tcW w:w="644" w:type="pct"/>
            <w:tcBorders>
              <w:top w:val="single" w:sz="7" w:space="0" w:color="D3D3D3"/>
              <w:left w:val="single" w:sz="7" w:space="0" w:color="D3D3D3"/>
              <w:bottom w:val="single" w:sz="7" w:space="0" w:color="D3D3D3"/>
              <w:right w:val="single" w:sz="7" w:space="0" w:color="D3D3D3"/>
            </w:tcBorders>
            <w:vAlign w:val="center"/>
            <w:hideMark/>
          </w:tcPr>
          <w:p w14:paraId="2641D132"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10.184,496</w:t>
            </w:r>
          </w:p>
        </w:tc>
        <w:tc>
          <w:tcPr>
            <w:tcW w:w="641" w:type="pct"/>
            <w:tcBorders>
              <w:top w:val="single" w:sz="7" w:space="0" w:color="D3D3D3"/>
              <w:left w:val="single" w:sz="7" w:space="0" w:color="D3D3D3"/>
              <w:bottom w:val="single" w:sz="7" w:space="0" w:color="D3D3D3"/>
              <w:right w:val="single" w:sz="7" w:space="0" w:color="D3D3D3"/>
            </w:tcBorders>
            <w:vAlign w:val="center"/>
            <w:hideMark/>
          </w:tcPr>
          <w:p w14:paraId="7A79C848" w14:textId="77777777" w:rsidR="00537FF1" w:rsidRPr="008902F2" w:rsidRDefault="00537FF1" w:rsidP="00515E9F">
            <w:pPr>
              <w:spacing w:after="0" w:line="240" w:lineRule="auto"/>
              <w:jc w:val="right"/>
              <w:rPr>
                <w:rFonts w:ascii="Times New Roman" w:eastAsia="Times New Roman" w:hAnsi="Times New Roman"/>
                <w:color w:val="000000"/>
                <w:lang w:eastAsia="tr-TR"/>
              </w:rPr>
            </w:pPr>
            <w:r w:rsidRPr="008902F2">
              <w:rPr>
                <w:rFonts w:ascii="Times New Roman" w:eastAsia="Arial" w:hAnsi="Times New Roman"/>
                <w:color w:val="000000"/>
                <w:sz w:val="20"/>
              </w:rPr>
              <w:t>23</w:t>
            </w:r>
          </w:p>
        </w:tc>
      </w:tr>
      <w:tr w:rsidR="00B43DAC" w:rsidRPr="008902F2" w14:paraId="7984BE9D" w14:textId="77777777" w:rsidTr="00515E9F">
        <w:trPr>
          <w:trHeight w:val="340"/>
        </w:trPr>
        <w:tc>
          <w:tcPr>
            <w:tcW w:w="647" w:type="pct"/>
            <w:vMerge/>
            <w:vAlign w:val="center"/>
            <w:hideMark/>
          </w:tcPr>
          <w:p w14:paraId="25AEEB9C"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p>
        </w:tc>
        <w:tc>
          <w:tcPr>
            <w:tcW w:w="632" w:type="pct"/>
            <w:shd w:val="clear" w:color="000000" w:fill="6E9ECA"/>
            <w:vAlign w:val="center"/>
            <w:hideMark/>
          </w:tcPr>
          <w:p w14:paraId="34F1B563"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Sum</w:t>
            </w:r>
          </w:p>
        </w:tc>
        <w:tc>
          <w:tcPr>
            <w:tcW w:w="598"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6E816E93"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662,370</w:t>
            </w:r>
          </w:p>
        </w:tc>
        <w:tc>
          <w:tcPr>
            <w:tcW w:w="605"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780C67B2"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1.226,812</w:t>
            </w:r>
          </w:p>
        </w:tc>
        <w:tc>
          <w:tcPr>
            <w:tcW w:w="734"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57DE9BC5"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1.140,020</w:t>
            </w:r>
          </w:p>
        </w:tc>
        <w:tc>
          <w:tcPr>
            <w:tcW w:w="500"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489EDFFC"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618,230</w:t>
            </w:r>
          </w:p>
        </w:tc>
        <w:tc>
          <w:tcPr>
            <w:tcW w:w="644"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31EDE866"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109.949,572</w:t>
            </w:r>
          </w:p>
        </w:tc>
        <w:tc>
          <w:tcPr>
            <w:tcW w:w="641"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6E126853" w14:textId="77777777" w:rsidR="00537FF1" w:rsidRPr="008902F2" w:rsidRDefault="00537FF1"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1890</w:t>
            </w:r>
          </w:p>
        </w:tc>
      </w:tr>
      <w:tr w:rsidR="00451D33" w:rsidRPr="008902F2" w14:paraId="762C9195" w14:textId="77777777" w:rsidTr="00515E9F">
        <w:trPr>
          <w:trHeight w:val="340"/>
        </w:trPr>
        <w:tc>
          <w:tcPr>
            <w:tcW w:w="1279" w:type="pct"/>
            <w:gridSpan w:val="2"/>
            <w:shd w:val="clear" w:color="auto" w:fill="6E9ECA"/>
            <w:vAlign w:val="center"/>
            <w:hideMark/>
          </w:tcPr>
          <w:p w14:paraId="73A451D4" w14:textId="77777777"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Times New Roman" w:hAnsi="Times New Roman"/>
                <w:b/>
                <w:color w:val="000000"/>
              </w:rPr>
              <w:lastRenderedPageBreak/>
              <w:t>Grand Total</w:t>
            </w:r>
          </w:p>
        </w:tc>
        <w:tc>
          <w:tcPr>
            <w:tcW w:w="598"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00DA761C" w14:textId="0913E775"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19.249,043</w:t>
            </w:r>
          </w:p>
        </w:tc>
        <w:tc>
          <w:tcPr>
            <w:tcW w:w="605"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306E1D71" w14:textId="1DBF157C"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3.481,913</w:t>
            </w:r>
          </w:p>
        </w:tc>
        <w:tc>
          <w:tcPr>
            <w:tcW w:w="734"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339ABEBA" w14:textId="37AFF210"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2.199,990</w:t>
            </w:r>
          </w:p>
        </w:tc>
        <w:tc>
          <w:tcPr>
            <w:tcW w:w="500"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292CF022" w14:textId="5C66450B"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634,270</w:t>
            </w:r>
          </w:p>
        </w:tc>
        <w:tc>
          <w:tcPr>
            <w:tcW w:w="644"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2EF82A6F" w14:textId="1E5A357C"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118.025,175</w:t>
            </w:r>
          </w:p>
        </w:tc>
        <w:tc>
          <w:tcPr>
            <w:tcW w:w="641"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79B84EE1" w14:textId="45701139" w:rsidR="00451D33" w:rsidRPr="008902F2" w:rsidRDefault="00451D33" w:rsidP="00515E9F">
            <w:pPr>
              <w:spacing w:after="0" w:line="240" w:lineRule="auto"/>
              <w:jc w:val="right"/>
              <w:rPr>
                <w:rFonts w:ascii="Times New Roman" w:eastAsia="Times New Roman" w:hAnsi="Times New Roman"/>
                <w:b/>
                <w:bCs/>
                <w:color w:val="000000"/>
                <w:lang w:eastAsia="tr-TR"/>
              </w:rPr>
            </w:pPr>
            <w:r w:rsidRPr="008902F2">
              <w:rPr>
                <w:rFonts w:ascii="Times New Roman" w:eastAsia="Arial" w:hAnsi="Times New Roman"/>
                <w:b/>
                <w:color w:val="000000"/>
                <w:sz w:val="20"/>
              </w:rPr>
              <w:t>2156</w:t>
            </w:r>
          </w:p>
        </w:tc>
      </w:tr>
    </w:tbl>
    <w:p w14:paraId="0D7BE44E" w14:textId="77777777" w:rsidR="00CB5826" w:rsidRPr="008902F2" w:rsidRDefault="756206D8" w:rsidP="00A86526">
      <w:pPr>
        <w:pStyle w:val="Balk3"/>
        <w:numPr>
          <w:ilvl w:val="2"/>
          <w:numId w:val="27"/>
        </w:numPr>
        <w:spacing w:after="240"/>
        <w:rPr>
          <w:rFonts w:ascii="Times New Roman" w:hAnsi="Times New Roman" w:cs="Times New Roman"/>
        </w:rPr>
      </w:pPr>
      <w:bookmarkStart w:id="83" w:name="_Toc442431257"/>
      <w:bookmarkStart w:id="84" w:name="_Toc143113405"/>
      <w:bookmarkEnd w:id="81"/>
      <w:r w:rsidRPr="008902F2">
        <w:rPr>
          <w:rFonts w:ascii="Times New Roman" w:hAnsi="Times New Roman" w:cs="Times New Roman"/>
        </w:rPr>
        <w:t>Import and Export Permits</w:t>
      </w:r>
      <w:bookmarkEnd w:id="83"/>
      <w:bookmarkEnd w:id="84"/>
    </w:p>
    <w:p w14:paraId="5E704BBE" w14:textId="77777777" w:rsidR="001548D5" w:rsidRPr="008902F2" w:rsidRDefault="194D5E5C" w:rsidP="001548D5">
      <w:pPr>
        <w:tabs>
          <w:tab w:val="left" w:pos="284"/>
          <w:tab w:val="left" w:pos="567"/>
          <w:tab w:val="left" w:pos="709"/>
          <w:tab w:val="left" w:pos="851"/>
        </w:tabs>
        <w:contextualSpacing/>
        <w:rPr>
          <w:rFonts w:ascii="Times New Roman" w:hAnsi="Times New Roman"/>
        </w:rPr>
      </w:pPr>
      <w:r w:rsidRPr="008902F2">
        <w:rPr>
          <w:rFonts w:ascii="Times New Roman" w:hAnsi="Times New Roman"/>
        </w:rPr>
        <w:t>Legal entities holding a Supply License can engage in import and/or export activities, while legal entities holding a Production License can also engage in export activities. In this context;</w:t>
      </w:r>
    </w:p>
    <w:p w14:paraId="4F1ED470" w14:textId="3292D1C3" w:rsidR="37FED9B2" w:rsidRPr="008902F2" w:rsidRDefault="001548D5" w:rsidP="00A86526">
      <w:pPr>
        <w:pStyle w:val="ListeParagraf"/>
        <w:numPr>
          <w:ilvl w:val="0"/>
          <w:numId w:val="28"/>
        </w:numPr>
        <w:tabs>
          <w:tab w:val="left" w:pos="284"/>
          <w:tab w:val="left" w:pos="567"/>
          <w:tab w:val="left" w:pos="709"/>
          <w:tab w:val="left" w:pos="851"/>
        </w:tabs>
        <w:spacing w:after="0"/>
        <w:rPr>
          <w:rFonts w:ascii="Times New Roman" w:hAnsi="Times New Roman"/>
        </w:rPr>
      </w:pPr>
      <w:r w:rsidRPr="008902F2">
        <w:rPr>
          <w:rFonts w:ascii="Times New Roman" w:hAnsi="Times New Roman"/>
        </w:rPr>
        <w:t xml:space="preserve">   </w:t>
      </w:r>
      <w:r w:rsidR="37FED9B2" w:rsidRPr="008902F2">
        <w:rPr>
          <w:rFonts w:ascii="Times New Roman" w:hAnsi="Times New Roman"/>
        </w:rPr>
        <w:t>This pertains to the establishment of operations within the scope of the existing Borçka-Akhaltsıkhe energy transmission line between T</w:t>
      </w:r>
      <w:r w:rsidR="00454819" w:rsidRPr="008902F2">
        <w:rPr>
          <w:rFonts w:ascii="Times New Roman" w:hAnsi="Times New Roman"/>
        </w:rPr>
        <w:t>ürkiye</w:t>
      </w:r>
      <w:r w:rsidR="37FED9B2" w:rsidRPr="008902F2">
        <w:rPr>
          <w:rFonts w:ascii="Times New Roman" w:hAnsi="Times New Roman"/>
        </w:rPr>
        <w:t xml:space="preserve"> and Georgia for the import of electrical energy through an asynchronous parallel operation method. This is in accordance with the "Approval of the Agreement between the Republic of </w:t>
      </w:r>
      <w:r w:rsidR="00454819" w:rsidRPr="008902F2">
        <w:rPr>
          <w:rFonts w:ascii="Times New Roman" w:hAnsi="Times New Roman"/>
        </w:rPr>
        <w:t>Türkiye</w:t>
      </w:r>
      <w:r w:rsidR="37FED9B2" w:rsidRPr="008902F2">
        <w:rPr>
          <w:rFonts w:ascii="Times New Roman" w:hAnsi="Times New Roman"/>
        </w:rPr>
        <w:t xml:space="preserve"> and Georgia on Cross-Border Electricity Trade via the Ahıska-Borçka Interconnection Line, Published in the Official Gazette dated 11.06.2013 and numbered 28674," as well as the "</w:t>
      </w:r>
      <w:r w:rsidR="00454819" w:rsidRPr="008902F2">
        <w:rPr>
          <w:rFonts w:ascii="Times New Roman" w:hAnsi="Times New Roman"/>
        </w:rPr>
        <w:t>Türkiye</w:t>
      </w:r>
      <w:r w:rsidR="37FED9B2" w:rsidRPr="008902F2">
        <w:rPr>
          <w:rFonts w:ascii="Times New Roman" w:hAnsi="Times New Roman"/>
        </w:rPr>
        <w:t xml:space="preserve">-Georgia Cross-Border Electricity Trade Agreement" signed between the Ministries of Energy of </w:t>
      </w:r>
      <w:r w:rsidR="00454819" w:rsidRPr="008902F2">
        <w:rPr>
          <w:rFonts w:ascii="Times New Roman" w:hAnsi="Times New Roman"/>
        </w:rPr>
        <w:t>Türkiye</w:t>
      </w:r>
      <w:r w:rsidR="37FED9B2" w:rsidRPr="008902F2">
        <w:rPr>
          <w:rFonts w:ascii="Times New Roman" w:hAnsi="Times New Roman"/>
        </w:rPr>
        <w:t xml:space="preserve"> and Georgia on 20.01.2012, and the 6th article, subsection (b), of the aforementioned agreement related to "Open Access Capacity (OAC) and Capacity Allocation," which states that "In any case, the company to which OAC will be allocated shall be determined by the exporting country." Additionally, in accordance with the provision of the 4th subsection of the "Capacity Allocation" article within the "Enterconnection Operation Agreement" signed between TEİAŞ General Directorate and the Georgian Electricity Company (GSE) on 19.09.2013, which was put into effect through the TEİAŞ Board of Directors' Decision No. 31-429 dated 11.09.2013, stating "The allocation of capacity shall be carried out by the Party engaged in electricity export," the licensing amendment procedures concerning electricity import will be conducted by the Authority within this context.</w:t>
      </w:r>
    </w:p>
    <w:p w14:paraId="64FDC400" w14:textId="0FE1B897" w:rsidR="6F691FB8" w:rsidRPr="008902F2" w:rsidRDefault="6F691FB8" w:rsidP="6F691FB8">
      <w:pPr>
        <w:tabs>
          <w:tab w:val="left" w:pos="284"/>
          <w:tab w:val="left" w:pos="567"/>
          <w:tab w:val="left" w:pos="709"/>
          <w:tab w:val="left" w:pos="851"/>
        </w:tabs>
        <w:spacing w:after="0"/>
        <w:rPr>
          <w:rFonts w:ascii="Times New Roman" w:hAnsi="Times New Roman"/>
        </w:rPr>
      </w:pPr>
    </w:p>
    <w:p w14:paraId="7665A1D0" w14:textId="05D41BBA" w:rsidR="00881DA9" w:rsidRPr="008902F2" w:rsidRDefault="3E9FD47C" w:rsidP="00A86526">
      <w:pPr>
        <w:pStyle w:val="ListeParagraf"/>
        <w:numPr>
          <w:ilvl w:val="0"/>
          <w:numId w:val="22"/>
        </w:numPr>
        <w:rPr>
          <w:rFonts w:ascii="Times New Roman" w:hAnsi="Times New Roman"/>
        </w:rPr>
      </w:pPr>
      <w:r w:rsidRPr="008902F2">
        <w:rPr>
          <w:rFonts w:ascii="Times New Roman" w:hAnsi="Times New Roman"/>
        </w:rPr>
        <w:t>Furthermore, as a result of the synchronous parallel connection initiated on 18.09.2010 between the Turkish electricity system and the ENTSO-E European Continental Synchronous Area system, limited capacity allocation has been allowed for commercial electricity trading between T</w:t>
      </w:r>
      <w:r w:rsidR="00454819" w:rsidRPr="008902F2">
        <w:rPr>
          <w:rFonts w:ascii="Times New Roman" w:hAnsi="Times New Roman"/>
        </w:rPr>
        <w:t>ürkiye</w:t>
      </w:r>
      <w:r w:rsidRPr="008902F2">
        <w:rPr>
          <w:rFonts w:ascii="Times New Roman" w:hAnsi="Times New Roman"/>
        </w:rPr>
        <w:t xml:space="preserve">'s electricity system and the ENTSO-E European Continental Synchronous Area in accordance with EU rules and ENTSO-E practices, involving Bulgaria, Greece, and </w:t>
      </w:r>
      <w:r w:rsidR="00454819" w:rsidRPr="008902F2">
        <w:rPr>
          <w:rFonts w:ascii="Times New Roman" w:hAnsi="Times New Roman"/>
        </w:rPr>
        <w:t>Türkiye</w:t>
      </w:r>
      <w:r w:rsidRPr="008902F2">
        <w:rPr>
          <w:rFonts w:ascii="Times New Roman" w:hAnsi="Times New Roman"/>
        </w:rPr>
        <w:t xml:space="preserve">. In this context, capacity allocations, which form the basis for trade with the ENTSO-E region, are carried out in two ways. Firstly, an auction is conducted under the Southeast Europe Coordinated Auction Office (SEE CAO) for the </w:t>
      </w:r>
      <w:r w:rsidR="00454819" w:rsidRPr="008902F2">
        <w:rPr>
          <w:rFonts w:ascii="Times New Roman" w:hAnsi="Times New Roman"/>
        </w:rPr>
        <w:t>Türkiye</w:t>
      </w:r>
      <w:r w:rsidRPr="008902F2">
        <w:rPr>
          <w:rFonts w:ascii="Times New Roman" w:hAnsi="Times New Roman"/>
        </w:rPr>
        <w:t xml:space="preserve">-Greece line, and participants with capacity demands take part in this auction. A regulation change related to this was made on 28.12.2014, and the auction rules to be applied by SEE CAO were approved and accepted by the Authority with a decision dated 08.01.2015. The capacity allocation for the other synchronous parallel line with the ENTSO-E region, namely the </w:t>
      </w:r>
      <w:r w:rsidR="00454819" w:rsidRPr="008902F2">
        <w:rPr>
          <w:rFonts w:ascii="Times New Roman" w:hAnsi="Times New Roman"/>
        </w:rPr>
        <w:t>Türkiye</w:t>
      </w:r>
      <w:r w:rsidRPr="008902F2">
        <w:rPr>
          <w:rFonts w:ascii="Times New Roman" w:hAnsi="Times New Roman"/>
        </w:rPr>
        <w:t xml:space="preserve">-Bulgaria interconnection line, continues to be carried out by the transmission system operators of </w:t>
      </w:r>
      <w:r w:rsidR="00454819" w:rsidRPr="008902F2">
        <w:rPr>
          <w:rFonts w:ascii="Times New Roman" w:hAnsi="Times New Roman"/>
        </w:rPr>
        <w:t>Türkiye</w:t>
      </w:r>
      <w:r w:rsidRPr="008902F2">
        <w:rPr>
          <w:rFonts w:ascii="Times New Roman" w:hAnsi="Times New Roman"/>
        </w:rPr>
        <w:t xml:space="preserve"> and Bulgaria in line with the Regulation and approved procedures. The current information regarding capacity allocation for this line is published on the https://tcat.teias.gov.tr/ website. As of the year 2022, the allocation process is still ongoing.</w:t>
      </w:r>
    </w:p>
    <w:p w14:paraId="549FC286" w14:textId="77777777" w:rsidR="00881DA9" w:rsidRPr="008902F2" w:rsidRDefault="03632B55" w:rsidP="00A86526">
      <w:pPr>
        <w:pStyle w:val="Balk2"/>
        <w:numPr>
          <w:ilvl w:val="1"/>
          <w:numId w:val="27"/>
        </w:numPr>
        <w:spacing w:before="0" w:after="240"/>
        <w:rPr>
          <w:rFonts w:ascii="Times New Roman" w:hAnsi="Times New Roman" w:cs="Times New Roman"/>
          <w:szCs w:val="22"/>
        </w:rPr>
      </w:pPr>
      <w:bookmarkStart w:id="85" w:name="_Toc130290897"/>
      <w:bookmarkStart w:id="86" w:name="_Toc143113406"/>
      <w:r w:rsidRPr="008902F2">
        <w:rPr>
          <w:rFonts w:ascii="Times New Roman" w:hAnsi="Times New Roman" w:cs="Times New Roman"/>
          <w:szCs w:val="22"/>
        </w:rPr>
        <w:t>Charging Service Market Licensing Activities</w:t>
      </w:r>
      <w:bookmarkEnd w:id="85"/>
      <w:bookmarkEnd w:id="86"/>
    </w:p>
    <w:p w14:paraId="527FA778" w14:textId="5FD0123F" w:rsidR="783AF60A" w:rsidRPr="008902F2" w:rsidRDefault="783AF60A" w:rsidP="6F691FB8">
      <w:pPr>
        <w:rPr>
          <w:rFonts w:ascii="Times New Roman" w:hAnsi="Times New Roman"/>
        </w:rPr>
      </w:pPr>
      <w:r w:rsidRPr="008902F2">
        <w:rPr>
          <w:rFonts w:ascii="Times New Roman" w:hAnsi="Times New Roman"/>
        </w:rPr>
        <w:t xml:space="preserve">According to Article 5 of the Electricity Market Law No. 6446, titled "Charging Service," legal entities intending to operate in the charging service market are required to obtain a license from the Authority. The holder of the </w:t>
      </w:r>
      <w:r w:rsidRPr="008902F2">
        <w:rPr>
          <w:rFonts w:ascii="Times New Roman" w:hAnsi="Times New Roman"/>
        </w:rPr>
        <w:lastRenderedPageBreak/>
        <w:t>charging network operator license has the right and authority to establish or operate charging stations connected to the charging network they have established or will establish, within the region specified in their license or nationwide, and to establish or operate charging stations within the scope of the certificates they issue. The procedures and principles related to the licenses to be issued by the Authority are regulated in the Charging Service Regulation. The charging network operator license is issued for a maximum period of 49 years.</w:t>
      </w:r>
    </w:p>
    <w:p w14:paraId="58062AA7" w14:textId="77777777" w:rsidR="00881DA9" w:rsidRPr="008902F2" w:rsidRDefault="00881DA9" w:rsidP="00881DA9">
      <w:pPr>
        <w:pStyle w:val="Balk5"/>
        <w:jc w:val="center"/>
        <w:rPr>
          <w:rStyle w:val="Gl"/>
          <w:rFonts w:ascii="Times New Roman" w:hAnsi="Times New Roman" w:cs="Times New Roman"/>
          <w:color w:val="000000" w:themeColor="text1"/>
        </w:rPr>
      </w:pPr>
      <w:bookmarkStart w:id="87" w:name="_Toc130290449"/>
      <w:bookmarkStart w:id="88" w:name="_Toc132713893"/>
      <w:r w:rsidRPr="008902F2">
        <w:rPr>
          <w:rStyle w:val="Gl"/>
          <w:rFonts w:ascii="Times New Roman" w:hAnsi="Times New Roman" w:cs="Times New Roman"/>
          <w:color w:val="000000" w:themeColor="text1"/>
        </w:rPr>
        <w:t>Table 3.3: License Transactions in the Charging Service Market in 2022 (Units)</w:t>
      </w:r>
      <w:bookmarkEnd w:id="87"/>
      <w:bookmarkEnd w:id="8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73"/>
        <w:gridCol w:w="1326"/>
        <w:gridCol w:w="935"/>
        <w:gridCol w:w="1717"/>
        <w:gridCol w:w="959"/>
        <w:gridCol w:w="1387"/>
        <w:gridCol w:w="767"/>
        <w:gridCol w:w="1547"/>
      </w:tblGrid>
      <w:tr w:rsidR="00881DA9" w:rsidRPr="008902F2" w14:paraId="145CAF7D" w14:textId="77777777" w:rsidTr="003F1300">
        <w:trPr>
          <w:trHeight w:val="1189"/>
          <w:jc w:val="center"/>
        </w:trPr>
        <w:tc>
          <w:tcPr>
            <w:tcW w:w="697"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5A6F19DF"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681"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79B62621"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 Applications</w:t>
            </w:r>
          </w:p>
        </w:tc>
        <w:tc>
          <w:tcPr>
            <w:tcW w:w="497"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72EB53E6"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Granted</w:t>
            </w:r>
          </w:p>
        </w:tc>
        <w:tc>
          <w:tcPr>
            <w:tcW w:w="916"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2F96AB71"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Expired/Expired Licenses</w:t>
            </w:r>
          </w:p>
        </w:tc>
        <w:tc>
          <w:tcPr>
            <w:tcW w:w="446"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0D442275"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Revoked Licenses</w:t>
            </w:r>
          </w:p>
        </w:tc>
        <w:tc>
          <w:tcPr>
            <w:tcW w:w="409"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2FA59F9E"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Amendments</w:t>
            </w:r>
          </w:p>
        </w:tc>
        <w:tc>
          <w:tcPr>
            <w:tcW w:w="519"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5EFAE35F"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835" w:type="pct"/>
            <w:tcBorders>
              <w:top w:val="single" w:sz="4" w:space="0" w:color="auto"/>
              <w:left w:val="single" w:sz="4" w:space="0" w:color="auto"/>
              <w:bottom w:val="single" w:sz="4" w:space="0" w:color="auto"/>
              <w:right w:val="single" w:sz="4" w:space="0" w:color="auto"/>
            </w:tcBorders>
            <w:shd w:val="clear" w:color="000000" w:fill="6E9ECA"/>
            <w:vAlign w:val="center"/>
            <w:hideMark/>
          </w:tcPr>
          <w:p w14:paraId="536A4AF4" w14:textId="77777777" w:rsidR="00881DA9" w:rsidRPr="008902F2" w:rsidRDefault="00881DA9" w:rsidP="00FF24CA">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Term</w:t>
            </w:r>
          </w:p>
        </w:tc>
      </w:tr>
      <w:tr w:rsidR="00686363" w:rsidRPr="008902F2" w14:paraId="561792CC" w14:textId="77777777" w:rsidTr="003F1300">
        <w:trPr>
          <w:trHeight w:val="1247"/>
          <w:jc w:val="center"/>
        </w:trPr>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14:paraId="5CBA8BAD" w14:textId="77777777" w:rsidR="00686363" w:rsidRPr="008902F2" w:rsidRDefault="00686363" w:rsidP="00F962D9">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sz w:val="24"/>
                <w:szCs w:val="24"/>
              </w:rPr>
              <w:t>Charging Network Operator License</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D3E6FDD"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98</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3C795E6"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77</w:t>
            </w:r>
          </w:p>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14:paraId="750AB381"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81DA1EE"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2176D0"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3</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0B4F369"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178</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3E2A08A" w14:textId="77777777" w:rsidR="00686363" w:rsidRPr="008902F2" w:rsidRDefault="00686363" w:rsidP="0068636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77</w:t>
            </w:r>
          </w:p>
        </w:tc>
      </w:tr>
    </w:tbl>
    <w:p w14:paraId="2EAF0182" w14:textId="77777777" w:rsidR="00881DA9" w:rsidRPr="008902F2" w:rsidRDefault="00881DA9" w:rsidP="00881DA9">
      <w:pPr>
        <w:ind w:firstLine="708"/>
        <w:rPr>
          <w:rFonts w:ascii="Times New Roman" w:hAnsi="Times New Roman"/>
        </w:rPr>
      </w:pPr>
    </w:p>
    <w:p w14:paraId="22C360CA" w14:textId="77777777" w:rsidR="00CB5826" w:rsidRPr="008902F2" w:rsidRDefault="00175DF4" w:rsidP="0017665A">
      <w:pPr>
        <w:rPr>
          <w:rFonts w:ascii="Times New Roman" w:hAnsi="Times New Roman"/>
        </w:rPr>
      </w:pPr>
      <w:r w:rsidRPr="008902F2">
        <w:rPr>
          <w:rFonts w:ascii="Times New Roman" w:hAnsi="Times New Roman"/>
        </w:rPr>
        <w:br w:type="page"/>
      </w:r>
    </w:p>
    <w:p w14:paraId="1D66827F" w14:textId="77777777" w:rsidR="00CB5826" w:rsidRPr="008902F2" w:rsidRDefault="756206D8" w:rsidP="00A86526">
      <w:pPr>
        <w:pStyle w:val="Balk2"/>
        <w:numPr>
          <w:ilvl w:val="1"/>
          <w:numId w:val="27"/>
        </w:numPr>
        <w:spacing w:before="0" w:after="240"/>
        <w:rPr>
          <w:rFonts w:ascii="Times New Roman" w:hAnsi="Times New Roman" w:cs="Times New Roman"/>
          <w:szCs w:val="22"/>
        </w:rPr>
      </w:pPr>
      <w:bookmarkStart w:id="89" w:name="_Toc442431258"/>
      <w:bookmarkStart w:id="90" w:name="_Toc143113407"/>
      <w:r w:rsidRPr="008902F2">
        <w:rPr>
          <w:rFonts w:ascii="Times New Roman" w:hAnsi="Times New Roman" w:cs="Times New Roman"/>
          <w:szCs w:val="22"/>
        </w:rPr>
        <w:lastRenderedPageBreak/>
        <w:t>Natural Gas Market Licensing and Certification Activities</w:t>
      </w:r>
      <w:bookmarkEnd w:id="89"/>
      <w:bookmarkEnd w:id="90"/>
    </w:p>
    <w:p w14:paraId="72B0FAC8" w14:textId="77777777" w:rsidR="00CB5826" w:rsidRPr="008902F2" w:rsidRDefault="756206D8" w:rsidP="00A86526">
      <w:pPr>
        <w:pStyle w:val="Balk3"/>
        <w:numPr>
          <w:ilvl w:val="2"/>
          <w:numId w:val="27"/>
        </w:numPr>
        <w:spacing w:after="240"/>
        <w:rPr>
          <w:rFonts w:ascii="Times New Roman" w:hAnsi="Times New Roman" w:cs="Times New Roman"/>
        </w:rPr>
      </w:pPr>
      <w:bookmarkStart w:id="91" w:name="_Toc442431259"/>
      <w:bookmarkStart w:id="92" w:name="_Toc143113408"/>
      <w:r w:rsidRPr="008902F2">
        <w:rPr>
          <w:rFonts w:ascii="Times New Roman" w:hAnsi="Times New Roman" w:cs="Times New Roman"/>
        </w:rPr>
        <w:t>Licensing Procedures</w:t>
      </w:r>
      <w:bookmarkEnd w:id="91"/>
      <w:bookmarkEnd w:id="92"/>
    </w:p>
    <w:p w14:paraId="3F3A3DAD" w14:textId="77777777" w:rsidR="00CB5826" w:rsidRPr="008902F2" w:rsidRDefault="00CB5826" w:rsidP="00CB5826">
      <w:pPr>
        <w:spacing w:after="0"/>
        <w:rPr>
          <w:rFonts w:ascii="Times New Roman" w:hAnsi="Times New Roman"/>
        </w:rPr>
      </w:pPr>
      <w:r w:rsidRPr="008902F2">
        <w:rPr>
          <w:rFonts w:ascii="Times New Roman" w:hAnsi="Times New Roman"/>
        </w:rPr>
        <w:t xml:space="preserve">In Article 4 of the Natural Gas Market Law No. 4646, market activities are defined and it is stipulated that legal entities that will carry out market activities must obtain the necessary licenses. The production of natural gas is not foreseen as a market activity and is carried out within the framework of the licenses obtained under the Turkish Petroleum Law No. 6491. However, companies engaged in natural gas production are required to obtain wholesale and/or export licenses within the framework of Law No. 4646 in order to sell the natural gas they produce. </w:t>
      </w:r>
    </w:p>
    <w:p w14:paraId="5244676D" w14:textId="77777777" w:rsidR="00CB5826" w:rsidRPr="008902F2" w:rsidRDefault="00CB5826" w:rsidP="00CB5826">
      <w:pPr>
        <w:spacing w:after="0"/>
        <w:rPr>
          <w:rFonts w:ascii="Times New Roman" w:hAnsi="Times New Roman"/>
        </w:rPr>
      </w:pPr>
    </w:p>
    <w:p w14:paraId="28C5ACC6" w14:textId="77777777" w:rsidR="00CB5826" w:rsidRPr="008902F2" w:rsidRDefault="00CB5826" w:rsidP="00CB5826">
      <w:pPr>
        <w:spacing w:after="0"/>
        <w:rPr>
          <w:rFonts w:ascii="Times New Roman" w:hAnsi="Times New Roman"/>
        </w:rPr>
      </w:pPr>
      <w:r w:rsidRPr="008902F2">
        <w:rPr>
          <w:rFonts w:ascii="Times New Roman" w:hAnsi="Times New Roman"/>
        </w:rPr>
        <w:t>The procedures and principles regarding the licenses to be granted for natural gas market activities are regulated in the Natural Gas Market License Regulation. Licenses are issued for a minimum of ten and a maximum of thirty years at a time.</w:t>
      </w:r>
    </w:p>
    <w:p w14:paraId="49871886" w14:textId="77777777" w:rsidR="00CB5826" w:rsidRPr="008902F2" w:rsidRDefault="00CB5826" w:rsidP="00CB5826">
      <w:pPr>
        <w:spacing w:after="0"/>
        <w:rPr>
          <w:rFonts w:ascii="Times New Roman" w:hAnsi="Times New Roman"/>
        </w:rPr>
      </w:pPr>
    </w:p>
    <w:p w14:paraId="7796A84C" w14:textId="77777777" w:rsidR="00CB5826" w:rsidRPr="008902F2" w:rsidRDefault="00CB5826" w:rsidP="00CB5826">
      <w:pPr>
        <w:spacing w:after="0"/>
        <w:rPr>
          <w:rFonts w:ascii="Times New Roman" w:hAnsi="Times New Roman"/>
        </w:rPr>
      </w:pPr>
      <w:r w:rsidRPr="008902F2">
        <w:rPr>
          <w:rFonts w:ascii="Times New Roman" w:hAnsi="Times New Roman"/>
        </w:rPr>
        <w:t>Licenses granted by the Authority according to their fields of activity; Import License, Export License, Wholesale License, Storage License, Transmission License, Compressed Natural Gas (CNG) License and Distribution License.</w:t>
      </w:r>
    </w:p>
    <w:p w14:paraId="2AC7C029" w14:textId="77777777" w:rsidR="00774D75" w:rsidRPr="008902F2" w:rsidRDefault="00774D75" w:rsidP="00CB5826">
      <w:pPr>
        <w:spacing w:after="0"/>
        <w:rPr>
          <w:rFonts w:ascii="Times New Roman" w:hAnsi="Times New Roman"/>
        </w:rPr>
      </w:pPr>
    </w:p>
    <w:p w14:paraId="7B16C947" w14:textId="77777777" w:rsidR="00774D75" w:rsidRPr="008902F2" w:rsidRDefault="00774D75" w:rsidP="00CB5826">
      <w:pPr>
        <w:spacing w:after="0"/>
        <w:rPr>
          <w:rFonts w:ascii="Times New Roman" w:hAnsi="Times New Roman"/>
        </w:rPr>
      </w:pPr>
      <w:r w:rsidRPr="008902F2">
        <w:rPr>
          <w:rFonts w:ascii="Times New Roman" w:hAnsi="Times New Roman"/>
        </w:rPr>
        <w:t>There are eight storage licenses issued by the authority, four of which are underground and four of which are LNG terminals. Within the scope of the underground storage licenses granted, the actual underground storage capacity reached 3.991 billion m</w:t>
      </w:r>
      <w:r w:rsidRPr="008902F2">
        <w:rPr>
          <w:rFonts w:ascii="Times New Roman" w:hAnsi="Times New Roman"/>
          <w:vertAlign w:val="superscript"/>
        </w:rPr>
        <w:t>3</w:t>
      </w:r>
      <w:r w:rsidRPr="008902F2">
        <w:rPr>
          <w:rFonts w:ascii="Times New Roman" w:hAnsi="Times New Roman"/>
        </w:rPr>
        <w:t xml:space="preserve"> as of the end of 2022.</w:t>
      </w:r>
    </w:p>
    <w:p w14:paraId="7C4B3CC3" w14:textId="77777777" w:rsidR="00CB5826" w:rsidRPr="008902F2" w:rsidRDefault="00CB5826" w:rsidP="00C466F8">
      <w:pPr>
        <w:pStyle w:val="Balk5"/>
        <w:jc w:val="center"/>
        <w:rPr>
          <w:rStyle w:val="Gl"/>
          <w:rFonts w:ascii="Times New Roman" w:hAnsi="Times New Roman" w:cs="Times New Roman"/>
          <w:color w:val="000000" w:themeColor="text1"/>
        </w:rPr>
      </w:pPr>
      <w:bookmarkStart w:id="93" w:name="_Toc416447580"/>
      <w:bookmarkStart w:id="94" w:name="_Toc442441732"/>
      <w:bookmarkStart w:id="95" w:name="_Toc132713894"/>
      <w:r w:rsidRPr="008902F2">
        <w:rPr>
          <w:rStyle w:val="Gl"/>
          <w:rFonts w:ascii="Times New Roman" w:hAnsi="Times New Roman" w:cs="Times New Roman"/>
          <w:color w:val="000000" w:themeColor="text1"/>
        </w:rPr>
        <w:t>Table 3.4: License Transactions in the Natural Gas Market in 2022 (Units)</w:t>
      </w:r>
      <w:bookmarkEnd w:id="93"/>
      <w:bookmarkEnd w:id="94"/>
      <w:bookmarkEnd w:id="9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53"/>
        <w:gridCol w:w="1326"/>
        <w:gridCol w:w="955"/>
        <w:gridCol w:w="1717"/>
        <w:gridCol w:w="959"/>
        <w:gridCol w:w="1387"/>
        <w:gridCol w:w="961"/>
        <w:gridCol w:w="1153"/>
      </w:tblGrid>
      <w:tr w:rsidR="00263DC6" w:rsidRPr="008902F2" w14:paraId="07A60252" w14:textId="77777777" w:rsidTr="00167BCA">
        <w:trPr>
          <w:trHeight w:val="340"/>
          <w:jc w:val="center"/>
        </w:trPr>
        <w:tc>
          <w:tcPr>
            <w:tcW w:w="794" w:type="pct"/>
            <w:shd w:val="clear" w:color="000000" w:fill="6E9ECA"/>
            <w:vAlign w:val="center"/>
            <w:hideMark/>
          </w:tcPr>
          <w:p w14:paraId="18D85AD8"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547" w:type="pct"/>
            <w:shd w:val="clear" w:color="000000" w:fill="6E9ECA"/>
            <w:vAlign w:val="center"/>
            <w:hideMark/>
          </w:tcPr>
          <w:p w14:paraId="5D08F6BD"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 Applications</w:t>
            </w:r>
          </w:p>
        </w:tc>
        <w:tc>
          <w:tcPr>
            <w:tcW w:w="543" w:type="pct"/>
            <w:shd w:val="clear" w:color="000000" w:fill="6E9ECA"/>
            <w:vAlign w:val="center"/>
            <w:hideMark/>
          </w:tcPr>
          <w:p w14:paraId="1443395B"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Granted</w:t>
            </w:r>
          </w:p>
        </w:tc>
        <w:tc>
          <w:tcPr>
            <w:tcW w:w="837" w:type="pct"/>
            <w:shd w:val="clear" w:color="000000" w:fill="6E9ECA"/>
            <w:vAlign w:val="center"/>
            <w:hideMark/>
          </w:tcPr>
          <w:p w14:paraId="67814B91"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Expired/Expired Licenses</w:t>
            </w:r>
          </w:p>
        </w:tc>
        <w:tc>
          <w:tcPr>
            <w:tcW w:w="545" w:type="pct"/>
            <w:shd w:val="clear" w:color="000000" w:fill="6E9ECA"/>
            <w:vAlign w:val="center"/>
            <w:hideMark/>
          </w:tcPr>
          <w:p w14:paraId="765B76C4"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Revoked Licenses</w:t>
            </w:r>
          </w:p>
        </w:tc>
        <w:tc>
          <w:tcPr>
            <w:tcW w:w="546" w:type="pct"/>
            <w:shd w:val="clear" w:color="000000" w:fill="6E9ECA"/>
            <w:vAlign w:val="center"/>
            <w:hideMark/>
          </w:tcPr>
          <w:p w14:paraId="4888ADD5"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Amendments</w:t>
            </w:r>
          </w:p>
        </w:tc>
        <w:tc>
          <w:tcPr>
            <w:tcW w:w="546" w:type="pct"/>
            <w:shd w:val="clear" w:color="000000" w:fill="6E9ECA"/>
            <w:vAlign w:val="center"/>
            <w:hideMark/>
          </w:tcPr>
          <w:p w14:paraId="5D5957A7"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642" w:type="pct"/>
            <w:shd w:val="clear" w:color="000000" w:fill="6E9ECA"/>
            <w:vAlign w:val="center"/>
            <w:hideMark/>
          </w:tcPr>
          <w:p w14:paraId="1144B6EF" w14:textId="77777777" w:rsidR="00263DC6" w:rsidRPr="008902F2" w:rsidRDefault="00263DC6"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Term</w:t>
            </w:r>
          </w:p>
        </w:tc>
      </w:tr>
      <w:tr w:rsidR="00931DEA" w:rsidRPr="008902F2" w14:paraId="539BCACC" w14:textId="77777777" w:rsidTr="00515E9F">
        <w:trPr>
          <w:trHeight w:val="340"/>
          <w:jc w:val="center"/>
        </w:trPr>
        <w:tc>
          <w:tcPr>
            <w:tcW w:w="794" w:type="pct"/>
            <w:shd w:val="clear" w:color="auto" w:fill="auto"/>
            <w:vAlign w:val="center"/>
            <w:hideMark/>
          </w:tcPr>
          <w:p w14:paraId="7F181FB2"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Distribution License</w:t>
            </w:r>
          </w:p>
        </w:tc>
        <w:tc>
          <w:tcPr>
            <w:tcW w:w="547" w:type="pct"/>
            <w:shd w:val="clear" w:color="auto" w:fill="auto"/>
            <w:vAlign w:val="center"/>
          </w:tcPr>
          <w:p w14:paraId="34349761"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3" w:type="pct"/>
            <w:shd w:val="clear" w:color="auto" w:fill="auto"/>
            <w:vAlign w:val="center"/>
          </w:tcPr>
          <w:p w14:paraId="69740B58"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837" w:type="pct"/>
            <w:shd w:val="clear" w:color="auto" w:fill="auto"/>
            <w:vAlign w:val="center"/>
          </w:tcPr>
          <w:p w14:paraId="22BA10F0"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5" w:type="pct"/>
            <w:shd w:val="clear" w:color="auto" w:fill="auto"/>
            <w:vAlign w:val="center"/>
          </w:tcPr>
          <w:p w14:paraId="55C3BA76"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hideMark/>
          </w:tcPr>
          <w:p w14:paraId="169B972E"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73</w:t>
            </w:r>
          </w:p>
        </w:tc>
        <w:tc>
          <w:tcPr>
            <w:tcW w:w="546" w:type="pct"/>
            <w:shd w:val="clear" w:color="auto" w:fill="auto"/>
            <w:vAlign w:val="center"/>
            <w:hideMark/>
          </w:tcPr>
          <w:p w14:paraId="3FEECC14"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73</w:t>
            </w:r>
          </w:p>
        </w:tc>
        <w:tc>
          <w:tcPr>
            <w:tcW w:w="642" w:type="pct"/>
            <w:shd w:val="clear" w:color="auto" w:fill="auto"/>
            <w:vAlign w:val="center"/>
            <w:hideMark/>
          </w:tcPr>
          <w:p w14:paraId="23D9E551"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72</w:t>
            </w:r>
          </w:p>
        </w:tc>
      </w:tr>
      <w:tr w:rsidR="00931DEA" w:rsidRPr="008902F2" w14:paraId="730AB830" w14:textId="77777777" w:rsidTr="00515E9F">
        <w:trPr>
          <w:trHeight w:val="340"/>
          <w:jc w:val="center"/>
        </w:trPr>
        <w:tc>
          <w:tcPr>
            <w:tcW w:w="794" w:type="pct"/>
            <w:shd w:val="clear" w:color="auto" w:fill="auto"/>
            <w:vAlign w:val="center"/>
            <w:hideMark/>
          </w:tcPr>
          <w:p w14:paraId="12B8D655"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Storage License</w:t>
            </w:r>
          </w:p>
        </w:tc>
        <w:tc>
          <w:tcPr>
            <w:tcW w:w="547" w:type="pct"/>
            <w:shd w:val="clear" w:color="auto" w:fill="auto"/>
            <w:vAlign w:val="center"/>
          </w:tcPr>
          <w:p w14:paraId="50BD7287"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3" w:type="pct"/>
            <w:shd w:val="clear" w:color="auto" w:fill="auto"/>
            <w:vAlign w:val="center"/>
          </w:tcPr>
          <w:p w14:paraId="52ECD0D9"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837" w:type="pct"/>
            <w:shd w:val="clear" w:color="auto" w:fill="auto"/>
            <w:vAlign w:val="center"/>
          </w:tcPr>
          <w:p w14:paraId="1FAB9ECC"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5" w:type="pct"/>
            <w:shd w:val="clear" w:color="auto" w:fill="auto"/>
            <w:vAlign w:val="center"/>
          </w:tcPr>
          <w:p w14:paraId="35306EB0"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tcPr>
          <w:p w14:paraId="688F079C"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0 </w:t>
            </w:r>
          </w:p>
        </w:tc>
        <w:tc>
          <w:tcPr>
            <w:tcW w:w="546" w:type="pct"/>
            <w:shd w:val="clear" w:color="auto" w:fill="auto"/>
            <w:vAlign w:val="center"/>
            <w:hideMark/>
          </w:tcPr>
          <w:p w14:paraId="2EAC5A90"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642" w:type="pct"/>
            <w:shd w:val="clear" w:color="auto" w:fill="auto"/>
            <w:vAlign w:val="center"/>
            <w:hideMark/>
          </w:tcPr>
          <w:p w14:paraId="4CE4F91D"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8</w:t>
            </w:r>
          </w:p>
        </w:tc>
      </w:tr>
      <w:tr w:rsidR="00931DEA" w:rsidRPr="008902F2" w14:paraId="123A9692" w14:textId="77777777" w:rsidTr="00515E9F">
        <w:trPr>
          <w:trHeight w:val="340"/>
          <w:jc w:val="center"/>
        </w:trPr>
        <w:tc>
          <w:tcPr>
            <w:tcW w:w="794" w:type="pct"/>
            <w:shd w:val="clear" w:color="auto" w:fill="auto"/>
            <w:vAlign w:val="center"/>
            <w:hideMark/>
          </w:tcPr>
          <w:p w14:paraId="1BFCA676"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Export License</w:t>
            </w:r>
          </w:p>
        </w:tc>
        <w:tc>
          <w:tcPr>
            <w:tcW w:w="547" w:type="pct"/>
            <w:shd w:val="clear" w:color="auto" w:fill="auto"/>
            <w:vAlign w:val="center"/>
            <w:hideMark/>
          </w:tcPr>
          <w:p w14:paraId="729DE7E4"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5</w:t>
            </w:r>
          </w:p>
        </w:tc>
        <w:tc>
          <w:tcPr>
            <w:tcW w:w="543" w:type="pct"/>
            <w:shd w:val="clear" w:color="auto" w:fill="auto"/>
            <w:vAlign w:val="center"/>
            <w:hideMark/>
          </w:tcPr>
          <w:p w14:paraId="1D0ADF7A"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5</w:t>
            </w:r>
          </w:p>
        </w:tc>
        <w:tc>
          <w:tcPr>
            <w:tcW w:w="837" w:type="pct"/>
            <w:shd w:val="clear" w:color="auto" w:fill="auto"/>
            <w:vAlign w:val="center"/>
          </w:tcPr>
          <w:p w14:paraId="26EE7DBF"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5" w:type="pct"/>
            <w:shd w:val="clear" w:color="auto" w:fill="auto"/>
            <w:vAlign w:val="center"/>
          </w:tcPr>
          <w:p w14:paraId="5C0A68D0"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tcPr>
          <w:p w14:paraId="07FB7FBE"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0 </w:t>
            </w:r>
          </w:p>
        </w:tc>
        <w:tc>
          <w:tcPr>
            <w:tcW w:w="546" w:type="pct"/>
            <w:shd w:val="clear" w:color="auto" w:fill="auto"/>
            <w:vAlign w:val="center"/>
            <w:hideMark/>
          </w:tcPr>
          <w:p w14:paraId="5D369756"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10</w:t>
            </w:r>
          </w:p>
        </w:tc>
        <w:tc>
          <w:tcPr>
            <w:tcW w:w="642" w:type="pct"/>
            <w:shd w:val="clear" w:color="auto" w:fill="auto"/>
            <w:vAlign w:val="center"/>
            <w:hideMark/>
          </w:tcPr>
          <w:p w14:paraId="2C8B330C"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31</w:t>
            </w:r>
          </w:p>
        </w:tc>
      </w:tr>
      <w:tr w:rsidR="00931DEA" w:rsidRPr="008902F2" w14:paraId="472187DB" w14:textId="77777777" w:rsidTr="00515E9F">
        <w:trPr>
          <w:trHeight w:val="340"/>
          <w:jc w:val="center"/>
        </w:trPr>
        <w:tc>
          <w:tcPr>
            <w:tcW w:w="794" w:type="pct"/>
            <w:shd w:val="clear" w:color="auto" w:fill="auto"/>
            <w:vAlign w:val="center"/>
            <w:hideMark/>
          </w:tcPr>
          <w:p w14:paraId="6B109168"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Transmission License</w:t>
            </w:r>
          </w:p>
        </w:tc>
        <w:tc>
          <w:tcPr>
            <w:tcW w:w="547" w:type="pct"/>
            <w:shd w:val="clear" w:color="auto" w:fill="auto"/>
            <w:vAlign w:val="center"/>
          </w:tcPr>
          <w:p w14:paraId="139BF1F3"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3" w:type="pct"/>
            <w:shd w:val="clear" w:color="auto" w:fill="auto"/>
            <w:vAlign w:val="center"/>
          </w:tcPr>
          <w:p w14:paraId="03E3A27B"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837" w:type="pct"/>
            <w:shd w:val="clear" w:color="auto" w:fill="auto"/>
            <w:vAlign w:val="center"/>
          </w:tcPr>
          <w:p w14:paraId="769908A7"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5" w:type="pct"/>
            <w:shd w:val="clear" w:color="auto" w:fill="auto"/>
            <w:vAlign w:val="center"/>
          </w:tcPr>
          <w:p w14:paraId="7E83114B"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tcPr>
          <w:p w14:paraId="28EA6124"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hideMark/>
          </w:tcPr>
          <w:p w14:paraId="7DD8D7F1"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642" w:type="pct"/>
            <w:shd w:val="clear" w:color="auto" w:fill="auto"/>
            <w:vAlign w:val="center"/>
            <w:hideMark/>
          </w:tcPr>
          <w:p w14:paraId="41150DF2"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15</w:t>
            </w:r>
          </w:p>
        </w:tc>
      </w:tr>
      <w:tr w:rsidR="00931DEA" w:rsidRPr="008902F2" w14:paraId="377DF1AC" w14:textId="77777777" w:rsidTr="00515E9F">
        <w:trPr>
          <w:trHeight w:val="340"/>
          <w:jc w:val="center"/>
        </w:trPr>
        <w:tc>
          <w:tcPr>
            <w:tcW w:w="794" w:type="pct"/>
            <w:shd w:val="clear" w:color="auto" w:fill="auto"/>
            <w:vAlign w:val="center"/>
            <w:hideMark/>
          </w:tcPr>
          <w:p w14:paraId="7A954C27"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Import License</w:t>
            </w:r>
          </w:p>
        </w:tc>
        <w:tc>
          <w:tcPr>
            <w:tcW w:w="547" w:type="pct"/>
            <w:shd w:val="clear" w:color="auto" w:fill="auto"/>
            <w:vAlign w:val="center"/>
            <w:hideMark/>
          </w:tcPr>
          <w:p w14:paraId="32DF9E93"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17</w:t>
            </w:r>
          </w:p>
        </w:tc>
        <w:tc>
          <w:tcPr>
            <w:tcW w:w="543" w:type="pct"/>
            <w:shd w:val="clear" w:color="auto" w:fill="auto"/>
            <w:vAlign w:val="center"/>
            <w:hideMark/>
          </w:tcPr>
          <w:p w14:paraId="15C6873E"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14</w:t>
            </w:r>
          </w:p>
        </w:tc>
        <w:tc>
          <w:tcPr>
            <w:tcW w:w="837" w:type="pct"/>
            <w:shd w:val="clear" w:color="auto" w:fill="auto"/>
            <w:vAlign w:val="center"/>
            <w:hideMark/>
          </w:tcPr>
          <w:p w14:paraId="29B4EA11"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6</w:t>
            </w:r>
          </w:p>
        </w:tc>
        <w:tc>
          <w:tcPr>
            <w:tcW w:w="545" w:type="pct"/>
            <w:shd w:val="clear" w:color="auto" w:fill="auto"/>
            <w:vAlign w:val="center"/>
            <w:hideMark/>
          </w:tcPr>
          <w:p w14:paraId="2E8F6A62"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hideMark/>
          </w:tcPr>
          <w:p w14:paraId="2598DEE6"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4</w:t>
            </w:r>
          </w:p>
        </w:tc>
        <w:tc>
          <w:tcPr>
            <w:tcW w:w="546" w:type="pct"/>
            <w:shd w:val="clear" w:color="auto" w:fill="auto"/>
            <w:vAlign w:val="center"/>
            <w:hideMark/>
          </w:tcPr>
          <w:p w14:paraId="34FC31A7"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41</w:t>
            </w:r>
          </w:p>
        </w:tc>
        <w:tc>
          <w:tcPr>
            <w:tcW w:w="642" w:type="pct"/>
            <w:shd w:val="clear" w:color="auto" w:fill="auto"/>
            <w:vAlign w:val="center"/>
            <w:hideMark/>
          </w:tcPr>
          <w:p w14:paraId="1944BFB1"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81</w:t>
            </w:r>
          </w:p>
        </w:tc>
      </w:tr>
      <w:tr w:rsidR="00931DEA" w:rsidRPr="008902F2" w14:paraId="7788E504" w14:textId="77777777" w:rsidTr="00515E9F">
        <w:trPr>
          <w:trHeight w:val="340"/>
          <w:jc w:val="center"/>
        </w:trPr>
        <w:tc>
          <w:tcPr>
            <w:tcW w:w="794" w:type="pct"/>
            <w:shd w:val="clear" w:color="auto" w:fill="auto"/>
            <w:vAlign w:val="center"/>
            <w:hideMark/>
          </w:tcPr>
          <w:p w14:paraId="64375FEE"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Compressed Natural Gas License*</w:t>
            </w:r>
          </w:p>
        </w:tc>
        <w:tc>
          <w:tcPr>
            <w:tcW w:w="547" w:type="pct"/>
            <w:shd w:val="clear" w:color="auto" w:fill="auto"/>
            <w:vAlign w:val="center"/>
            <w:hideMark/>
          </w:tcPr>
          <w:p w14:paraId="5A9DB5E7"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2</w:t>
            </w:r>
          </w:p>
        </w:tc>
        <w:tc>
          <w:tcPr>
            <w:tcW w:w="543" w:type="pct"/>
            <w:shd w:val="clear" w:color="auto" w:fill="auto"/>
            <w:vAlign w:val="center"/>
            <w:hideMark/>
          </w:tcPr>
          <w:p w14:paraId="1BC03362"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2</w:t>
            </w:r>
          </w:p>
        </w:tc>
        <w:tc>
          <w:tcPr>
            <w:tcW w:w="837" w:type="pct"/>
            <w:shd w:val="clear" w:color="auto" w:fill="auto"/>
            <w:vAlign w:val="center"/>
            <w:hideMark/>
          </w:tcPr>
          <w:p w14:paraId="279935FF"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4</w:t>
            </w:r>
          </w:p>
        </w:tc>
        <w:tc>
          <w:tcPr>
            <w:tcW w:w="545" w:type="pct"/>
            <w:shd w:val="clear" w:color="auto" w:fill="auto"/>
            <w:vAlign w:val="center"/>
            <w:hideMark/>
          </w:tcPr>
          <w:p w14:paraId="61F2810F"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0</w:t>
            </w:r>
          </w:p>
        </w:tc>
        <w:tc>
          <w:tcPr>
            <w:tcW w:w="546" w:type="pct"/>
            <w:shd w:val="clear" w:color="auto" w:fill="auto"/>
            <w:vAlign w:val="center"/>
            <w:hideMark/>
          </w:tcPr>
          <w:p w14:paraId="71CBABF6"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w:t>
            </w:r>
          </w:p>
        </w:tc>
        <w:tc>
          <w:tcPr>
            <w:tcW w:w="546" w:type="pct"/>
            <w:shd w:val="clear" w:color="auto" w:fill="auto"/>
            <w:vAlign w:val="center"/>
            <w:hideMark/>
          </w:tcPr>
          <w:p w14:paraId="089009E4"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9</w:t>
            </w:r>
          </w:p>
        </w:tc>
        <w:tc>
          <w:tcPr>
            <w:tcW w:w="642" w:type="pct"/>
            <w:shd w:val="clear" w:color="auto" w:fill="auto"/>
            <w:vAlign w:val="center"/>
            <w:hideMark/>
          </w:tcPr>
          <w:p w14:paraId="52205903"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93</w:t>
            </w:r>
          </w:p>
        </w:tc>
      </w:tr>
      <w:tr w:rsidR="00931DEA" w:rsidRPr="008902F2" w14:paraId="72E8ECAB" w14:textId="77777777" w:rsidTr="00515E9F">
        <w:trPr>
          <w:trHeight w:val="340"/>
          <w:jc w:val="center"/>
        </w:trPr>
        <w:tc>
          <w:tcPr>
            <w:tcW w:w="794" w:type="pct"/>
            <w:shd w:val="clear" w:color="auto" w:fill="auto"/>
            <w:vAlign w:val="center"/>
            <w:hideMark/>
          </w:tcPr>
          <w:p w14:paraId="21588837" w14:textId="77777777" w:rsidR="00931DEA" w:rsidRPr="008902F2" w:rsidRDefault="00931DEA" w:rsidP="00515E9F">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sz w:val="20"/>
                <w:szCs w:val="20"/>
              </w:rPr>
              <w:t>Wholesale License**</w:t>
            </w:r>
          </w:p>
        </w:tc>
        <w:tc>
          <w:tcPr>
            <w:tcW w:w="547" w:type="pct"/>
            <w:shd w:val="clear" w:color="auto" w:fill="auto"/>
            <w:vAlign w:val="center"/>
            <w:hideMark/>
          </w:tcPr>
          <w:p w14:paraId="24DED8E9"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2</w:t>
            </w:r>
          </w:p>
        </w:tc>
        <w:tc>
          <w:tcPr>
            <w:tcW w:w="543" w:type="pct"/>
            <w:shd w:val="clear" w:color="auto" w:fill="auto"/>
            <w:vAlign w:val="center"/>
            <w:hideMark/>
          </w:tcPr>
          <w:p w14:paraId="6EA80843"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w:t>
            </w:r>
          </w:p>
        </w:tc>
        <w:tc>
          <w:tcPr>
            <w:tcW w:w="837" w:type="pct"/>
            <w:shd w:val="clear" w:color="auto" w:fill="auto"/>
            <w:vAlign w:val="center"/>
            <w:hideMark/>
          </w:tcPr>
          <w:p w14:paraId="33A66D29"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w:t>
            </w:r>
          </w:p>
        </w:tc>
        <w:tc>
          <w:tcPr>
            <w:tcW w:w="545" w:type="pct"/>
            <w:shd w:val="clear" w:color="auto" w:fill="auto"/>
            <w:vAlign w:val="center"/>
            <w:hideMark/>
          </w:tcPr>
          <w:p w14:paraId="6474E532"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1</w:t>
            </w:r>
          </w:p>
        </w:tc>
        <w:tc>
          <w:tcPr>
            <w:tcW w:w="546" w:type="pct"/>
            <w:shd w:val="clear" w:color="auto" w:fill="auto"/>
            <w:vAlign w:val="center"/>
            <w:hideMark/>
          </w:tcPr>
          <w:p w14:paraId="3C1ED14B"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3</w:t>
            </w:r>
          </w:p>
        </w:tc>
        <w:tc>
          <w:tcPr>
            <w:tcW w:w="546" w:type="pct"/>
            <w:shd w:val="clear" w:color="auto" w:fill="auto"/>
            <w:vAlign w:val="center"/>
            <w:hideMark/>
          </w:tcPr>
          <w:p w14:paraId="46D1341F" w14:textId="77777777" w:rsidR="00931DEA" w:rsidRPr="008902F2" w:rsidRDefault="00931DEA" w:rsidP="00515E9F">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rPr>
              <w:t>8</w:t>
            </w:r>
          </w:p>
        </w:tc>
        <w:tc>
          <w:tcPr>
            <w:tcW w:w="642" w:type="pct"/>
            <w:shd w:val="clear" w:color="auto" w:fill="auto"/>
            <w:vAlign w:val="center"/>
            <w:hideMark/>
          </w:tcPr>
          <w:p w14:paraId="54368C02"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49</w:t>
            </w:r>
          </w:p>
        </w:tc>
      </w:tr>
      <w:tr w:rsidR="00931DEA" w:rsidRPr="008902F2" w14:paraId="08E32036" w14:textId="77777777" w:rsidTr="00515E9F">
        <w:trPr>
          <w:trHeight w:val="403"/>
          <w:jc w:val="center"/>
        </w:trPr>
        <w:tc>
          <w:tcPr>
            <w:tcW w:w="794" w:type="pct"/>
            <w:shd w:val="clear" w:color="auto" w:fill="auto"/>
            <w:vAlign w:val="center"/>
            <w:hideMark/>
          </w:tcPr>
          <w:p w14:paraId="202C707A" w14:textId="77777777" w:rsidR="00931DEA" w:rsidRPr="008902F2" w:rsidRDefault="00931DEA" w:rsidP="00515E9F">
            <w:pPr>
              <w:spacing w:after="0" w:line="240" w:lineRule="auto"/>
              <w:jc w:val="left"/>
              <w:rPr>
                <w:rFonts w:ascii="Times New Roman" w:eastAsia="Times New Roman" w:hAnsi="Times New Roman"/>
                <w:b/>
                <w:bCs/>
                <w:color w:val="000000"/>
                <w:lang w:eastAsia="tr-TR"/>
              </w:rPr>
            </w:pPr>
            <w:r w:rsidRPr="008902F2">
              <w:rPr>
                <w:rFonts w:ascii="Times New Roman" w:hAnsi="Times New Roman"/>
                <w:b/>
                <w:bCs/>
                <w:color w:val="000000"/>
                <w:sz w:val="20"/>
                <w:szCs w:val="20"/>
              </w:rPr>
              <w:t>Sum</w:t>
            </w:r>
          </w:p>
        </w:tc>
        <w:tc>
          <w:tcPr>
            <w:tcW w:w="547" w:type="pct"/>
            <w:shd w:val="clear" w:color="auto" w:fill="auto"/>
            <w:vAlign w:val="center"/>
            <w:hideMark/>
          </w:tcPr>
          <w:p w14:paraId="029B61C8"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26</w:t>
            </w:r>
          </w:p>
        </w:tc>
        <w:tc>
          <w:tcPr>
            <w:tcW w:w="543" w:type="pct"/>
            <w:shd w:val="clear" w:color="auto" w:fill="auto"/>
            <w:vAlign w:val="center"/>
            <w:hideMark/>
          </w:tcPr>
          <w:p w14:paraId="07581EC8"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22</w:t>
            </w:r>
          </w:p>
        </w:tc>
        <w:tc>
          <w:tcPr>
            <w:tcW w:w="837" w:type="pct"/>
            <w:shd w:val="clear" w:color="auto" w:fill="auto"/>
            <w:vAlign w:val="center"/>
            <w:hideMark/>
          </w:tcPr>
          <w:p w14:paraId="4737E36C"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11</w:t>
            </w:r>
          </w:p>
        </w:tc>
        <w:tc>
          <w:tcPr>
            <w:tcW w:w="545" w:type="pct"/>
            <w:shd w:val="clear" w:color="auto" w:fill="auto"/>
            <w:vAlign w:val="center"/>
            <w:hideMark/>
          </w:tcPr>
          <w:p w14:paraId="64E14F55"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1</w:t>
            </w:r>
          </w:p>
        </w:tc>
        <w:tc>
          <w:tcPr>
            <w:tcW w:w="546" w:type="pct"/>
            <w:shd w:val="clear" w:color="auto" w:fill="auto"/>
            <w:vAlign w:val="center"/>
            <w:hideMark/>
          </w:tcPr>
          <w:p w14:paraId="752DF344"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52</w:t>
            </w:r>
          </w:p>
        </w:tc>
        <w:tc>
          <w:tcPr>
            <w:tcW w:w="546" w:type="pct"/>
            <w:shd w:val="clear" w:color="auto" w:fill="auto"/>
            <w:vAlign w:val="center"/>
            <w:hideMark/>
          </w:tcPr>
          <w:p w14:paraId="5F0CA593"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112</w:t>
            </w:r>
          </w:p>
        </w:tc>
        <w:tc>
          <w:tcPr>
            <w:tcW w:w="642" w:type="pct"/>
            <w:shd w:val="clear" w:color="auto" w:fill="auto"/>
            <w:vAlign w:val="center"/>
            <w:hideMark/>
          </w:tcPr>
          <w:p w14:paraId="3ECBE2CE" w14:textId="77777777" w:rsidR="00931DEA" w:rsidRPr="008902F2" w:rsidRDefault="00931DEA" w:rsidP="00515E9F">
            <w:pPr>
              <w:spacing w:after="0" w:line="240" w:lineRule="auto"/>
              <w:jc w:val="right"/>
              <w:rPr>
                <w:rFonts w:ascii="Times New Roman" w:eastAsia="Times New Roman" w:hAnsi="Times New Roman"/>
                <w:b/>
                <w:bCs/>
                <w:color w:val="000000"/>
                <w:lang w:eastAsia="tr-TR"/>
              </w:rPr>
            </w:pPr>
            <w:r w:rsidRPr="008902F2">
              <w:rPr>
                <w:rFonts w:ascii="Times New Roman" w:hAnsi="Times New Roman"/>
                <w:b/>
                <w:color w:val="000000"/>
              </w:rPr>
              <w:t>349</w:t>
            </w:r>
          </w:p>
        </w:tc>
      </w:tr>
    </w:tbl>
    <w:p w14:paraId="150C3A1D" w14:textId="100DCF4B" w:rsidR="00F34E9C" w:rsidRPr="008902F2" w:rsidRDefault="350B74A7" w:rsidP="6F691FB8">
      <w:pPr>
        <w:spacing w:after="0" w:line="240" w:lineRule="auto"/>
        <w:rPr>
          <w:rFonts w:ascii="Times New Roman" w:hAnsi="Times New Roman"/>
          <w:sz w:val="20"/>
          <w:szCs w:val="20"/>
        </w:rPr>
      </w:pPr>
      <w:bookmarkStart w:id="96" w:name="_Toc416447583"/>
      <w:bookmarkStart w:id="97" w:name="_Toc442441734"/>
      <w:r w:rsidRPr="008902F2">
        <w:rPr>
          <w:rFonts w:ascii="Times New Roman" w:hAnsi="Times New Roman"/>
          <w:sz w:val="20"/>
          <w:szCs w:val="20"/>
        </w:rPr>
        <w:t xml:space="preserve">* </w:t>
      </w:r>
      <w:r w:rsidRPr="008902F2">
        <w:rPr>
          <w:rFonts w:ascii="Times New Roman" w:hAnsi="Times New Roman"/>
          <w:i/>
          <w:iCs/>
          <w:sz w:val="20"/>
          <w:szCs w:val="20"/>
        </w:rPr>
        <w:t xml:space="preserve"> There are three types of CNG sublicenses under the scope of the CNG license: CNG Sales, CNG Transmission-distribution and AutoCNG. The CNG license numbers in Table 3.4 are the sum of the number of three CNG license subtypes available on the market as of year-end.</w:t>
      </w:r>
    </w:p>
    <w:p w14:paraId="1A6183B6" w14:textId="2058F15C" w:rsidR="00F34E9C" w:rsidRPr="008902F2" w:rsidRDefault="350B74A7" w:rsidP="00F34E9C">
      <w:pPr>
        <w:spacing w:after="0" w:line="240" w:lineRule="auto"/>
        <w:rPr>
          <w:rFonts w:ascii="Times New Roman" w:hAnsi="Times New Roman"/>
          <w:sz w:val="20"/>
          <w:szCs w:val="20"/>
        </w:rPr>
      </w:pPr>
      <w:r w:rsidRPr="008902F2">
        <w:rPr>
          <w:rFonts w:ascii="Times New Roman" w:hAnsi="Times New Roman"/>
          <w:sz w:val="20"/>
          <w:szCs w:val="20"/>
        </w:rPr>
        <w:t>**</w:t>
      </w:r>
      <w:r w:rsidRPr="008902F2">
        <w:rPr>
          <w:rFonts w:ascii="Times New Roman" w:hAnsi="Times New Roman"/>
          <w:i/>
          <w:sz w:val="20"/>
          <w:szCs w:val="20"/>
        </w:rPr>
        <w:t xml:space="preserve">  </w:t>
      </w:r>
      <w:r w:rsidRPr="008902F2">
        <w:rPr>
          <w:rFonts w:ascii="Times New Roman" w:hAnsi="Times New Roman"/>
          <w:i/>
          <w:iCs/>
          <w:sz w:val="20"/>
          <w:szCs w:val="20"/>
        </w:rPr>
        <w:t xml:space="preserve">The </w:t>
      </w:r>
      <w:r w:rsidR="1BC57EE3" w:rsidRPr="008902F2">
        <w:rPr>
          <w:rFonts w:ascii="Times New Roman" w:hAnsi="Times New Roman"/>
          <w:i/>
          <w:iCs/>
          <w:sz w:val="20"/>
          <w:szCs w:val="20"/>
        </w:rPr>
        <w:t>number of companies holding wholesale licenses engaged in production is 10 and there is one Wholesale (Auto LNG) License holder as of the end of 2022.</w:t>
      </w:r>
    </w:p>
    <w:p w14:paraId="6D8A332E" w14:textId="3CBCFE42" w:rsidR="00CB5826" w:rsidRPr="008902F2" w:rsidRDefault="1E07ADD3" w:rsidP="6F691FB8">
      <w:pPr>
        <w:pStyle w:val="Balk5"/>
        <w:spacing w:before="0" w:line="240" w:lineRule="auto"/>
        <w:rPr>
          <w:rStyle w:val="Gl"/>
          <w:rFonts w:ascii="Times New Roman" w:hAnsi="Times New Roman" w:cs="Times New Roman"/>
          <w:color w:val="000000" w:themeColor="text1"/>
        </w:rPr>
      </w:pPr>
      <w:bookmarkStart w:id="98" w:name="_Toc132713895"/>
      <w:r w:rsidRPr="008902F2">
        <w:rPr>
          <w:rStyle w:val="Gl"/>
          <w:rFonts w:ascii="Times New Roman" w:hAnsi="Times New Roman" w:cs="Times New Roman"/>
          <w:color w:val="000000" w:themeColor="text1"/>
        </w:rPr>
        <w:lastRenderedPageBreak/>
        <w:t>T</w:t>
      </w:r>
      <w:r w:rsidR="091EE8F0" w:rsidRPr="008902F2">
        <w:rPr>
          <w:rStyle w:val="Gl"/>
          <w:rFonts w:ascii="Times New Roman" w:hAnsi="Times New Roman" w:cs="Times New Roman"/>
          <w:color w:val="000000" w:themeColor="text1"/>
        </w:rPr>
        <w:t>able 3.5: Licensed Natural Gas Storage Facility Information</w:t>
      </w:r>
      <w:bookmarkEnd w:id="96"/>
      <w:bookmarkEnd w:id="97"/>
      <w:bookmarkEnd w:id="98"/>
    </w:p>
    <w:tbl>
      <w:tblPr>
        <w:tblW w:w="5067" w:type="pct"/>
        <w:jc w:val="center"/>
        <w:tblCellMar>
          <w:left w:w="70" w:type="dxa"/>
          <w:right w:w="70" w:type="dxa"/>
        </w:tblCellMar>
        <w:tblLook w:val="04A0" w:firstRow="1" w:lastRow="0" w:firstColumn="1" w:lastColumn="0" w:noHBand="0" w:noVBand="1"/>
      </w:tblPr>
      <w:tblGrid>
        <w:gridCol w:w="5601"/>
        <w:gridCol w:w="1265"/>
        <w:gridCol w:w="1314"/>
        <w:gridCol w:w="1854"/>
      </w:tblGrid>
      <w:tr w:rsidR="00D429A1" w:rsidRPr="008902F2" w14:paraId="42E881E0" w14:textId="77777777" w:rsidTr="00DC783D">
        <w:trPr>
          <w:trHeight w:val="212"/>
          <w:tblHeader/>
          <w:jc w:val="center"/>
        </w:trPr>
        <w:tc>
          <w:tcPr>
            <w:tcW w:w="2821" w:type="pct"/>
            <w:tcBorders>
              <w:top w:val="single" w:sz="8" w:space="0" w:color="D3D3D3"/>
              <w:left w:val="single" w:sz="8" w:space="0" w:color="D3D3D3"/>
              <w:bottom w:val="nil"/>
              <w:right w:val="single" w:sz="8" w:space="0" w:color="D3D3D3"/>
            </w:tcBorders>
            <w:shd w:val="clear" w:color="000000" w:fill="6E9ECA"/>
            <w:vAlign w:val="center"/>
            <w:hideMark/>
          </w:tcPr>
          <w:p w14:paraId="20CEA953" w14:textId="77777777" w:rsidR="00D429A1" w:rsidRPr="008902F2" w:rsidRDefault="00D429A1"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Licensee</w:t>
            </w:r>
          </w:p>
        </w:tc>
        <w:tc>
          <w:tcPr>
            <w:tcW w:w="636" w:type="pct"/>
            <w:tcBorders>
              <w:top w:val="single" w:sz="8" w:space="0" w:color="D3D3D3"/>
              <w:left w:val="nil"/>
              <w:bottom w:val="nil"/>
              <w:right w:val="single" w:sz="8" w:space="0" w:color="D3D3D3"/>
            </w:tcBorders>
            <w:shd w:val="clear" w:color="000000" w:fill="6E9ECA"/>
            <w:vAlign w:val="center"/>
            <w:hideMark/>
          </w:tcPr>
          <w:p w14:paraId="38C649DD" w14:textId="77777777" w:rsidR="00D429A1" w:rsidRPr="008902F2" w:rsidRDefault="00D429A1"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Facility Location</w:t>
            </w:r>
          </w:p>
        </w:tc>
        <w:tc>
          <w:tcPr>
            <w:tcW w:w="565" w:type="pct"/>
            <w:tcBorders>
              <w:top w:val="single" w:sz="8" w:space="0" w:color="D3D3D3"/>
              <w:left w:val="nil"/>
              <w:bottom w:val="nil"/>
              <w:right w:val="single" w:sz="8" w:space="0" w:color="D3D3D3"/>
            </w:tcBorders>
            <w:shd w:val="clear" w:color="000000" w:fill="6E9ECA"/>
            <w:vAlign w:val="center"/>
            <w:hideMark/>
          </w:tcPr>
          <w:p w14:paraId="51A8FC9D" w14:textId="77777777" w:rsidR="00D429A1" w:rsidRPr="008902F2" w:rsidRDefault="00D429A1"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Storage Type</w:t>
            </w:r>
          </w:p>
        </w:tc>
        <w:tc>
          <w:tcPr>
            <w:tcW w:w="979" w:type="pct"/>
            <w:tcBorders>
              <w:top w:val="single" w:sz="8" w:space="0" w:color="D3D3D3"/>
              <w:left w:val="nil"/>
              <w:bottom w:val="nil"/>
              <w:right w:val="single" w:sz="8" w:space="0" w:color="D3D3D3"/>
            </w:tcBorders>
            <w:shd w:val="clear" w:color="000000" w:fill="6E9ECA"/>
            <w:vAlign w:val="center"/>
            <w:hideMark/>
          </w:tcPr>
          <w:p w14:paraId="0CF93FAB" w14:textId="77777777" w:rsidR="00D429A1" w:rsidRPr="008902F2" w:rsidRDefault="00D429A1" w:rsidP="00263DC6">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Total Storage Capacity Registered to Licenses*** (m3)</w:t>
            </w:r>
          </w:p>
        </w:tc>
      </w:tr>
      <w:tr w:rsidR="00D429A1" w:rsidRPr="008902F2" w14:paraId="7029E0E5"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4E448AC8"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TOREN NATURAL GAS STORAGE AND MINING JOINT STOCK COMPANY*</w:t>
            </w:r>
          </w:p>
        </w:tc>
        <w:tc>
          <w:tcPr>
            <w:tcW w:w="636" w:type="pct"/>
            <w:tcBorders>
              <w:top w:val="nil"/>
              <w:left w:val="nil"/>
              <w:bottom w:val="single" w:sz="8" w:space="0" w:color="D3D3D3"/>
              <w:right w:val="single" w:sz="8" w:space="0" w:color="D3D3D3"/>
            </w:tcBorders>
            <w:shd w:val="clear" w:color="auto" w:fill="auto"/>
            <w:vAlign w:val="center"/>
            <w:hideMark/>
          </w:tcPr>
          <w:p w14:paraId="3EBBA26D"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MYRTLE</w:t>
            </w:r>
          </w:p>
        </w:tc>
        <w:tc>
          <w:tcPr>
            <w:tcW w:w="565" w:type="pct"/>
            <w:tcBorders>
              <w:top w:val="nil"/>
              <w:left w:val="nil"/>
              <w:bottom w:val="single" w:sz="8" w:space="0" w:color="D3D3D3"/>
              <w:right w:val="single" w:sz="8" w:space="0" w:color="D3D3D3"/>
            </w:tcBorders>
            <w:shd w:val="clear" w:color="auto" w:fill="auto"/>
            <w:vAlign w:val="center"/>
            <w:hideMark/>
          </w:tcPr>
          <w:p w14:paraId="4EC50629"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Underground</w:t>
            </w:r>
          </w:p>
        </w:tc>
        <w:tc>
          <w:tcPr>
            <w:tcW w:w="979" w:type="pct"/>
            <w:tcBorders>
              <w:top w:val="nil"/>
              <w:left w:val="nil"/>
              <w:bottom w:val="single" w:sz="8" w:space="0" w:color="D3D3D3"/>
              <w:right w:val="single" w:sz="8" w:space="0" w:color="D3D3D3"/>
            </w:tcBorders>
            <w:shd w:val="clear" w:color="auto" w:fill="auto"/>
            <w:vAlign w:val="center"/>
            <w:hideMark/>
          </w:tcPr>
          <w:p w14:paraId="0854AD5D" w14:textId="77777777" w:rsidR="00D429A1" w:rsidRPr="008902F2" w:rsidRDefault="00D429A1"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3.000.000.000</w:t>
            </w:r>
          </w:p>
        </w:tc>
      </w:tr>
      <w:tr w:rsidR="00D429A1" w:rsidRPr="008902F2" w14:paraId="3D58F064"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67CC6632"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BOTAS (PETROLEUM TRANSPORTATION JOINT STOCK COMPANY WITH PIPELINES)</w:t>
            </w:r>
          </w:p>
        </w:tc>
        <w:tc>
          <w:tcPr>
            <w:tcW w:w="636" w:type="pct"/>
            <w:tcBorders>
              <w:top w:val="nil"/>
              <w:left w:val="nil"/>
              <w:bottom w:val="single" w:sz="8" w:space="0" w:color="D3D3D3"/>
              <w:right w:val="single" w:sz="8" w:space="0" w:color="D3D3D3"/>
            </w:tcBorders>
            <w:shd w:val="clear" w:color="auto" w:fill="auto"/>
            <w:vAlign w:val="center"/>
            <w:hideMark/>
          </w:tcPr>
          <w:p w14:paraId="2A7AC854"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ISTANBUL</w:t>
            </w:r>
          </w:p>
        </w:tc>
        <w:tc>
          <w:tcPr>
            <w:tcW w:w="565" w:type="pct"/>
            <w:tcBorders>
              <w:top w:val="nil"/>
              <w:left w:val="nil"/>
              <w:bottom w:val="single" w:sz="8" w:space="0" w:color="D3D3D3"/>
              <w:right w:val="single" w:sz="8" w:space="0" w:color="D3D3D3"/>
            </w:tcBorders>
            <w:shd w:val="clear" w:color="auto" w:fill="auto"/>
            <w:vAlign w:val="center"/>
            <w:hideMark/>
          </w:tcPr>
          <w:p w14:paraId="47FB7EE8"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Underground</w:t>
            </w:r>
          </w:p>
        </w:tc>
        <w:tc>
          <w:tcPr>
            <w:tcW w:w="979" w:type="pct"/>
            <w:tcBorders>
              <w:top w:val="nil"/>
              <w:left w:val="nil"/>
              <w:bottom w:val="single" w:sz="8" w:space="0" w:color="D3D3D3"/>
              <w:right w:val="single" w:sz="8" w:space="0" w:color="D3D3D3"/>
            </w:tcBorders>
            <w:shd w:val="clear" w:color="auto" w:fill="auto"/>
            <w:vAlign w:val="center"/>
            <w:hideMark/>
          </w:tcPr>
          <w:p w14:paraId="015F70D7" w14:textId="77777777" w:rsidR="00D429A1" w:rsidRPr="008902F2" w:rsidRDefault="00C73172"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2.841.000.000</w:t>
            </w:r>
          </w:p>
        </w:tc>
      </w:tr>
      <w:tr w:rsidR="00D429A1" w:rsidRPr="008902F2" w14:paraId="2B869712"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355BDF4F" w14:textId="77777777" w:rsidR="00D429A1" w:rsidRPr="008902F2" w:rsidRDefault="000A3A5E"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BOTAS (PETROLEUM TRANSPORTATION JOINT STOCK COMPANY WITH PIPELINES)</w:t>
            </w:r>
          </w:p>
        </w:tc>
        <w:tc>
          <w:tcPr>
            <w:tcW w:w="636" w:type="pct"/>
            <w:tcBorders>
              <w:top w:val="nil"/>
              <w:left w:val="nil"/>
              <w:bottom w:val="single" w:sz="8" w:space="0" w:color="D3D3D3"/>
              <w:right w:val="single" w:sz="8" w:space="0" w:color="D3D3D3"/>
            </w:tcBorders>
            <w:shd w:val="clear" w:color="auto" w:fill="auto"/>
            <w:vAlign w:val="center"/>
            <w:hideMark/>
          </w:tcPr>
          <w:p w14:paraId="752AA9A3"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AKSARAY</w:t>
            </w:r>
          </w:p>
        </w:tc>
        <w:tc>
          <w:tcPr>
            <w:tcW w:w="565" w:type="pct"/>
            <w:tcBorders>
              <w:top w:val="nil"/>
              <w:left w:val="nil"/>
              <w:bottom w:val="single" w:sz="8" w:space="0" w:color="D3D3D3"/>
              <w:right w:val="single" w:sz="8" w:space="0" w:color="D3D3D3"/>
            </w:tcBorders>
            <w:shd w:val="clear" w:color="auto" w:fill="auto"/>
            <w:vAlign w:val="center"/>
            <w:hideMark/>
          </w:tcPr>
          <w:p w14:paraId="14C1DC5A"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Underground</w:t>
            </w:r>
          </w:p>
        </w:tc>
        <w:tc>
          <w:tcPr>
            <w:tcW w:w="979" w:type="pct"/>
            <w:tcBorders>
              <w:top w:val="nil"/>
              <w:left w:val="nil"/>
              <w:bottom w:val="single" w:sz="8" w:space="0" w:color="D3D3D3"/>
              <w:right w:val="single" w:sz="8" w:space="0" w:color="D3D3D3"/>
            </w:tcBorders>
            <w:shd w:val="clear" w:color="auto" w:fill="auto"/>
            <w:vAlign w:val="center"/>
            <w:hideMark/>
          </w:tcPr>
          <w:p w14:paraId="2CFBF99F" w14:textId="77777777" w:rsidR="00D429A1" w:rsidRPr="008902F2" w:rsidRDefault="000A3A5E"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850.000.000</w:t>
            </w:r>
          </w:p>
        </w:tc>
      </w:tr>
      <w:tr w:rsidR="00D429A1" w:rsidRPr="008902F2" w14:paraId="023C13A9"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562EFFC3"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GAS STORAGE AND MINING JOINT STOCK COMPANY*</w:t>
            </w:r>
          </w:p>
        </w:tc>
        <w:tc>
          <w:tcPr>
            <w:tcW w:w="636" w:type="pct"/>
            <w:tcBorders>
              <w:top w:val="nil"/>
              <w:left w:val="nil"/>
              <w:bottom w:val="single" w:sz="8" w:space="0" w:color="D3D3D3"/>
              <w:right w:val="single" w:sz="8" w:space="0" w:color="D3D3D3"/>
            </w:tcBorders>
            <w:shd w:val="clear" w:color="auto" w:fill="auto"/>
            <w:vAlign w:val="center"/>
            <w:hideMark/>
          </w:tcPr>
          <w:p w14:paraId="37E49649"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MYRTLE</w:t>
            </w:r>
          </w:p>
        </w:tc>
        <w:tc>
          <w:tcPr>
            <w:tcW w:w="565" w:type="pct"/>
            <w:tcBorders>
              <w:top w:val="nil"/>
              <w:left w:val="nil"/>
              <w:bottom w:val="single" w:sz="8" w:space="0" w:color="D3D3D3"/>
              <w:right w:val="single" w:sz="8" w:space="0" w:color="D3D3D3"/>
            </w:tcBorders>
            <w:shd w:val="clear" w:color="auto" w:fill="auto"/>
            <w:vAlign w:val="center"/>
            <w:hideMark/>
          </w:tcPr>
          <w:p w14:paraId="2E133100"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Underground</w:t>
            </w:r>
          </w:p>
        </w:tc>
        <w:tc>
          <w:tcPr>
            <w:tcW w:w="979" w:type="pct"/>
            <w:tcBorders>
              <w:top w:val="nil"/>
              <w:left w:val="nil"/>
              <w:bottom w:val="single" w:sz="8" w:space="0" w:color="D3D3D3"/>
              <w:right w:val="single" w:sz="8" w:space="0" w:color="D3D3D3"/>
            </w:tcBorders>
            <w:shd w:val="clear" w:color="auto" w:fill="auto"/>
            <w:vAlign w:val="center"/>
            <w:hideMark/>
          </w:tcPr>
          <w:p w14:paraId="7D68B45D" w14:textId="77777777" w:rsidR="00D429A1" w:rsidRPr="008902F2" w:rsidRDefault="00D429A1"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1.000.000.000</w:t>
            </w:r>
          </w:p>
        </w:tc>
      </w:tr>
      <w:tr w:rsidR="00D429A1" w:rsidRPr="008902F2" w14:paraId="458CE988"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3222496A"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ETKİ LİMAN İŞLETMELERİ NATURAL GAS IMPORT AND TRADE JOINT STOCK COMPANY**</w:t>
            </w:r>
          </w:p>
        </w:tc>
        <w:tc>
          <w:tcPr>
            <w:tcW w:w="636" w:type="pct"/>
            <w:tcBorders>
              <w:top w:val="nil"/>
              <w:left w:val="nil"/>
              <w:bottom w:val="single" w:sz="8" w:space="0" w:color="D3D3D3"/>
              <w:right w:val="single" w:sz="8" w:space="0" w:color="D3D3D3"/>
            </w:tcBorders>
            <w:shd w:val="clear" w:color="auto" w:fill="auto"/>
            <w:vAlign w:val="center"/>
            <w:hideMark/>
          </w:tcPr>
          <w:p w14:paraId="714013B7"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IZMIR</w:t>
            </w:r>
          </w:p>
        </w:tc>
        <w:tc>
          <w:tcPr>
            <w:tcW w:w="565" w:type="pct"/>
            <w:tcBorders>
              <w:top w:val="nil"/>
              <w:left w:val="nil"/>
              <w:bottom w:val="single" w:sz="8" w:space="0" w:color="D3D3D3"/>
              <w:right w:val="single" w:sz="8" w:space="0" w:color="D3D3D3"/>
            </w:tcBorders>
            <w:shd w:val="clear" w:color="auto" w:fill="auto"/>
            <w:vAlign w:val="center"/>
            <w:hideMark/>
          </w:tcPr>
          <w:p w14:paraId="11BE4A71"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LNG</w:t>
            </w:r>
          </w:p>
        </w:tc>
        <w:tc>
          <w:tcPr>
            <w:tcW w:w="979" w:type="pct"/>
            <w:tcBorders>
              <w:top w:val="nil"/>
              <w:left w:val="nil"/>
              <w:bottom w:val="single" w:sz="8" w:space="0" w:color="D3D3D3"/>
              <w:right w:val="single" w:sz="8" w:space="0" w:color="D3D3D3"/>
            </w:tcBorders>
            <w:shd w:val="clear" w:color="auto" w:fill="auto"/>
            <w:vAlign w:val="center"/>
            <w:hideMark/>
          </w:tcPr>
          <w:p w14:paraId="62B2195A" w14:textId="77777777" w:rsidR="00D429A1" w:rsidRPr="008902F2" w:rsidRDefault="00D429A1"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166.631</w:t>
            </w:r>
          </w:p>
        </w:tc>
      </w:tr>
      <w:tr w:rsidR="00D429A1" w:rsidRPr="008902F2" w14:paraId="67656848"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2F2BF7FB"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EGE GAZ JOINT STOCK COMPANY**</w:t>
            </w:r>
          </w:p>
        </w:tc>
        <w:tc>
          <w:tcPr>
            <w:tcW w:w="636" w:type="pct"/>
            <w:tcBorders>
              <w:top w:val="nil"/>
              <w:left w:val="nil"/>
              <w:bottom w:val="single" w:sz="8" w:space="0" w:color="D3D3D3"/>
              <w:right w:val="single" w:sz="8" w:space="0" w:color="D3D3D3"/>
            </w:tcBorders>
            <w:shd w:val="clear" w:color="auto" w:fill="auto"/>
            <w:vAlign w:val="center"/>
            <w:hideMark/>
          </w:tcPr>
          <w:p w14:paraId="0C182979"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IZMIR</w:t>
            </w:r>
          </w:p>
        </w:tc>
        <w:tc>
          <w:tcPr>
            <w:tcW w:w="565" w:type="pct"/>
            <w:tcBorders>
              <w:top w:val="nil"/>
              <w:left w:val="nil"/>
              <w:bottom w:val="single" w:sz="8" w:space="0" w:color="D3D3D3"/>
              <w:right w:val="single" w:sz="8" w:space="0" w:color="D3D3D3"/>
            </w:tcBorders>
            <w:shd w:val="clear" w:color="auto" w:fill="auto"/>
            <w:vAlign w:val="center"/>
            <w:hideMark/>
          </w:tcPr>
          <w:p w14:paraId="28A6E403"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LNG</w:t>
            </w:r>
          </w:p>
        </w:tc>
        <w:tc>
          <w:tcPr>
            <w:tcW w:w="979" w:type="pct"/>
            <w:tcBorders>
              <w:top w:val="nil"/>
              <w:left w:val="nil"/>
              <w:bottom w:val="single" w:sz="8" w:space="0" w:color="D3D3D3"/>
              <w:right w:val="single" w:sz="8" w:space="0" w:color="D3D3D3"/>
            </w:tcBorders>
            <w:shd w:val="clear" w:color="auto" w:fill="auto"/>
            <w:vAlign w:val="center"/>
            <w:hideMark/>
          </w:tcPr>
          <w:p w14:paraId="288930A5" w14:textId="77777777" w:rsidR="00D429A1" w:rsidRPr="008902F2" w:rsidRDefault="00D429A1"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280.000</w:t>
            </w:r>
          </w:p>
        </w:tc>
      </w:tr>
      <w:tr w:rsidR="00D429A1" w:rsidRPr="008902F2" w14:paraId="2E7235F6" w14:textId="7777777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4478239F" w14:textId="77777777" w:rsidR="00D429A1" w:rsidRPr="008902F2" w:rsidRDefault="00D429A1"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BOTAS (PETROLEUM TRANSPORTATION JOINT STOCK COMPANY WITH PIPELINES)**</w:t>
            </w:r>
          </w:p>
        </w:tc>
        <w:tc>
          <w:tcPr>
            <w:tcW w:w="636" w:type="pct"/>
            <w:tcBorders>
              <w:top w:val="nil"/>
              <w:left w:val="nil"/>
              <w:bottom w:val="single" w:sz="8" w:space="0" w:color="D3D3D3"/>
              <w:right w:val="single" w:sz="8" w:space="0" w:color="D3D3D3"/>
            </w:tcBorders>
            <w:shd w:val="clear" w:color="auto" w:fill="auto"/>
            <w:vAlign w:val="center"/>
            <w:hideMark/>
          </w:tcPr>
          <w:p w14:paraId="43853751"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HATAY</w:t>
            </w:r>
          </w:p>
        </w:tc>
        <w:tc>
          <w:tcPr>
            <w:tcW w:w="565" w:type="pct"/>
            <w:tcBorders>
              <w:top w:val="nil"/>
              <w:left w:val="nil"/>
              <w:bottom w:val="single" w:sz="8" w:space="0" w:color="D3D3D3"/>
              <w:right w:val="single" w:sz="8" w:space="0" w:color="D3D3D3"/>
            </w:tcBorders>
            <w:shd w:val="clear" w:color="auto" w:fill="auto"/>
            <w:vAlign w:val="center"/>
            <w:hideMark/>
          </w:tcPr>
          <w:p w14:paraId="00395067"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LNG</w:t>
            </w:r>
          </w:p>
        </w:tc>
        <w:tc>
          <w:tcPr>
            <w:tcW w:w="979" w:type="pct"/>
            <w:tcBorders>
              <w:top w:val="nil"/>
              <w:left w:val="nil"/>
              <w:bottom w:val="single" w:sz="8" w:space="0" w:color="D3D3D3"/>
              <w:right w:val="single" w:sz="8" w:space="0" w:color="D3D3D3"/>
            </w:tcBorders>
            <w:shd w:val="clear" w:color="auto" w:fill="auto"/>
            <w:vAlign w:val="center"/>
            <w:hideMark/>
          </w:tcPr>
          <w:p w14:paraId="63B67083" w14:textId="77777777" w:rsidR="00D429A1" w:rsidRPr="008902F2" w:rsidRDefault="00D429A1"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263.000</w:t>
            </w:r>
          </w:p>
        </w:tc>
      </w:tr>
      <w:tr w:rsidR="00D429A1" w:rsidRPr="008902F2" w14:paraId="4C27D0F7" w14:textId="77777777" w:rsidTr="00DC783D">
        <w:trPr>
          <w:trHeight w:val="23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65032A1F" w14:textId="77777777" w:rsidR="00D429A1" w:rsidRPr="008902F2" w:rsidRDefault="000A3A5E" w:rsidP="00D429A1">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BOTAS (PETROLEUM TRANSPORTATION JOINT STOCK COMPANY WITH PIPELINES)**</w:t>
            </w:r>
          </w:p>
        </w:tc>
        <w:tc>
          <w:tcPr>
            <w:tcW w:w="636" w:type="pct"/>
            <w:tcBorders>
              <w:top w:val="nil"/>
              <w:left w:val="nil"/>
              <w:bottom w:val="single" w:sz="8" w:space="0" w:color="D3D3D3"/>
              <w:right w:val="single" w:sz="8" w:space="0" w:color="D3D3D3"/>
            </w:tcBorders>
            <w:shd w:val="clear" w:color="auto" w:fill="auto"/>
            <w:vAlign w:val="center"/>
            <w:hideMark/>
          </w:tcPr>
          <w:p w14:paraId="30E0206D"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TEKIRDAG</w:t>
            </w:r>
          </w:p>
        </w:tc>
        <w:tc>
          <w:tcPr>
            <w:tcW w:w="565" w:type="pct"/>
            <w:tcBorders>
              <w:top w:val="nil"/>
              <w:left w:val="nil"/>
              <w:bottom w:val="single" w:sz="8" w:space="0" w:color="D3D3D3"/>
              <w:right w:val="single" w:sz="8" w:space="0" w:color="D3D3D3"/>
            </w:tcBorders>
            <w:shd w:val="clear" w:color="auto" w:fill="auto"/>
            <w:vAlign w:val="center"/>
            <w:hideMark/>
          </w:tcPr>
          <w:p w14:paraId="21132ED4" w14:textId="77777777" w:rsidR="00D429A1" w:rsidRPr="008902F2" w:rsidRDefault="00D429A1" w:rsidP="00D4132F">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LNG</w:t>
            </w:r>
          </w:p>
        </w:tc>
        <w:tc>
          <w:tcPr>
            <w:tcW w:w="979" w:type="pct"/>
            <w:tcBorders>
              <w:top w:val="nil"/>
              <w:left w:val="nil"/>
              <w:bottom w:val="single" w:sz="8" w:space="0" w:color="D3D3D3"/>
              <w:right w:val="single" w:sz="8" w:space="0" w:color="D3D3D3"/>
            </w:tcBorders>
            <w:shd w:val="clear" w:color="auto" w:fill="auto"/>
            <w:vAlign w:val="center"/>
            <w:hideMark/>
          </w:tcPr>
          <w:p w14:paraId="2A34B153" w14:textId="77777777" w:rsidR="00D429A1" w:rsidRPr="008902F2" w:rsidRDefault="00D34E39" w:rsidP="00D429A1">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255.000</w:t>
            </w:r>
          </w:p>
        </w:tc>
      </w:tr>
    </w:tbl>
    <w:p w14:paraId="4EFBF496" w14:textId="77777777" w:rsidR="00CB5826" w:rsidRPr="008902F2" w:rsidRDefault="00CB5826" w:rsidP="00172E74">
      <w:pPr>
        <w:spacing w:after="0"/>
        <w:rPr>
          <w:rFonts w:ascii="Times New Roman" w:hAnsi="Times New Roman"/>
          <w:sz w:val="20"/>
          <w:szCs w:val="20"/>
        </w:rPr>
      </w:pPr>
      <w:r w:rsidRPr="008902F2">
        <w:rPr>
          <w:rFonts w:ascii="Times New Roman" w:hAnsi="Times New Roman"/>
          <w:sz w:val="20"/>
          <w:szCs w:val="20"/>
        </w:rPr>
        <w:t xml:space="preserve">* </w:t>
      </w:r>
      <w:r w:rsidRPr="008902F2">
        <w:rPr>
          <w:rFonts w:ascii="Times New Roman" w:hAnsi="Times New Roman"/>
          <w:i/>
          <w:sz w:val="20"/>
          <w:szCs w:val="20"/>
        </w:rPr>
        <w:t>The facility is not yet operational</w:t>
      </w:r>
      <w:r w:rsidRPr="008902F2">
        <w:rPr>
          <w:rFonts w:ascii="Times New Roman" w:hAnsi="Times New Roman"/>
          <w:sz w:val="20"/>
          <w:szCs w:val="20"/>
        </w:rPr>
        <w:t>.</w:t>
      </w:r>
    </w:p>
    <w:p w14:paraId="452292FD" w14:textId="333807D0" w:rsidR="0075500C" w:rsidRPr="008902F2" w:rsidRDefault="0075500C" w:rsidP="00172E74">
      <w:pPr>
        <w:spacing w:after="0"/>
        <w:rPr>
          <w:rFonts w:ascii="Times New Roman" w:hAnsi="Times New Roman"/>
          <w:i/>
          <w:sz w:val="20"/>
          <w:szCs w:val="20"/>
        </w:rPr>
      </w:pPr>
      <w:r w:rsidRPr="008902F2">
        <w:rPr>
          <w:rFonts w:ascii="Times New Roman" w:hAnsi="Times New Roman"/>
          <w:sz w:val="20"/>
          <w:szCs w:val="20"/>
        </w:rPr>
        <w:t xml:space="preserve">** </w:t>
      </w:r>
      <w:r w:rsidRPr="008902F2">
        <w:rPr>
          <w:rFonts w:ascii="Times New Roman" w:hAnsi="Times New Roman"/>
          <w:i/>
          <w:sz w:val="20"/>
          <w:szCs w:val="20"/>
        </w:rPr>
        <w:t>Liquefied natural gas (LNG)</w:t>
      </w:r>
    </w:p>
    <w:p w14:paraId="5ACB72D1" w14:textId="64F7C5F6" w:rsidR="00F34E9C" w:rsidRPr="008902F2" w:rsidRDefault="00FD6FD9" w:rsidP="00F34E9C">
      <w:pPr>
        <w:rPr>
          <w:rFonts w:ascii="Times New Roman" w:eastAsiaTheme="minorHAnsi" w:hAnsi="Times New Roman"/>
          <w:sz w:val="20"/>
          <w:szCs w:val="20"/>
        </w:rPr>
      </w:pPr>
      <w:r w:rsidRPr="008902F2">
        <w:rPr>
          <w:rFonts w:ascii="Times New Roman" w:hAnsi="Times New Roman"/>
          <w:sz w:val="20"/>
          <w:szCs w:val="20"/>
        </w:rPr>
        <w:t xml:space="preserve">*** </w:t>
      </w:r>
      <w:r w:rsidR="00FA7792" w:rsidRPr="008902F2">
        <w:rPr>
          <w:rFonts w:ascii="Times New Roman" w:hAnsi="Times New Roman"/>
          <w:sz w:val="20"/>
          <w:szCs w:val="20"/>
        </w:rPr>
        <w:t xml:space="preserve">The quantities are the capacity for the year </w:t>
      </w:r>
      <w:r w:rsidR="00F34E9C" w:rsidRPr="008902F2">
        <w:rPr>
          <w:rFonts w:ascii="Times New Roman" w:hAnsi="Times New Roman"/>
          <w:i/>
          <w:sz w:val="20"/>
          <w:szCs w:val="20"/>
        </w:rPr>
        <w:t>2022 recorded in their licenses for the facilities that are in operation; for the facilities that are not in operation, the storage capacity amounts that they will have in the period when they will start to operate</w:t>
      </w:r>
      <w:r w:rsidR="00F34E9C" w:rsidRPr="008902F2">
        <w:rPr>
          <w:rFonts w:ascii="Times New Roman" w:hAnsi="Times New Roman"/>
          <w:sz w:val="20"/>
          <w:szCs w:val="20"/>
        </w:rPr>
        <w:t xml:space="preserve">. </w:t>
      </w:r>
    </w:p>
    <w:p w14:paraId="0A2DA2E6" w14:textId="77777777" w:rsidR="00CB5826" w:rsidRPr="008902F2" w:rsidRDefault="756206D8" w:rsidP="00A86526">
      <w:pPr>
        <w:pStyle w:val="Balk3"/>
        <w:numPr>
          <w:ilvl w:val="2"/>
          <w:numId w:val="27"/>
        </w:numPr>
        <w:spacing w:after="240"/>
        <w:rPr>
          <w:rFonts w:ascii="Times New Roman" w:hAnsi="Times New Roman" w:cs="Times New Roman"/>
        </w:rPr>
      </w:pPr>
      <w:bookmarkStart w:id="99" w:name="_Toc442431260"/>
      <w:bookmarkStart w:id="100" w:name="_Toc143113409"/>
      <w:r w:rsidRPr="008902F2">
        <w:rPr>
          <w:rFonts w:ascii="Times New Roman" w:hAnsi="Times New Roman" w:cs="Times New Roman"/>
        </w:rPr>
        <w:t>Certification Procedures</w:t>
      </w:r>
      <w:bookmarkEnd w:id="99"/>
      <w:bookmarkEnd w:id="100"/>
    </w:p>
    <w:p w14:paraId="3591EB75" w14:textId="77777777" w:rsidR="004F32D4" w:rsidRPr="008902F2" w:rsidRDefault="004F32D4" w:rsidP="004F32D4">
      <w:pPr>
        <w:rPr>
          <w:rFonts w:ascii="Times New Roman" w:hAnsi="Times New Roman"/>
          <w:lang w:val="en-US"/>
        </w:rPr>
      </w:pPr>
      <w:bookmarkStart w:id="101" w:name="_Toc416447584"/>
      <w:bookmarkStart w:id="102" w:name="_Toc442441735"/>
      <w:r w:rsidRPr="008902F2">
        <w:rPr>
          <w:rFonts w:ascii="Times New Roman" w:hAnsi="Times New Roman"/>
          <w:lang w:val="en-US"/>
        </w:rPr>
        <w:t>The procedures and principles regarding the certificates to be issued to real or legal persons carrying out internal installation and service lines, construction and service activities in the natural gas market are determined in the Natural Gas Market Certificate Regulation.</w:t>
      </w:r>
    </w:p>
    <w:p w14:paraId="3204984A" w14:textId="2C474E96" w:rsidR="004F32D4" w:rsidRPr="008902F2" w:rsidRDefault="004F32D4" w:rsidP="004F32D4">
      <w:pPr>
        <w:rPr>
          <w:rFonts w:ascii="Times New Roman" w:hAnsi="Times New Roman"/>
          <w:lang w:val="en-US"/>
        </w:rPr>
      </w:pPr>
      <w:r w:rsidRPr="008902F2">
        <w:rPr>
          <w:rFonts w:ascii="Times New Roman" w:hAnsi="Times New Roman"/>
          <w:lang w:val="en-US"/>
        </w:rPr>
        <w:t xml:space="preserve">Any construction and service activities related to natural gas cannot be carried out by persons who are not certified holders. </w:t>
      </w:r>
      <w:r w:rsidR="00FC33F4" w:rsidRPr="008902F2">
        <w:rPr>
          <w:rFonts w:ascii="Times New Roman" w:hAnsi="Times New Roman"/>
          <w:lang w:val="en-US"/>
        </w:rPr>
        <w:t>Those</w:t>
      </w:r>
      <w:r w:rsidR="00A56D8F" w:rsidRPr="008902F2">
        <w:rPr>
          <w:rFonts w:ascii="Times New Roman" w:hAnsi="Times New Roman"/>
          <w:lang w:val="en-US"/>
        </w:rPr>
        <w:t xml:space="preserve"> who will perform services</w:t>
      </w:r>
      <w:r w:rsidR="00FC33F4" w:rsidRPr="008902F2">
        <w:rPr>
          <w:rFonts w:ascii="Times New Roman" w:hAnsi="Times New Roman"/>
          <w:lang w:val="en-US"/>
        </w:rPr>
        <w:t xml:space="preserve"> related to the system</w:t>
      </w:r>
      <w:r w:rsidR="00A56D8F" w:rsidRPr="008902F2">
        <w:rPr>
          <w:rFonts w:ascii="Times New Roman" w:hAnsi="Times New Roman"/>
          <w:lang w:val="en-US"/>
        </w:rPr>
        <w:t xml:space="preserve"> such as feasibility, survey, project, consultancy, control and inspection, construction, service, maintenance and repair </w:t>
      </w:r>
      <w:r w:rsidR="00FC33F4" w:rsidRPr="008902F2">
        <w:rPr>
          <w:rFonts w:ascii="Times New Roman" w:hAnsi="Times New Roman"/>
          <w:lang w:val="en-US"/>
        </w:rPr>
        <w:t xml:space="preserve">must </w:t>
      </w:r>
      <w:r w:rsidR="00A56D8F" w:rsidRPr="008902F2">
        <w:rPr>
          <w:rFonts w:ascii="Times New Roman" w:hAnsi="Times New Roman"/>
          <w:lang w:val="en-US"/>
        </w:rPr>
        <w:t>obtain a certificate from the Authority</w:t>
      </w:r>
      <w:r w:rsidR="00FC33F4" w:rsidRPr="008902F2">
        <w:rPr>
          <w:rFonts w:ascii="Times New Roman" w:hAnsi="Times New Roman"/>
          <w:lang w:val="en-US"/>
        </w:rPr>
        <w:t xml:space="preserve"> for their activities</w:t>
      </w:r>
      <w:r w:rsidRPr="008902F2">
        <w:rPr>
          <w:rFonts w:ascii="Times New Roman" w:hAnsi="Times New Roman"/>
          <w:lang w:val="en-US"/>
        </w:rPr>
        <w:t xml:space="preserve">. </w:t>
      </w:r>
    </w:p>
    <w:p w14:paraId="7408BA16" w14:textId="77777777" w:rsidR="00440F27" w:rsidRPr="008902F2" w:rsidRDefault="00440F27" w:rsidP="00440F27">
      <w:pPr>
        <w:rPr>
          <w:rFonts w:ascii="Times New Roman" w:hAnsi="Times New Roman"/>
          <w:lang w:val="en-US"/>
        </w:rPr>
      </w:pPr>
      <w:r w:rsidRPr="008902F2">
        <w:rPr>
          <w:rFonts w:ascii="Times New Roman" w:hAnsi="Times New Roman"/>
          <w:lang w:val="en-US"/>
        </w:rPr>
        <w:t>Certificates are issued for a minimum of ten and a maximum of thirty years at a time. Certificates are also subject to visa processing. The holder of the certificate cannot continue his activity without a visa. The duration of the visa is two years for the certificate of construction and service and one year for the certificate of internal installation and service lines from the date of validity and commencement of each new visa made.</w:t>
      </w:r>
    </w:p>
    <w:p w14:paraId="794A38ED" w14:textId="4ABF5632" w:rsidR="00872D69" w:rsidRDefault="004F32D4" w:rsidP="004F32D4">
      <w:pPr>
        <w:rPr>
          <w:rFonts w:ascii="Times New Roman" w:hAnsi="Times New Roman"/>
          <w:lang w:val="en-US"/>
        </w:rPr>
      </w:pPr>
      <w:r w:rsidRPr="008902F2">
        <w:rPr>
          <w:rFonts w:ascii="Times New Roman" w:hAnsi="Times New Roman"/>
          <w:lang w:val="en-US"/>
        </w:rPr>
        <w:t>Following the issuance of the certificate, a separate registry file is opened for each certificate holder and registry records are kept in accordance with the provisions of the relevant legislation. Real and legal persons who have received a construction and service certificate are announced on the website of the Authority, and real and legal persons who have received an internal installation and service lines certificate are announced on the website of the distribution company f</w:t>
      </w:r>
      <w:r w:rsidR="00FC33F4" w:rsidRPr="008902F2">
        <w:rPr>
          <w:rFonts w:ascii="Times New Roman" w:hAnsi="Times New Roman"/>
          <w:lang w:val="en-US"/>
        </w:rPr>
        <w:t>rom</w:t>
      </w:r>
      <w:r w:rsidRPr="008902F2">
        <w:rPr>
          <w:rFonts w:ascii="Times New Roman" w:hAnsi="Times New Roman"/>
          <w:lang w:val="en-US"/>
        </w:rPr>
        <w:t xml:space="preserve"> which they have received the certificate.</w:t>
      </w:r>
    </w:p>
    <w:p w14:paraId="295AABBC" w14:textId="77777777" w:rsidR="00E600A3" w:rsidRPr="008902F2" w:rsidRDefault="00E600A3" w:rsidP="004F32D4">
      <w:pPr>
        <w:rPr>
          <w:rFonts w:ascii="Times New Roman" w:hAnsi="Times New Roman"/>
          <w:lang w:val="en-US"/>
        </w:rPr>
      </w:pPr>
    </w:p>
    <w:p w14:paraId="5F332063" w14:textId="77777777" w:rsidR="00FF727D" w:rsidRPr="008902F2" w:rsidRDefault="00FF727D" w:rsidP="004F32D4">
      <w:pPr>
        <w:rPr>
          <w:rStyle w:val="Gl"/>
          <w:rFonts w:ascii="Times New Roman" w:hAnsi="Times New Roman"/>
          <w:b w:val="0"/>
          <w:bCs w:val="0"/>
        </w:rPr>
      </w:pPr>
    </w:p>
    <w:p w14:paraId="72A1A39D" w14:textId="77777777" w:rsidR="00CB5826" w:rsidRPr="008902F2" w:rsidRDefault="00CB5826" w:rsidP="00C466F8">
      <w:pPr>
        <w:pStyle w:val="Balk5"/>
        <w:jc w:val="center"/>
        <w:rPr>
          <w:rStyle w:val="Gl"/>
          <w:rFonts w:ascii="Times New Roman" w:hAnsi="Times New Roman" w:cs="Times New Roman"/>
          <w:color w:val="000000" w:themeColor="text1"/>
        </w:rPr>
      </w:pPr>
      <w:bookmarkStart w:id="103" w:name="_Toc132713896"/>
      <w:r w:rsidRPr="008902F2">
        <w:rPr>
          <w:rStyle w:val="Gl"/>
          <w:rFonts w:ascii="Times New Roman" w:hAnsi="Times New Roman" w:cs="Times New Roman"/>
          <w:color w:val="000000" w:themeColor="text1"/>
        </w:rPr>
        <w:lastRenderedPageBreak/>
        <w:t>Table 3.6: Certification Procedures in the Natural Gas Market in 2022 (Units)</w:t>
      </w:r>
      <w:bookmarkEnd w:id="101"/>
      <w:bookmarkEnd w:id="102"/>
      <w:bookmarkEnd w:id="103"/>
    </w:p>
    <w:tbl>
      <w:tblPr>
        <w:tblW w:w="5000" w:type="pct"/>
        <w:tblCellMar>
          <w:left w:w="70" w:type="dxa"/>
          <w:right w:w="70" w:type="dxa"/>
        </w:tblCellMar>
        <w:tblLook w:val="04A0" w:firstRow="1" w:lastRow="0" w:firstColumn="1" w:lastColumn="0" w:noHBand="0" w:noVBand="1"/>
      </w:tblPr>
      <w:tblGrid>
        <w:gridCol w:w="1277"/>
        <w:gridCol w:w="1241"/>
        <w:gridCol w:w="1228"/>
        <w:gridCol w:w="1717"/>
        <w:gridCol w:w="1142"/>
        <w:gridCol w:w="1228"/>
        <w:gridCol w:w="764"/>
        <w:gridCol w:w="1304"/>
      </w:tblGrid>
      <w:tr w:rsidR="00547BB3" w:rsidRPr="008902F2" w14:paraId="66309C11" w14:textId="77777777" w:rsidTr="00515E9F">
        <w:trPr>
          <w:trHeight w:val="20"/>
        </w:trPr>
        <w:tc>
          <w:tcPr>
            <w:tcW w:w="65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297D686F" w14:textId="77777777" w:rsidR="00547BB3" w:rsidRPr="008902F2" w:rsidRDefault="00547BB3" w:rsidP="00547BB3">
            <w:pPr>
              <w:spacing w:after="0" w:line="240" w:lineRule="auto"/>
              <w:jc w:val="center"/>
              <w:rPr>
                <w:rFonts w:ascii="Times New Roman" w:eastAsia="Times New Roman" w:hAnsi="Times New Roman"/>
                <w:b/>
                <w:bCs/>
                <w:color w:val="FFFFFF"/>
                <w:lang w:eastAsia="tr-TR"/>
              </w:rPr>
            </w:pPr>
            <w:bookmarkStart w:id="104" w:name="_Toc442431261"/>
            <w:r w:rsidRPr="008902F2">
              <w:rPr>
                <w:rFonts w:ascii="Times New Roman" w:eastAsia="Times New Roman" w:hAnsi="Times New Roman"/>
                <w:b/>
                <w:color w:val="FFFFFF"/>
              </w:rPr>
              <w:t>Certificate Type</w:t>
            </w:r>
          </w:p>
        </w:tc>
        <w:tc>
          <w:tcPr>
            <w:tcW w:w="3215"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5ED5CAD3" w14:textId="77777777" w:rsidR="00547BB3" w:rsidRPr="008902F2" w:rsidRDefault="00547BB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Certificate Transaction Type</w:t>
            </w:r>
          </w:p>
        </w:tc>
        <w:tc>
          <w:tcPr>
            <w:tcW w:w="355"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7F66E19D" w14:textId="77777777" w:rsidR="00547BB3" w:rsidRPr="008902F2" w:rsidRDefault="00547BB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779"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A85C835" w14:textId="77777777" w:rsidR="00547BB3" w:rsidRPr="008902F2" w:rsidRDefault="00547BB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Certificates in Force at the End of the Semester</w:t>
            </w:r>
          </w:p>
        </w:tc>
      </w:tr>
      <w:tr w:rsidR="002A7E33" w:rsidRPr="008902F2" w14:paraId="3A8253BE" w14:textId="77777777" w:rsidTr="00515E9F">
        <w:trPr>
          <w:trHeight w:val="20"/>
        </w:trPr>
        <w:tc>
          <w:tcPr>
            <w:tcW w:w="651" w:type="pct"/>
            <w:vMerge/>
            <w:tcBorders>
              <w:top w:val="single" w:sz="8" w:space="0" w:color="BFBFBF"/>
              <w:left w:val="single" w:sz="8" w:space="0" w:color="BFBFBF"/>
              <w:bottom w:val="single" w:sz="8" w:space="0" w:color="BFBFBF"/>
              <w:right w:val="single" w:sz="8" w:space="0" w:color="BFBFBF"/>
            </w:tcBorders>
            <w:vAlign w:val="center"/>
            <w:hideMark/>
          </w:tcPr>
          <w:p w14:paraId="6E29E5B4" w14:textId="77777777" w:rsidR="002A7E33" w:rsidRPr="008902F2" w:rsidRDefault="002A7E33" w:rsidP="002A7E33">
            <w:pPr>
              <w:spacing w:after="0" w:line="240" w:lineRule="auto"/>
              <w:rPr>
                <w:rFonts w:ascii="Times New Roman" w:eastAsia="Times New Roman" w:hAnsi="Times New Roman"/>
                <w:b/>
                <w:bCs/>
                <w:color w:val="FFFFFF"/>
                <w:lang w:eastAsia="tr-TR"/>
              </w:rPr>
            </w:pPr>
          </w:p>
        </w:tc>
        <w:tc>
          <w:tcPr>
            <w:tcW w:w="598" w:type="pct"/>
            <w:tcBorders>
              <w:top w:val="nil"/>
              <w:left w:val="nil"/>
              <w:bottom w:val="single" w:sz="8" w:space="0" w:color="BFBFBF"/>
              <w:right w:val="single" w:sz="8" w:space="0" w:color="BFBFBF"/>
            </w:tcBorders>
            <w:shd w:val="clear" w:color="000000" w:fill="6E9ECA"/>
            <w:vAlign w:val="center"/>
            <w:hideMark/>
          </w:tcPr>
          <w:p w14:paraId="448E4E10"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Certificate Application</w:t>
            </w:r>
          </w:p>
          <w:p w14:paraId="070EDBAB"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w:t>
            </w:r>
          </w:p>
        </w:tc>
        <w:tc>
          <w:tcPr>
            <w:tcW w:w="664" w:type="pct"/>
            <w:tcBorders>
              <w:top w:val="nil"/>
              <w:left w:val="nil"/>
              <w:bottom w:val="single" w:sz="8" w:space="0" w:color="BFBFBF"/>
              <w:right w:val="single" w:sz="8" w:space="0" w:color="BFBFBF"/>
            </w:tcBorders>
            <w:shd w:val="clear" w:color="000000" w:fill="6E9ECA"/>
            <w:vAlign w:val="center"/>
            <w:hideMark/>
          </w:tcPr>
          <w:p w14:paraId="43F9AC3C"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Certificates Issued</w:t>
            </w:r>
          </w:p>
        </w:tc>
        <w:tc>
          <w:tcPr>
            <w:tcW w:w="812" w:type="pct"/>
            <w:tcBorders>
              <w:top w:val="nil"/>
              <w:left w:val="nil"/>
              <w:bottom w:val="single" w:sz="8" w:space="0" w:color="BFBFBF"/>
              <w:right w:val="single" w:sz="8" w:space="0" w:color="BFBFBF"/>
            </w:tcBorders>
            <w:shd w:val="clear" w:color="000000" w:fill="6E9ECA"/>
            <w:vAlign w:val="center"/>
            <w:hideMark/>
          </w:tcPr>
          <w:p w14:paraId="723FBD30"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Expired/Expired Certificates</w:t>
            </w:r>
          </w:p>
        </w:tc>
        <w:tc>
          <w:tcPr>
            <w:tcW w:w="549" w:type="pct"/>
            <w:tcBorders>
              <w:top w:val="nil"/>
              <w:left w:val="nil"/>
              <w:bottom w:val="single" w:sz="8" w:space="0" w:color="BFBFBF"/>
              <w:right w:val="single" w:sz="8" w:space="0" w:color="BFBFBF"/>
            </w:tcBorders>
            <w:shd w:val="clear" w:color="000000" w:fill="6E9ECA"/>
            <w:vAlign w:val="center"/>
            <w:hideMark/>
          </w:tcPr>
          <w:p w14:paraId="13546676"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Certificate Visa Number Issued</w:t>
            </w:r>
          </w:p>
        </w:tc>
        <w:tc>
          <w:tcPr>
            <w:tcW w:w="593" w:type="pct"/>
            <w:tcBorders>
              <w:top w:val="nil"/>
              <w:left w:val="nil"/>
              <w:bottom w:val="single" w:sz="8" w:space="0" w:color="BFBFBF"/>
              <w:right w:val="single" w:sz="8" w:space="0" w:color="BFBFBF"/>
            </w:tcBorders>
            <w:shd w:val="clear" w:color="000000" w:fill="6E9ECA"/>
            <w:vAlign w:val="center"/>
            <w:hideMark/>
          </w:tcPr>
          <w:p w14:paraId="12CF678C" w14:textId="77777777" w:rsidR="002A7E33" w:rsidRPr="008902F2" w:rsidRDefault="002A7E33" w:rsidP="002A7E3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Certificates Amended</w:t>
            </w:r>
          </w:p>
        </w:tc>
        <w:tc>
          <w:tcPr>
            <w:tcW w:w="355" w:type="pct"/>
            <w:vMerge/>
            <w:tcBorders>
              <w:top w:val="single" w:sz="8" w:space="0" w:color="BFBFBF"/>
              <w:left w:val="single" w:sz="8" w:space="0" w:color="BFBFBF"/>
              <w:bottom w:val="single" w:sz="8" w:space="0" w:color="BFBFBF"/>
              <w:right w:val="single" w:sz="8" w:space="0" w:color="BFBFBF"/>
            </w:tcBorders>
            <w:vAlign w:val="center"/>
            <w:hideMark/>
          </w:tcPr>
          <w:p w14:paraId="0486D37F" w14:textId="77777777" w:rsidR="002A7E33" w:rsidRPr="008902F2" w:rsidRDefault="002A7E33" w:rsidP="002A7E33">
            <w:pPr>
              <w:spacing w:after="0" w:line="240" w:lineRule="auto"/>
              <w:rPr>
                <w:rFonts w:ascii="Times New Roman" w:eastAsia="Times New Roman" w:hAnsi="Times New Roman"/>
                <w:b/>
                <w:bCs/>
                <w:color w:val="FFFFFF"/>
                <w:lang w:eastAsia="tr-TR"/>
              </w:rPr>
            </w:pPr>
          </w:p>
        </w:tc>
        <w:tc>
          <w:tcPr>
            <w:tcW w:w="779" w:type="pct"/>
            <w:vMerge/>
            <w:tcBorders>
              <w:top w:val="single" w:sz="8" w:space="0" w:color="BFBFBF"/>
              <w:left w:val="single" w:sz="8" w:space="0" w:color="BFBFBF"/>
              <w:bottom w:val="single" w:sz="8" w:space="0" w:color="BFBFBF"/>
              <w:right w:val="single" w:sz="8" w:space="0" w:color="BFBFBF"/>
            </w:tcBorders>
            <w:vAlign w:val="center"/>
            <w:hideMark/>
          </w:tcPr>
          <w:p w14:paraId="433FB565" w14:textId="77777777" w:rsidR="002A7E33" w:rsidRPr="008902F2" w:rsidRDefault="002A7E33" w:rsidP="002A7E33">
            <w:pPr>
              <w:spacing w:after="0" w:line="240" w:lineRule="auto"/>
              <w:rPr>
                <w:rFonts w:ascii="Times New Roman" w:eastAsia="Times New Roman" w:hAnsi="Times New Roman"/>
                <w:b/>
                <w:bCs/>
                <w:color w:val="FFFFFF"/>
                <w:lang w:eastAsia="tr-TR"/>
              </w:rPr>
            </w:pPr>
          </w:p>
        </w:tc>
      </w:tr>
      <w:tr w:rsidR="00931DEA" w:rsidRPr="008902F2" w14:paraId="1AA729BE" w14:textId="77777777" w:rsidTr="00515E9F">
        <w:trPr>
          <w:trHeight w:val="20"/>
        </w:trPr>
        <w:tc>
          <w:tcPr>
            <w:tcW w:w="651" w:type="pct"/>
            <w:tcBorders>
              <w:top w:val="nil"/>
              <w:left w:val="single" w:sz="8" w:space="0" w:color="BFBFBF"/>
              <w:bottom w:val="nil"/>
              <w:right w:val="single" w:sz="8" w:space="0" w:color="BFBFBF"/>
            </w:tcBorders>
            <w:shd w:val="clear" w:color="auto" w:fill="auto"/>
            <w:vAlign w:val="center"/>
            <w:hideMark/>
          </w:tcPr>
          <w:p w14:paraId="4F51FC77"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Construction and Service Certificate</w:t>
            </w:r>
          </w:p>
        </w:tc>
        <w:tc>
          <w:tcPr>
            <w:tcW w:w="598" w:type="pct"/>
            <w:tcBorders>
              <w:top w:val="nil"/>
              <w:left w:val="nil"/>
              <w:bottom w:val="nil"/>
              <w:right w:val="single" w:sz="8" w:space="0" w:color="BFBFBF"/>
            </w:tcBorders>
            <w:shd w:val="clear" w:color="auto" w:fill="auto"/>
            <w:vAlign w:val="center"/>
            <w:hideMark/>
          </w:tcPr>
          <w:p w14:paraId="533D2821"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64</w:t>
            </w:r>
          </w:p>
        </w:tc>
        <w:tc>
          <w:tcPr>
            <w:tcW w:w="664" w:type="pct"/>
            <w:tcBorders>
              <w:top w:val="nil"/>
              <w:left w:val="nil"/>
              <w:bottom w:val="nil"/>
              <w:right w:val="single" w:sz="8" w:space="0" w:color="BFBFBF"/>
            </w:tcBorders>
            <w:shd w:val="clear" w:color="auto" w:fill="auto"/>
            <w:vAlign w:val="center"/>
            <w:hideMark/>
          </w:tcPr>
          <w:p w14:paraId="5725ECBC"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64</w:t>
            </w:r>
          </w:p>
        </w:tc>
        <w:tc>
          <w:tcPr>
            <w:tcW w:w="812" w:type="pct"/>
            <w:tcBorders>
              <w:top w:val="nil"/>
              <w:left w:val="nil"/>
              <w:bottom w:val="nil"/>
              <w:right w:val="single" w:sz="8" w:space="0" w:color="BFBFBF"/>
            </w:tcBorders>
            <w:shd w:val="clear" w:color="auto" w:fill="auto"/>
            <w:vAlign w:val="center"/>
            <w:hideMark/>
          </w:tcPr>
          <w:p w14:paraId="43028211"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63</w:t>
            </w:r>
          </w:p>
        </w:tc>
        <w:tc>
          <w:tcPr>
            <w:tcW w:w="549" w:type="pct"/>
            <w:tcBorders>
              <w:top w:val="nil"/>
              <w:left w:val="nil"/>
              <w:bottom w:val="nil"/>
              <w:right w:val="single" w:sz="8" w:space="0" w:color="BFBFBF"/>
            </w:tcBorders>
            <w:shd w:val="clear" w:color="auto" w:fill="auto"/>
            <w:vAlign w:val="center"/>
            <w:hideMark/>
          </w:tcPr>
          <w:p w14:paraId="45621186"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216</w:t>
            </w:r>
          </w:p>
        </w:tc>
        <w:tc>
          <w:tcPr>
            <w:tcW w:w="593" w:type="pct"/>
            <w:tcBorders>
              <w:top w:val="nil"/>
              <w:left w:val="nil"/>
              <w:bottom w:val="nil"/>
              <w:right w:val="single" w:sz="8" w:space="0" w:color="BFBFBF"/>
            </w:tcBorders>
            <w:shd w:val="clear" w:color="auto" w:fill="auto"/>
            <w:vAlign w:val="center"/>
            <w:hideMark/>
          </w:tcPr>
          <w:p w14:paraId="1A5C49E1"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32</w:t>
            </w:r>
          </w:p>
        </w:tc>
        <w:tc>
          <w:tcPr>
            <w:tcW w:w="355" w:type="pct"/>
            <w:tcBorders>
              <w:top w:val="nil"/>
              <w:left w:val="nil"/>
              <w:bottom w:val="nil"/>
              <w:right w:val="single" w:sz="8" w:space="0" w:color="BFBFBF"/>
            </w:tcBorders>
            <w:shd w:val="clear" w:color="auto" w:fill="auto"/>
            <w:vAlign w:val="center"/>
            <w:hideMark/>
          </w:tcPr>
          <w:p w14:paraId="2C8C66F5" w14:textId="77777777" w:rsidR="00931DEA" w:rsidRPr="008902F2" w:rsidRDefault="00931DEA" w:rsidP="00931DE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439</w:t>
            </w:r>
          </w:p>
        </w:tc>
        <w:tc>
          <w:tcPr>
            <w:tcW w:w="779" w:type="pct"/>
            <w:tcBorders>
              <w:top w:val="nil"/>
              <w:left w:val="nil"/>
              <w:bottom w:val="nil"/>
              <w:right w:val="single" w:sz="8" w:space="0" w:color="BFBFBF"/>
            </w:tcBorders>
            <w:shd w:val="clear" w:color="auto" w:fill="auto"/>
            <w:vAlign w:val="center"/>
            <w:hideMark/>
          </w:tcPr>
          <w:p w14:paraId="3BFA220E" w14:textId="77777777" w:rsidR="00931DEA" w:rsidRPr="008902F2" w:rsidRDefault="00931DEA" w:rsidP="00931DEA">
            <w:pPr>
              <w:spacing w:after="0" w:line="240" w:lineRule="auto"/>
              <w:jc w:val="center"/>
              <w:rPr>
                <w:rFonts w:ascii="Times New Roman" w:eastAsia="Times New Roman" w:hAnsi="Times New Roman"/>
                <w:b/>
                <w:bCs/>
                <w:color w:val="000000"/>
                <w:lang w:eastAsia="tr-TR"/>
              </w:rPr>
            </w:pPr>
            <w:r w:rsidRPr="008902F2">
              <w:rPr>
                <w:rFonts w:ascii="Times New Roman" w:hAnsi="Times New Roman"/>
                <w:b/>
                <w:color w:val="000000"/>
                <w:sz w:val="20"/>
                <w:szCs w:val="20"/>
              </w:rPr>
              <w:t>1032</w:t>
            </w:r>
          </w:p>
        </w:tc>
      </w:tr>
      <w:tr w:rsidR="00FF727D" w:rsidRPr="008902F2" w14:paraId="080574E9" w14:textId="77777777" w:rsidTr="00515E9F">
        <w:trPr>
          <w:trHeight w:val="20"/>
        </w:trPr>
        <w:tc>
          <w:tcPr>
            <w:tcW w:w="651" w:type="pct"/>
            <w:tcBorders>
              <w:top w:val="nil"/>
              <w:left w:val="single" w:sz="8" w:space="0" w:color="BFBFBF"/>
              <w:bottom w:val="single" w:sz="8" w:space="0" w:color="BFBFBF"/>
              <w:right w:val="single" w:sz="8" w:space="0" w:color="BFBFBF"/>
            </w:tcBorders>
            <w:shd w:val="clear" w:color="auto" w:fill="auto"/>
            <w:vAlign w:val="center"/>
          </w:tcPr>
          <w:p w14:paraId="3D864135" w14:textId="77777777" w:rsidR="00FF727D" w:rsidRPr="008902F2" w:rsidRDefault="00FF727D" w:rsidP="00931DEA">
            <w:pPr>
              <w:spacing w:after="0" w:line="240" w:lineRule="auto"/>
              <w:jc w:val="center"/>
              <w:rPr>
                <w:rFonts w:ascii="Times New Roman" w:eastAsia="Times New Roman" w:hAnsi="Times New Roman"/>
                <w:color w:val="000000"/>
              </w:rPr>
            </w:pPr>
          </w:p>
        </w:tc>
        <w:tc>
          <w:tcPr>
            <w:tcW w:w="598" w:type="pct"/>
            <w:tcBorders>
              <w:top w:val="nil"/>
              <w:left w:val="nil"/>
              <w:bottom w:val="single" w:sz="8" w:space="0" w:color="BFBFBF"/>
              <w:right w:val="single" w:sz="8" w:space="0" w:color="BFBFBF"/>
            </w:tcBorders>
            <w:shd w:val="clear" w:color="auto" w:fill="auto"/>
            <w:vAlign w:val="center"/>
          </w:tcPr>
          <w:p w14:paraId="628059EE"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664" w:type="pct"/>
            <w:tcBorders>
              <w:top w:val="nil"/>
              <w:left w:val="nil"/>
              <w:bottom w:val="single" w:sz="8" w:space="0" w:color="BFBFBF"/>
              <w:right w:val="single" w:sz="8" w:space="0" w:color="BFBFBF"/>
            </w:tcBorders>
            <w:shd w:val="clear" w:color="auto" w:fill="auto"/>
            <w:vAlign w:val="center"/>
          </w:tcPr>
          <w:p w14:paraId="7106EAD5"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812" w:type="pct"/>
            <w:tcBorders>
              <w:top w:val="nil"/>
              <w:left w:val="nil"/>
              <w:bottom w:val="single" w:sz="8" w:space="0" w:color="BFBFBF"/>
              <w:right w:val="single" w:sz="8" w:space="0" w:color="BFBFBF"/>
            </w:tcBorders>
            <w:shd w:val="clear" w:color="auto" w:fill="auto"/>
            <w:vAlign w:val="center"/>
          </w:tcPr>
          <w:p w14:paraId="316BD262"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549" w:type="pct"/>
            <w:tcBorders>
              <w:top w:val="nil"/>
              <w:left w:val="nil"/>
              <w:bottom w:val="single" w:sz="8" w:space="0" w:color="BFBFBF"/>
              <w:right w:val="single" w:sz="8" w:space="0" w:color="BFBFBF"/>
            </w:tcBorders>
            <w:shd w:val="clear" w:color="auto" w:fill="auto"/>
            <w:vAlign w:val="center"/>
          </w:tcPr>
          <w:p w14:paraId="1072CDC0"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593" w:type="pct"/>
            <w:tcBorders>
              <w:top w:val="nil"/>
              <w:left w:val="nil"/>
              <w:bottom w:val="single" w:sz="8" w:space="0" w:color="BFBFBF"/>
              <w:right w:val="single" w:sz="8" w:space="0" w:color="BFBFBF"/>
            </w:tcBorders>
            <w:shd w:val="clear" w:color="auto" w:fill="auto"/>
            <w:vAlign w:val="center"/>
          </w:tcPr>
          <w:p w14:paraId="1F4BF18E"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355" w:type="pct"/>
            <w:tcBorders>
              <w:top w:val="nil"/>
              <w:left w:val="nil"/>
              <w:bottom w:val="single" w:sz="8" w:space="0" w:color="BFBFBF"/>
              <w:right w:val="single" w:sz="8" w:space="0" w:color="BFBFBF"/>
            </w:tcBorders>
            <w:shd w:val="clear" w:color="auto" w:fill="auto"/>
            <w:vAlign w:val="center"/>
          </w:tcPr>
          <w:p w14:paraId="3F7E8DE8" w14:textId="77777777" w:rsidR="00FF727D" w:rsidRPr="008902F2" w:rsidRDefault="00FF727D" w:rsidP="00931DEA">
            <w:pPr>
              <w:spacing w:after="0" w:line="240" w:lineRule="auto"/>
              <w:jc w:val="center"/>
              <w:rPr>
                <w:rFonts w:ascii="Times New Roman" w:hAnsi="Times New Roman"/>
                <w:color w:val="000000"/>
                <w:sz w:val="20"/>
                <w:szCs w:val="20"/>
              </w:rPr>
            </w:pPr>
          </w:p>
        </w:tc>
        <w:tc>
          <w:tcPr>
            <w:tcW w:w="779" w:type="pct"/>
            <w:tcBorders>
              <w:top w:val="nil"/>
              <w:left w:val="nil"/>
              <w:bottom w:val="single" w:sz="8" w:space="0" w:color="BFBFBF"/>
              <w:right w:val="single" w:sz="8" w:space="0" w:color="BFBFBF"/>
            </w:tcBorders>
            <w:shd w:val="clear" w:color="auto" w:fill="auto"/>
            <w:vAlign w:val="center"/>
          </w:tcPr>
          <w:p w14:paraId="7516D565" w14:textId="77777777" w:rsidR="00FF727D" w:rsidRPr="008902F2" w:rsidRDefault="00FF727D" w:rsidP="00931DEA">
            <w:pPr>
              <w:spacing w:after="0" w:line="240" w:lineRule="auto"/>
              <w:jc w:val="center"/>
              <w:rPr>
                <w:rFonts w:ascii="Times New Roman" w:hAnsi="Times New Roman"/>
                <w:b/>
                <w:color w:val="000000"/>
                <w:sz w:val="20"/>
                <w:szCs w:val="20"/>
              </w:rPr>
            </w:pPr>
          </w:p>
        </w:tc>
      </w:tr>
    </w:tbl>
    <w:p w14:paraId="3C102929" w14:textId="77777777" w:rsidR="00CB5826" w:rsidRPr="008902F2" w:rsidRDefault="359E1237" w:rsidP="00A86526">
      <w:pPr>
        <w:pStyle w:val="Balk2"/>
        <w:numPr>
          <w:ilvl w:val="1"/>
          <w:numId w:val="27"/>
        </w:numPr>
        <w:spacing w:after="240"/>
        <w:rPr>
          <w:rFonts w:ascii="Times New Roman" w:hAnsi="Times New Roman" w:cs="Times New Roman"/>
          <w:szCs w:val="22"/>
        </w:rPr>
      </w:pPr>
      <w:r w:rsidRPr="008902F2">
        <w:rPr>
          <w:rFonts w:ascii="Times New Roman" w:hAnsi="Times New Roman" w:cs="Times New Roman"/>
          <w:szCs w:val="22"/>
        </w:rPr>
        <w:t xml:space="preserve"> </w:t>
      </w:r>
      <w:bookmarkStart w:id="105" w:name="_Toc143113410"/>
      <w:r w:rsidRPr="008902F2">
        <w:rPr>
          <w:rFonts w:ascii="Times New Roman" w:hAnsi="Times New Roman" w:cs="Times New Roman"/>
          <w:szCs w:val="22"/>
        </w:rPr>
        <w:t>Oil Market Licensing Activities</w:t>
      </w:r>
      <w:bookmarkEnd w:id="104"/>
      <w:bookmarkEnd w:id="105"/>
    </w:p>
    <w:p w14:paraId="74A5313C" w14:textId="77777777" w:rsidR="00CB5826" w:rsidRPr="008902F2" w:rsidRDefault="00CB5826" w:rsidP="00CB5826">
      <w:pPr>
        <w:spacing w:after="0"/>
        <w:rPr>
          <w:rFonts w:ascii="Times New Roman" w:hAnsi="Times New Roman"/>
        </w:rPr>
      </w:pPr>
      <w:r w:rsidRPr="008902F2">
        <w:rPr>
          <w:rFonts w:ascii="Times New Roman" w:hAnsi="Times New Roman"/>
        </w:rPr>
        <w:t>Oil-related; refining, processing, mineral oil production, storage, transmission, free user and bunker activities and establishing and/or operating facilities for this purpose; It is mandatory to obtain a license for fuel distribution, transportation and dealership activities. The procedures and principles regarding the licenses in this regard are regulated in the Petroleum Market License Regulation. Licenses granted by the Authority according to their fields of activity; Refinery License, Operation License, Lubricant License, Storage License, Transmission License, Free User License, Export Delivery License, Distributor License, Transportation License, Dealership License.</w:t>
      </w:r>
      <w:bookmarkStart w:id="106" w:name="_Toc416447585"/>
      <w:bookmarkStart w:id="107" w:name="_Toc442441736"/>
    </w:p>
    <w:p w14:paraId="108EAA5F" w14:textId="77777777" w:rsidR="00686363" w:rsidRPr="008902F2" w:rsidRDefault="00873EA8" w:rsidP="00DC783D">
      <w:pPr>
        <w:pStyle w:val="Balk5"/>
        <w:jc w:val="center"/>
        <w:rPr>
          <w:rFonts w:ascii="Times New Roman" w:hAnsi="Times New Roman" w:cs="Times New Roman"/>
          <w:b/>
          <w:bCs/>
          <w:color w:val="000000" w:themeColor="text1"/>
        </w:rPr>
      </w:pPr>
      <w:bookmarkStart w:id="108" w:name="_Toc132713897"/>
      <w:r w:rsidRPr="008902F2">
        <w:rPr>
          <w:rStyle w:val="Gl"/>
          <w:rFonts w:ascii="Times New Roman" w:hAnsi="Times New Roman" w:cs="Times New Roman"/>
          <w:color w:val="000000" w:themeColor="text1"/>
        </w:rPr>
        <w:t>Table 3.7: License Transactions in the Petroleum Market in 2022 (Units)</w:t>
      </w:r>
      <w:bookmarkEnd w:id="108"/>
    </w:p>
    <w:tbl>
      <w:tblPr>
        <w:tblW w:w="9912" w:type="dxa"/>
        <w:tblLayout w:type="fixed"/>
        <w:tblCellMar>
          <w:left w:w="70" w:type="dxa"/>
          <w:right w:w="70" w:type="dxa"/>
        </w:tblCellMar>
        <w:tblLook w:val="04A0" w:firstRow="1" w:lastRow="0" w:firstColumn="1" w:lastColumn="0" w:noHBand="0" w:noVBand="1"/>
      </w:tblPr>
      <w:tblGrid>
        <w:gridCol w:w="1413"/>
        <w:gridCol w:w="1276"/>
        <w:gridCol w:w="992"/>
        <w:gridCol w:w="1427"/>
        <w:gridCol w:w="1145"/>
        <w:gridCol w:w="1417"/>
        <w:gridCol w:w="903"/>
        <w:gridCol w:w="1339"/>
      </w:tblGrid>
      <w:tr w:rsidR="00686363" w:rsidRPr="008902F2" w14:paraId="236861A6" w14:textId="77777777" w:rsidTr="00FC33F4">
        <w:trPr>
          <w:trHeight w:val="9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2C42B4C1"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25472033"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 Applications</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2E677226"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Granted</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07170213" w14:textId="7504ED0E"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w:t>
            </w:r>
            <w:r w:rsidR="00FC33F4" w:rsidRPr="008902F2">
              <w:rPr>
                <w:rFonts w:ascii="Times New Roman" w:eastAsia="Times New Roman" w:hAnsi="Times New Roman"/>
                <w:b/>
                <w:color w:val="FFFFFF"/>
              </w:rPr>
              <w:t xml:space="preserve"> </w:t>
            </w:r>
            <w:r w:rsidRPr="008902F2">
              <w:rPr>
                <w:rFonts w:ascii="Times New Roman" w:eastAsia="Times New Roman" w:hAnsi="Times New Roman"/>
                <w:b/>
                <w:color w:val="FFFFFF"/>
              </w:rPr>
              <w:t>Expired Licenses</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6982489A"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Revoked Licenses</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4F3194C9"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Amendments</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738A469"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8CD23A6" w14:textId="77777777" w:rsidR="00686363" w:rsidRPr="008902F2" w:rsidRDefault="00686363" w:rsidP="0068636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Term</w:t>
            </w:r>
          </w:p>
        </w:tc>
      </w:tr>
      <w:tr w:rsidR="00686363" w:rsidRPr="008902F2" w14:paraId="26A5C4EC"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D7DE80"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Dealership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BC4547"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845</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37EDB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802</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D7B1A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967</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470A0D"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7FF904"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1.629</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EB3AFA"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4.244</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8F7D41"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12.471</w:t>
            </w:r>
          </w:p>
        </w:tc>
      </w:tr>
      <w:tr w:rsidR="00686363" w:rsidRPr="008902F2" w14:paraId="7BCA83F9"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84BAF8"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Distributor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A90BE3"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3</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8E35E1"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999762"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3</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87E3D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6</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DE71A"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10</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B4CCBD"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23</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5C510C"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35</w:t>
            </w:r>
          </w:p>
        </w:tc>
      </w:tr>
      <w:tr w:rsidR="00686363" w:rsidRPr="008902F2" w14:paraId="1A78E980"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AA633"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Storage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1ECE4C"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F4B1BB"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4AAD78"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3</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40899A"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39EF0"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43</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E52AA1"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47</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2CABB4"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94</w:t>
            </w:r>
          </w:p>
        </w:tc>
      </w:tr>
      <w:tr w:rsidR="00686363" w:rsidRPr="008902F2" w14:paraId="49825CE8" w14:textId="77777777" w:rsidTr="00FC33F4">
        <w:trPr>
          <w:trHeight w:val="58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84AA6C"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Export Delivery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648C29"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5</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63D2B4"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CB5F43"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B21CA6"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FE5D4"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10</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FDD700"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25</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EB9DE1"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64</w:t>
            </w:r>
          </w:p>
        </w:tc>
      </w:tr>
      <w:tr w:rsidR="00686363" w:rsidRPr="008902F2" w14:paraId="560EBE53"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79229D"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Transmission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41064"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400BC5"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729E8"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3F4A41"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C3CC76"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5</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90736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5</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35D354"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33</w:t>
            </w:r>
          </w:p>
        </w:tc>
      </w:tr>
      <w:tr w:rsidR="00686363" w:rsidRPr="008902F2" w14:paraId="2B81FE21"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56EE9"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Processing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D71FBC"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A728AC"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B4C29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047F10"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865782"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7EE69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14</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F18D26"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13</w:t>
            </w:r>
          </w:p>
        </w:tc>
      </w:tr>
      <w:tr w:rsidR="00686363" w:rsidRPr="008902F2" w14:paraId="715DA568" w14:textId="77777777" w:rsidTr="00FC33F4">
        <w:trPr>
          <w:trHeight w:val="58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31A60"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Lubricant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BBEA4A"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6C8592"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830EAB"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10</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3A60A7"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CB3458"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88</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BB681B"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115</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66412A"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127</w:t>
            </w:r>
          </w:p>
        </w:tc>
      </w:tr>
      <w:tr w:rsidR="00686363" w:rsidRPr="008902F2" w14:paraId="1B449E36"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0D443C"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Refinery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C27B80"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6B226"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7C6CF4"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98C3B7"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46A7AE"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6</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B914C"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6</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9A48CF"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6</w:t>
            </w:r>
          </w:p>
        </w:tc>
      </w:tr>
      <w:tr w:rsidR="00686363" w:rsidRPr="008902F2" w14:paraId="6A60C0B3" w14:textId="77777777" w:rsidTr="00FC33F4">
        <w:trPr>
          <w:trHeight w:val="58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5D8CCE"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Free User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64D78"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4</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310F6F"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4</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B9483"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19A2F3"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42638"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73E586"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12</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182F7"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31</w:t>
            </w:r>
          </w:p>
        </w:tc>
      </w:tr>
      <w:tr w:rsidR="00686363" w:rsidRPr="008902F2" w14:paraId="72B780C8" w14:textId="77777777" w:rsidTr="00FC33F4">
        <w:trPr>
          <w:trHeight w:val="290"/>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20E8F8" w14:textId="77777777" w:rsidR="00686363" w:rsidRPr="008902F2" w:rsidRDefault="00686363" w:rsidP="00686363">
            <w:pPr>
              <w:spacing w:after="0" w:line="240" w:lineRule="auto"/>
              <w:jc w:val="left"/>
              <w:rPr>
                <w:rFonts w:ascii="Times New Roman" w:eastAsia="Times New Roman" w:hAnsi="Times New Roman"/>
                <w:color w:val="000000"/>
                <w:lang w:eastAsia="tr-TR"/>
              </w:rPr>
            </w:pPr>
            <w:r w:rsidRPr="008902F2">
              <w:rPr>
                <w:rFonts w:ascii="Times New Roman" w:eastAsia="Times New Roman" w:hAnsi="Times New Roman"/>
                <w:color w:val="000000"/>
              </w:rPr>
              <w:t>Transport License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B5E791"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16</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0116D1"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13</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2BF140"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16</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1AA89C"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0</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47A633"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19</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C2F13A" w14:textId="77777777" w:rsidR="00686363" w:rsidRPr="008902F2" w:rsidRDefault="00686363" w:rsidP="0068636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64</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DC3A13" w14:textId="77777777" w:rsidR="00686363" w:rsidRPr="008902F2" w:rsidRDefault="00686363" w:rsidP="00686363">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76</w:t>
            </w:r>
          </w:p>
        </w:tc>
      </w:tr>
      <w:tr w:rsidR="00686363" w:rsidRPr="008902F2" w14:paraId="08185EED" w14:textId="77777777" w:rsidTr="00FC33F4">
        <w:trPr>
          <w:trHeight w:val="501"/>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203AEF" w14:textId="77777777" w:rsidR="00686363" w:rsidRPr="008902F2" w:rsidRDefault="00686363" w:rsidP="00686363">
            <w:pPr>
              <w:spacing w:after="0" w:line="240" w:lineRule="auto"/>
              <w:jc w:val="left"/>
              <w:rPr>
                <w:rFonts w:ascii="Times New Roman" w:eastAsia="Times New Roman" w:hAnsi="Times New Roman"/>
                <w:b/>
                <w:bCs/>
                <w:color w:val="000000"/>
                <w:lang w:eastAsia="tr-TR"/>
              </w:rPr>
            </w:pPr>
            <w:r w:rsidRPr="008902F2">
              <w:rPr>
                <w:rFonts w:ascii="Times New Roman" w:eastAsia="Times New Roman" w:hAnsi="Times New Roman"/>
                <w:b/>
                <w:color w:val="000000"/>
              </w:rPr>
              <w:t>SUM</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09093BE5"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883</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30A9F9F9"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833</w:t>
            </w:r>
          </w:p>
        </w:tc>
        <w:tc>
          <w:tcPr>
            <w:tcW w:w="14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C0F8607"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1.011</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59003C7"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8</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04840BB7"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1.820</w:t>
            </w:r>
          </w:p>
        </w:tc>
        <w:tc>
          <w:tcPr>
            <w:tcW w:w="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48202421"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4.555</w:t>
            </w:r>
          </w:p>
        </w:tc>
        <w:tc>
          <w:tcPr>
            <w:tcW w:w="13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83B2976" w14:textId="77777777" w:rsidR="00686363" w:rsidRPr="008902F2" w:rsidRDefault="00686363" w:rsidP="00686363">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12.950</w:t>
            </w:r>
          </w:p>
        </w:tc>
      </w:tr>
    </w:tbl>
    <w:p w14:paraId="6DCB0340" w14:textId="77777777" w:rsidR="00CB5826" w:rsidRPr="008902F2" w:rsidRDefault="000A02ED" w:rsidP="00C466F8">
      <w:pPr>
        <w:pStyle w:val="Balk5"/>
        <w:jc w:val="center"/>
        <w:rPr>
          <w:rStyle w:val="Gl"/>
          <w:rFonts w:ascii="Times New Roman" w:hAnsi="Times New Roman" w:cs="Times New Roman"/>
          <w:color w:val="000000" w:themeColor="text1"/>
        </w:rPr>
      </w:pPr>
      <w:bookmarkStart w:id="109" w:name="_Toc416447588"/>
      <w:bookmarkStart w:id="110" w:name="_Toc442441738"/>
      <w:bookmarkStart w:id="111" w:name="_Toc132713898"/>
      <w:bookmarkEnd w:id="106"/>
      <w:bookmarkEnd w:id="107"/>
      <w:r w:rsidRPr="008902F2">
        <w:rPr>
          <w:rStyle w:val="Gl"/>
          <w:rFonts w:ascii="Times New Roman" w:hAnsi="Times New Roman" w:cs="Times New Roman"/>
          <w:color w:val="000000" w:themeColor="text1"/>
        </w:rPr>
        <w:lastRenderedPageBreak/>
        <w:t>Table 3.8: Licensed Refinery Facility Information as of End of 2022</w:t>
      </w:r>
      <w:bookmarkEnd w:id="109"/>
      <w:bookmarkEnd w:id="110"/>
      <w:bookmarkEnd w:id="111"/>
    </w:p>
    <w:tbl>
      <w:tblPr>
        <w:tblW w:w="4992"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188"/>
        <w:gridCol w:w="2219"/>
        <w:gridCol w:w="1857"/>
        <w:gridCol w:w="1631"/>
      </w:tblGrid>
      <w:tr w:rsidR="00547BB3" w:rsidRPr="008902F2" w14:paraId="6C9E843F" w14:textId="77777777" w:rsidTr="003F1300">
        <w:trPr>
          <w:trHeight w:val="592"/>
        </w:trPr>
        <w:tc>
          <w:tcPr>
            <w:tcW w:w="2173" w:type="pct"/>
            <w:shd w:val="clear" w:color="auto" w:fill="6E9ECA"/>
            <w:vAlign w:val="center"/>
            <w:hideMark/>
          </w:tcPr>
          <w:p w14:paraId="0D80D4A8" w14:textId="77777777" w:rsidR="00547BB3" w:rsidRPr="008902F2" w:rsidRDefault="00547BB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Licensee</w:t>
            </w:r>
          </w:p>
        </w:tc>
        <w:tc>
          <w:tcPr>
            <w:tcW w:w="952" w:type="pct"/>
            <w:shd w:val="clear" w:color="auto" w:fill="6E9ECA"/>
            <w:vAlign w:val="center"/>
            <w:hideMark/>
          </w:tcPr>
          <w:p w14:paraId="327D5758" w14:textId="77777777" w:rsidR="00547BB3" w:rsidRPr="008902F2" w:rsidRDefault="002A7E3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Facility Location</w:t>
            </w:r>
          </w:p>
        </w:tc>
        <w:tc>
          <w:tcPr>
            <w:tcW w:w="995" w:type="pct"/>
            <w:shd w:val="clear" w:color="auto" w:fill="6E9ECA"/>
            <w:vAlign w:val="center"/>
            <w:hideMark/>
          </w:tcPr>
          <w:p w14:paraId="218A55BC" w14:textId="77777777" w:rsidR="00547BB3" w:rsidRPr="008902F2" w:rsidRDefault="002A7E3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Crude Oil Processing Capacity (Tons/Year)</w:t>
            </w:r>
          </w:p>
        </w:tc>
        <w:tc>
          <w:tcPr>
            <w:tcW w:w="880" w:type="pct"/>
            <w:shd w:val="clear" w:color="auto" w:fill="6E9ECA"/>
            <w:vAlign w:val="center"/>
            <w:hideMark/>
          </w:tcPr>
          <w:p w14:paraId="266CCDEE" w14:textId="77777777" w:rsidR="00547BB3" w:rsidRPr="008902F2" w:rsidRDefault="002A7E33" w:rsidP="00547BB3">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Storage Capacity (m3)</w:t>
            </w:r>
          </w:p>
        </w:tc>
      </w:tr>
      <w:tr w:rsidR="00061190" w:rsidRPr="008902F2" w14:paraId="20AE0D14" w14:textId="77777777" w:rsidTr="003F1300">
        <w:trPr>
          <w:trHeight w:val="592"/>
        </w:trPr>
        <w:tc>
          <w:tcPr>
            <w:tcW w:w="2173" w:type="pct"/>
            <w:shd w:val="clear" w:color="auto" w:fill="auto"/>
            <w:vAlign w:val="center"/>
            <w:hideMark/>
          </w:tcPr>
          <w:p w14:paraId="46726C79" w14:textId="6F5E3A69" w:rsidR="00061190" w:rsidRPr="008902F2" w:rsidRDefault="2663E42E" w:rsidP="6F691FB8">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themeColor="text1"/>
              </w:rPr>
              <w:t xml:space="preserve">ERSAN PETROL INDUSTRY JOINT STOCK COMPANY </w:t>
            </w:r>
            <w:r w:rsidR="312B38C7" w:rsidRPr="008902F2">
              <w:rPr>
                <w:rFonts w:ascii="Times New Roman" w:eastAsia="Times New Roman" w:hAnsi="Times New Roman"/>
                <w:color w:val="000000" w:themeColor="text1"/>
              </w:rPr>
              <w:t>*</w:t>
            </w:r>
          </w:p>
        </w:tc>
        <w:tc>
          <w:tcPr>
            <w:tcW w:w="952" w:type="pct"/>
            <w:shd w:val="clear" w:color="auto" w:fill="auto"/>
            <w:vAlign w:val="center"/>
            <w:hideMark/>
          </w:tcPr>
          <w:p w14:paraId="53F2538C" w14:textId="77777777" w:rsidR="00061190" w:rsidRPr="008902F2" w:rsidRDefault="00061190" w:rsidP="00547BB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KAHRAMANMARAS</w:t>
            </w:r>
          </w:p>
        </w:tc>
        <w:tc>
          <w:tcPr>
            <w:tcW w:w="995" w:type="pct"/>
            <w:shd w:val="clear" w:color="auto" w:fill="auto"/>
            <w:vAlign w:val="center"/>
            <w:hideMark/>
          </w:tcPr>
          <w:p w14:paraId="426419E1"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1.400.000</w:t>
            </w:r>
          </w:p>
        </w:tc>
        <w:tc>
          <w:tcPr>
            <w:tcW w:w="880" w:type="pct"/>
            <w:shd w:val="clear" w:color="auto" w:fill="auto"/>
            <w:vAlign w:val="center"/>
            <w:hideMark/>
          </w:tcPr>
          <w:p w14:paraId="6DF7B9A8"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w:t>
            </w:r>
          </w:p>
        </w:tc>
      </w:tr>
      <w:tr w:rsidR="00061190" w:rsidRPr="008902F2" w14:paraId="718E052F" w14:textId="77777777" w:rsidTr="003F1300">
        <w:trPr>
          <w:trHeight w:val="533"/>
        </w:trPr>
        <w:tc>
          <w:tcPr>
            <w:tcW w:w="2173" w:type="pct"/>
            <w:shd w:val="clear" w:color="auto" w:fill="auto"/>
            <w:vAlign w:val="center"/>
            <w:hideMark/>
          </w:tcPr>
          <w:p w14:paraId="3C3B38D8" w14:textId="77777777" w:rsidR="00061190" w:rsidRPr="008902F2" w:rsidRDefault="00061190" w:rsidP="00547BB3">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STAR REFINERY JOINT STOCK COMPANY</w:t>
            </w:r>
          </w:p>
        </w:tc>
        <w:tc>
          <w:tcPr>
            <w:tcW w:w="952" w:type="pct"/>
            <w:shd w:val="clear" w:color="auto" w:fill="auto"/>
            <w:vAlign w:val="center"/>
            <w:hideMark/>
          </w:tcPr>
          <w:p w14:paraId="117BA3E2" w14:textId="77777777" w:rsidR="00061190" w:rsidRPr="008902F2" w:rsidRDefault="00061190" w:rsidP="00547BB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IZMIR</w:t>
            </w:r>
          </w:p>
        </w:tc>
        <w:tc>
          <w:tcPr>
            <w:tcW w:w="995" w:type="pct"/>
            <w:shd w:val="clear" w:color="auto" w:fill="auto"/>
            <w:vAlign w:val="center"/>
            <w:hideMark/>
          </w:tcPr>
          <w:p w14:paraId="4E0D1B56"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13.000.000</w:t>
            </w:r>
          </w:p>
        </w:tc>
        <w:tc>
          <w:tcPr>
            <w:tcW w:w="880" w:type="pct"/>
            <w:shd w:val="clear" w:color="auto" w:fill="auto"/>
            <w:vAlign w:val="center"/>
            <w:hideMark/>
          </w:tcPr>
          <w:p w14:paraId="328ECBE7" w14:textId="77777777" w:rsidR="00061190" w:rsidRPr="008902F2" w:rsidRDefault="00CB3CA6"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2.336.975</w:t>
            </w:r>
          </w:p>
        </w:tc>
      </w:tr>
      <w:tr w:rsidR="00061190" w:rsidRPr="008902F2" w14:paraId="35E111CE" w14:textId="77777777" w:rsidTr="003F1300">
        <w:trPr>
          <w:trHeight w:val="592"/>
        </w:trPr>
        <w:tc>
          <w:tcPr>
            <w:tcW w:w="2173" w:type="pct"/>
            <w:shd w:val="clear" w:color="auto" w:fill="auto"/>
            <w:vAlign w:val="center"/>
            <w:hideMark/>
          </w:tcPr>
          <w:p w14:paraId="272FA6A4" w14:textId="56FCDB56" w:rsidR="00061190" w:rsidRPr="008902F2" w:rsidRDefault="00061190" w:rsidP="00547BB3">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TUPRAS, T</w:t>
            </w:r>
            <w:r w:rsidR="00454819" w:rsidRPr="008902F2">
              <w:rPr>
                <w:rFonts w:ascii="Times New Roman" w:eastAsia="Times New Roman" w:hAnsi="Times New Roman"/>
                <w:color w:val="000000"/>
              </w:rPr>
              <w:t>ÜRKİYE</w:t>
            </w:r>
            <w:r w:rsidRPr="008902F2">
              <w:rPr>
                <w:rFonts w:ascii="Times New Roman" w:eastAsia="Times New Roman" w:hAnsi="Times New Roman"/>
                <w:color w:val="000000"/>
              </w:rPr>
              <w:t xml:space="preserve"> PETROLEUM REFINERIES JOINT STOCK COMPANY</w:t>
            </w:r>
          </w:p>
        </w:tc>
        <w:tc>
          <w:tcPr>
            <w:tcW w:w="952" w:type="pct"/>
            <w:shd w:val="clear" w:color="auto" w:fill="auto"/>
            <w:vAlign w:val="center"/>
            <w:hideMark/>
          </w:tcPr>
          <w:p w14:paraId="79171824" w14:textId="77777777" w:rsidR="00061190" w:rsidRPr="008902F2" w:rsidRDefault="00061190" w:rsidP="00547BB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IZMIR</w:t>
            </w:r>
          </w:p>
        </w:tc>
        <w:tc>
          <w:tcPr>
            <w:tcW w:w="995" w:type="pct"/>
            <w:shd w:val="clear" w:color="auto" w:fill="auto"/>
            <w:vAlign w:val="center"/>
            <w:hideMark/>
          </w:tcPr>
          <w:p w14:paraId="5F9C4961" w14:textId="77777777" w:rsidR="00061190" w:rsidRPr="008902F2" w:rsidRDefault="00D74BC9"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11.900.000</w:t>
            </w:r>
          </w:p>
        </w:tc>
        <w:tc>
          <w:tcPr>
            <w:tcW w:w="880" w:type="pct"/>
            <w:shd w:val="clear" w:color="auto" w:fill="auto"/>
            <w:vAlign w:val="center"/>
            <w:hideMark/>
          </w:tcPr>
          <w:p w14:paraId="78025373"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2.508.219</w:t>
            </w:r>
          </w:p>
        </w:tc>
      </w:tr>
      <w:tr w:rsidR="00061190" w:rsidRPr="008902F2" w14:paraId="446C6BAE" w14:textId="77777777" w:rsidTr="003F1300">
        <w:trPr>
          <w:trHeight w:val="592"/>
        </w:trPr>
        <w:tc>
          <w:tcPr>
            <w:tcW w:w="2173" w:type="pct"/>
            <w:shd w:val="clear" w:color="auto" w:fill="auto"/>
            <w:vAlign w:val="center"/>
            <w:hideMark/>
          </w:tcPr>
          <w:p w14:paraId="18820127" w14:textId="39F21B3F" w:rsidR="00061190" w:rsidRPr="008902F2" w:rsidRDefault="00061190" w:rsidP="00547BB3">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TUPRAS, T</w:t>
            </w:r>
            <w:r w:rsidR="00454819" w:rsidRPr="008902F2">
              <w:rPr>
                <w:rFonts w:ascii="Times New Roman" w:eastAsia="Times New Roman" w:hAnsi="Times New Roman"/>
                <w:color w:val="000000"/>
              </w:rPr>
              <w:t>ÜRKİYE</w:t>
            </w:r>
            <w:r w:rsidRPr="008902F2">
              <w:rPr>
                <w:rFonts w:ascii="Times New Roman" w:eastAsia="Times New Roman" w:hAnsi="Times New Roman"/>
                <w:color w:val="000000"/>
              </w:rPr>
              <w:t xml:space="preserve"> PETROLEUM REFINERIES JOINT STOCK COMPANY</w:t>
            </w:r>
          </w:p>
        </w:tc>
        <w:tc>
          <w:tcPr>
            <w:tcW w:w="952" w:type="pct"/>
            <w:shd w:val="clear" w:color="auto" w:fill="auto"/>
            <w:vAlign w:val="center"/>
            <w:hideMark/>
          </w:tcPr>
          <w:p w14:paraId="31CA1388" w14:textId="20221E3B" w:rsidR="00061190" w:rsidRPr="008902F2" w:rsidRDefault="312B38C7" w:rsidP="6F691FB8">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themeColor="text1"/>
              </w:rPr>
              <w:t>KOCAELI</w:t>
            </w:r>
          </w:p>
        </w:tc>
        <w:tc>
          <w:tcPr>
            <w:tcW w:w="995" w:type="pct"/>
            <w:shd w:val="clear" w:color="auto" w:fill="auto"/>
            <w:vAlign w:val="center"/>
            <w:hideMark/>
          </w:tcPr>
          <w:p w14:paraId="333FEF09"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11.300.000</w:t>
            </w:r>
          </w:p>
        </w:tc>
        <w:tc>
          <w:tcPr>
            <w:tcW w:w="880" w:type="pct"/>
            <w:shd w:val="clear" w:color="auto" w:fill="auto"/>
            <w:vAlign w:val="center"/>
            <w:hideMark/>
          </w:tcPr>
          <w:p w14:paraId="17ECC8FD" w14:textId="77777777" w:rsidR="00061190" w:rsidRPr="008902F2" w:rsidRDefault="00061190" w:rsidP="00D74BC9">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2.998.552</w:t>
            </w:r>
          </w:p>
        </w:tc>
      </w:tr>
      <w:tr w:rsidR="00061190" w:rsidRPr="008902F2" w14:paraId="436CBAA1" w14:textId="77777777" w:rsidTr="003F1300">
        <w:trPr>
          <w:trHeight w:val="592"/>
        </w:trPr>
        <w:tc>
          <w:tcPr>
            <w:tcW w:w="2173" w:type="pct"/>
            <w:shd w:val="clear" w:color="auto" w:fill="auto"/>
            <w:vAlign w:val="center"/>
            <w:hideMark/>
          </w:tcPr>
          <w:p w14:paraId="74C81F41" w14:textId="52B32443" w:rsidR="00061190" w:rsidRPr="008902F2" w:rsidRDefault="00061190" w:rsidP="00547BB3">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TUPRAS, T</w:t>
            </w:r>
            <w:r w:rsidR="00454819" w:rsidRPr="008902F2">
              <w:rPr>
                <w:rFonts w:ascii="Times New Roman" w:eastAsia="Times New Roman" w:hAnsi="Times New Roman"/>
                <w:color w:val="000000"/>
              </w:rPr>
              <w:t>ÜRKİYE</w:t>
            </w:r>
            <w:r w:rsidRPr="008902F2">
              <w:rPr>
                <w:rFonts w:ascii="Times New Roman" w:eastAsia="Times New Roman" w:hAnsi="Times New Roman"/>
                <w:color w:val="000000"/>
              </w:rPr>
              <w:t xml:space="preserve"> PETROLEUM REFINERIES JOINT STOCK COMPANY</w:t>
            </w:r>
          </w:p>
        </w:tc>
        <w:tc>
          <w:tcPr>
            <w:tcW w:w="952" w:type="pct"/>
            <w:shd w:val="clear" w:color="auto" w:fill="auto"/>
            <w:vAlign w:val="center"/>
            <w:hideMark/>
          </w:tcPr>
          <w:p w14:paraId="49CFD70C" w14:textId="77777777" w:rsidR="00061190" w:rsidRPr="008902F2" w:rsidRDefault="00061190" w:rsidP="00547BB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KIRIKKALE</w:t>
            </w:r>
          </w:p>
        </w:tc>
        <w:tc>
          <w:tcPr>
            <w:tcW w:w="995" w:type="pct"/>
            <w:shd w:val="clear" w:color="auto" w:fill="auto"/>
            <w:vAlign w:val="center"/>
            <w:hideMark/>
          </w:tcPr>
          <w:p w14:paraId="1C3E7C48"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5.400.000</w:t>
            </w:r>
          </w:p>
        </w:tc>
        <w:tc>
          <w:tcPr>
            <w:tcW w:w="880" w:type="pct"/>
            <w:shd w:val="clear" w:color="auto" w:fill="auto"/>
            <w:vAlign w:val="center"/>
            <w:hideMark/>
          </w:tcPr>
          <w:p w14:paraId="4EEF24A1" w14:textId="77777777" w:rsidR="00061190" w:rsidRPr="008902F2" w:rsidRDefault="00061190" w:rsidP="00D74BC9">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1.265.587</w:t>
            </w:r>
          </w:p>
        </w:tc>
      </w:tr>
      <w:tr w:rsidR="00061190" w:rsidRPr="008902F2" w14:paraId="0ECB5C62" w14:textId="77777777" w:rsidTr="003F1300">
        <w:trPr>
          <w:trHeight w:val="592"/>
        </w:trPr>
        <w:tc>
          <w:tcPr>
            <w:tcW w:w="2173" w:type="pct"/>
            <w:shd w:val="clear" w:color="auto" w:fill="auto"/>
            <w:vAlign w:val="center"/>
            <w:hideMark/>
          </w:tcPr>
          <w:p w14:paraId="5DDC957B" w14:textId="160CEB8B" w:rsidR="00061190" w:rsidRPr="008902F2" w:rsidRDefault="00061190" w:rsidP="00547BB3">
            <w:pPr>
              <w:spacing w:after="0" w:line="240" w:lineRule="auto"/>
              <w:rPr>
                <w:rFonts w:ascii="Times New Roman" w:eastAsia="Times New Roman" w:hAnsi="Times New Roman"/>
                <w:color w:val="000000"/>
                <w:lang w:eastAsia="tr-TR"/>
              </w:rPr>
            </w:pPr>
            <w:r w:rsidRPr="008902F2">
              <w:rPr>
                <w:rFonts w:ascii="Times New Roman" w:eastAsia="Times New Roman" w:hAnsi="Times New Roman"/>
                <w:color w:val="000000"/>
              </w:rPr>
              <w:t>TUPRAS, T</w:t>
            </w:r>
            <w:r w:rsidR="00454819" w:rsidRPr="008902F2">
              <w:rPr>
                <w:rFonts w:ascii="Times New Roman" w:eastAsia="Times New Roman" w:hAnsi="Times New Roman"/>
                <w:color w:val="000000"/>
              </w:rPr>
              <w:t>ÜRKİYE</w:t>
            </w:r>
            <w:r w:rsidRPr="008902F2">
              <w:rPr>
                <w:rFonts w:ascii="Times New Roman" w:eastAsia="Times New Roman" w:hAnsi="Times New Roman"/>
                <w:color w:val="000000"/>
              </w:rPr>
              <w:t xml:space="preserve"> PETROLEUM REFINERIES JOINT STOCK COMPANY</w:t>
            </w:r>
          </w:p>
        </w:tc>
        <w:tc>
          <w:tcPr>
            <w:tcW w:w="952" w:type="pct"/>
            <w:shd w:val="clear" w:color="auto" w:fill="auto"/>
            <w:vAlign w:val="center"/>
            <w:hideMark/>
          </w:tcPr>
          <w:p w14:paraId="24A98F87" w14:textId="77777777" w:rsidR="00061190" w:rsidRPr="008902F2" w:rsidRDefault="00061190" w:rsidP="00547BB3">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BATMAN</w:t>
            </w:r>
          </w:p>
        </w:tc>
        <w:tc>
          <w:tcPr>
            <w:tcW w:w="995" w:type="pct"/>
            <w:shd w:val="clear" w:color="auto" w:fill="auto"/>
            <w:vAlign w:val="center"/>
            <w:hideMark/>
          </w:tcPr>
          <w:p w14:paraId="20120C7E"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1.400.000</w:t>
            </w:r>
          </w:p>
        </w:tc>
        <w:tc>
          <w:tcPr>
            <w:tcW w:w="880" w:type="pct"/>
            <w:shd w:val="clear" w:color="auto" w:fill="auto"/>
            <w:vAlign w:val="center"/>
            <w:hideMark/>
          </w:tcPr>
          <w:p w14:paraId="0589663D" w14:textId="77777777" w:rsidR="00061190" w:rsidRPr="008902F2" w:rsidRDefault="00061190" w:rsidP="00547BB3">
            <w:pPr>
              <w:spacing w:after="0" w:line="240" w:lineRule="auto"/>
              <w:jc w:val="right"/>
              <w:rPr>
                <w:rFonts w:ascii="Times New Roman" w:eastAsia="Times New Roman" w:hAnsi="Times New Roman"/>
                <w:color w:val="000000"/>
                <w:lang w:eastAsia="tr-TR"/>
              </w:rPr>
            </w:pPr>
            <w:r w:rsidRPr="008902F2">
              <w:rPr>
                <w:rFonts w:ascii="Times New Roman" w:eastAsia="Times New Roman" w:hAnsi="Times New Roman"/>
                <w:color w:val="000000"/>
              </w:rPr>
              <w:t>299.613</w:t>
            </w:r>
          </w:p>
        </w:tc>
      </w:tr>
    </w:tbl>
    <w:p w14:paraId="3EBEB319" w14:textId="77777777" w:rsidR="002D1BFD" w:rsidRPr="008902F2" w:rsidRDefault="00D71C1C" w:rsidP="005E39D4">
      <w:pPr>
        <w:spacing w:after="0"/>
        <w:rPr>
          <w:rFonts w:ascii="Times New Roman" w:hAnsi="Times New Roman"/>
          <w:color w:val="000000" w:themeColor="text1"/>
          <w:sz w:val="20"/>
          <w:szCs w:val="20"/>
        </w:rPr>
      </w:pPr>
      <w:r w:rsidRPr="008902F2">
        <w:rPr>
          <w:rFonts w:ascii="Times New Roman" w:hAnsi="Times New Roman"/>
          <w:color w:val="000000" w:themeColor="text1"/>
          <w:sz w:val="20"/>
          <w:szCs w:val="20"/>
        </w:rPr>
        <w:t xml:space="preserve">* </w:t>
      </w:r>
      <w:r w:rsidRPr="008902F2">
        <w:rPr>
          <w:rFonts w:ascii="Times New Roman" w:hAnsi="Times New Roman"/>
          <w:i/>
          <w:color w:val="000000" w:themeColor="text1"/>
          <w:sz w:val="20"/>
          <w:szCs w:val="20"/>
        </w:rPr>
        <w:t>The facility is not yet operational</w:t>
      </w:r>
      <w:r w:rsidRPr="008902F2">
        <w:rPr>
          <w:rFonts w:ascii="Times New Roman" w:hAnsi="Times New Roman"/>
          <w:color w:val="000000" w:themeColor="text1"/>
          <w:sz w:val="20"/>
          <w:szCs w:val="20"/>
        </w:rPr>
        <w:t>.</w:t>
      </w:r>
    </w:p>
    <w:p w14:paraId="0BDDEA17" w14:textId="77777777" w:rsidR="00D74BC9" w:rsidRPr="008902F2" w:rsidRDefault="002D1BFD">
      <w:pPr>
        <w:jc w:val="left"/>
        <w:rPr>
          <w:rFonts w:ascii="Times New Roman" w:hAnsi="Times New Roman"/>
          <w:color w:val="000000" w:themeColor="text1"/>
          <w:sz w:val="20"/>
          <w:szCs w:val="20"/>
        </w:rPr>
      </w:pPr>
      <w:r w:rsidRPr="008902F2">
        <w:rPr>
          <w:rFonts w:ascii="Times New Roman" w:hAnsi="Times New Roman"/>
          <w:color w:val="000000" w:themeColor="text1"/>
          <w:sz w:val="20"/>
          <w:szCs w:val="20"/>
        </w:rPr>
        <w:br w:type="page"/>
      </w:r>
    </w:p>
    <w:p w14:paraId="2A8B3BFE" w14:textId="77777777" w:rsidR="00873EA8" w:rsidRPr="008902F2" w:rsidRDefault="00873EA8" w:rsidP="00873EA8">
      <w:pPr>
        <w:pStyle w:val="Balk5"/>
        <w:jc w:val="center"/>
        <w:rPr>
          <w:rStyle w:val="Gl"/>
          <w:rFonts w:ascii="Times New Roman" w:hAnsi="Times New Roman" w:cs="Times New Roman"/>
          <w:color w:val="000000" w:themeColor="text1"/>
        </w:rPr>
      </w:pPr>
      <w:bookmarkStart w:id="112" w:name="_Toc132713899"/>
      <w:bookmarkStart w:id="113" w:name="_Toc416447589"/>
      <w:bookmarkStart w:id="114" w:name="_Toc442441739"/>
      <w:r w:rsidRPr="008902F2">
        <w:rPr>
          <w:rStyle w:val="Gl"/>
          <w:rFonts w:ascii="Times New Roman" w:hAnsi="Times New Roman" w:cs="Times New Roman"/>
          <w:color w:val="000000" w:themeColor="text1"/>
        </w:rPr>
        <w:lastRenderedPageBreak/>
        <w:t>Table 3.9: Petroleum Market Storage License Information as of the End of 2022</w:t>
      </w:r>
      <w:bookmarkEnd w:id="112"/>
    </w:p>
    <w:tbl>
      <w:tblPr>
        <w:tblW w:w="8300" w:type="dxa"/>
        <w:jc w:val="center"/>
        <w:tblCellMar>
          <w:left w:w="70" w:type="dxa"/>
          <w:right w:w="70" w:type="dxa"/>
        </w:tblCellMar>
        <w:tblLook w:val="04A0" w:firstRow="1" w:lastRow="0" w:firstColumn="1" w:lastColumn="0" w:noHBand="0" w:noVBand="1"/>
      </w:tblPr>
      <w:tblGrid>
        <w:gridCol w:w="2140"/>
        <w:gridCol w:w="2440"/>
        <w:gridCol w:w="3720"/>
      </w:tblGrid>
      <w:tr w:rsidR="00873EA8" w:rsidRPr="008902F2" w14:paraId="4F1D391E" w14:textId="77777777" w:rsidTr="00FC33F4">
        <w:trPr>
          <w:trHeight w:val="580"/>
          <w:tblHeader/>
          <w:jc w:val="center"/>
        </w:trPr>
        <w:tc>
          <w:tcPr>
            <w:tcW w:w="2140" w:type="dxa"/>
            <w:tcBorders>
              <w:top w:val="nil"/>
              <w:left w:val="single" w:sz="4" w:space="0" w:color="4F81BD" w:themeColor="accent1"/>
              <w:bottom w:val="single" w:sz="4" w:space="0" w:color="BFBFBF" w:themeColor="background1" w:themeShade="BF"/>
              <w:right w:val="single" w:sz="4" w:space="0" w:color="D3D3D3"/>
            </w:tcBorders>
            <w:shd w:val="clear" w:color="auto" w:fill="6E9ECA"/>
            <w:vAlign w:val="center"/>
            <w:hideMark/>
          </w:tcPr>
          <w:p w14:paraId="29CCDB76" w14:textId="77777777" w:rsidR="00873EA8" w:rsidRPr="008902F2" w:rsidRDefault="00873EA8" w:rsidP="002D4D82">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Province of Facility</w:t>
            </w:r>
          </w:p>
        </w:tc>
        <w:tc>
          <w:tcPr>
            <w:tcW w:w="2440" w:type="dxa"/>
            <w:tcBorders>
              <w:top w:val="nil"/>
              <w:left w:val="nil"/>
              <w:bottom w:val="single" w:sz="4" w:space="0" w:color="BFBFBF" w:themeColor="background1" w:themeShade="BF"/>
              <w:right w:val="single" w:sz="4" w:space="0" w:color="D3D3D3"/>
            </w:tcBorders>
            <w:shd w:val="clear" w:color="auto" w:fill="6E9ECA"/>
            <w:vAlign w:val="center"/>
            <w:hideMark/>
          </w:tcPr>
          <w:p w14:paraId="15899FCA" w14:textId="77777777" w:rsidR="00873EA8" w:rsidRPr="008902F2" w:rsidRDefault="00873EA8" w:rsidP="002D4D82">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Total Capacity (m3)</w:t>
            </w:r>
          </w:p>
        </w:tc>
        <w:tc>
          <w:tcPr>
            <w:tcW w:w="3720" w:type="dxa"/>
            <w:tcBorders>
              <w:top w:val="nil"/>
              <w:left w:val="nil"/>
              <w:bottom w:val="single" w:sz="4" w:space="0" w:color="BFBFBF" w:themeColor="background1" w:themeShade="BF"/>
              <w:right w:val="single" w:sz="4" w:space="0" w:color="4F81BD" w:themeColor="accent1"/>
            </w:tcBorders>
            <w:shd w:val="clear" w:color="auto" w:fill="6E9ECA"/>
            <w:vAlign w:val="center"/>
            <w:hideMark/>
          </w:tcPr>
          <w:p w14:paraId="689ABE11" w14:textId="77777777" w:rsidR="00873EA8" w:rsidRPr="008902F2" w:rsidRDefault="00873EA8" w:rsidP="002D4D82">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Share of Total Storage Capacity (%)</w:t>
            </w:r>
          </w:p>
        </w:tc>
      </w:tr>
      <w:tr w:rsidR="00873EA8" w:rsidRPr="008902F2" w14:paraId="5BA44966"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ECFB5D" w14:textId="7EBC9CA5"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Adana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F04DC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2.918,00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F95CB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0,06</w:t>
            </w:r>
          </w:p>
        </w:tc>
      </w:tr>
      <w:tr w:rsidR="00873EA8" w:rsidRPr="008902F2" w14:paraId="0E47EDDC"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5DCA45" w14:textId="33CE2BFC"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Adıyaman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A2F7F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C6BAC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4A6F14EC"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99A034" w14:textId="5A829CBD"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Ağrı</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DDB13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4B5C1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08D53A3B"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FBCBB8" w14:textId="497F40A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Amasya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876C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50,00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B4C50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005C2E95"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E8F235" w14:textId="13E39435"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Ankara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8B27E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43.719,00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186D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0,78</w:t>
            </w:r>
          </w:p>
        </w:tc>
      </w:tr>
      <w:tr w:rsidR="00873EA8" w:rsidRPr="008902F2" w14:paraId="392D7A60"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7CA349" w14:textId="1257E41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Antalya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1D72B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388.945,40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5AC06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6,92</w:t>
            </w:r>
          </w:p>
        </w:tc>
      </w:tr>
      <w:tr w:rsidR="00873EA8" w:rsidRPr="008902F2" w14:paraId="3768EDF2"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3B0A57" w14:textId="7C0CC1DA"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Artvin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DC30EC"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1.000,00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67DBE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0,02</w:t>
            </w:r>
          </w:p>
        </w:tc>
      </w:tr>
      <w:tr w:rsidR="00873EA8" w:rsidRPr="008902F2" w14:paraId="420BAA5C"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8ECCFA" w14:textId="051AE934"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Aydın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974DA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AB80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75D27A27"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944998" w14:textId="10D80B57"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Balıkesir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13B4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FFA4B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5B1D2E8E"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0F2217" w14:textId="5002811E"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Batman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F686A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60F24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34E893C0"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49113E" w14:textId="367B4301"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Bingöl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D074D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6D7CE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5686A18D"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A03B3C" w14:textId="627D787A"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Bursa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C7BBB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B13C1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3FEDD20"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7E3EBA" w14:textId="1F34CCC6"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Çanakkale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4755F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13.669,27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E85E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0,24</w:t>
            </w:r>
          </w:p>
        </w:tc>
      </w:tr>
      <w:tr w:rsidR="00873EA8" w:rsidRPr="008902F2" w14:paraId="620BFA8D"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92B457" w14:textId="13C792DE"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Denizli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415C8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81F6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3CBA73DC"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BA0D8C" w14:textId="1A38957D"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Diyarbakır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CB81F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9.256,00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BC39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0,16</w:t>
            </w:r>
          </w:p>
        </w:tc>
      </w:tr>
      <w:tr w:rsidR="00873EA8" w:rsidRPr="008902F2" w14:paraId="4C46B393"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7B9B0B" w14:textId="2A24A911"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Elazığ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12DA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160,00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38A89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6CC90568"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7BFB13" w14:textId="60CB3A5E"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Erzincan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1C54B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115691"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6B631ACF"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7CAAED" w14:textId="47A6613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Erzurum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4E3F7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4.753,00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C223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0,08</w:t>
            </w:r>
          </w:p>
        </w:tc>
      </w:tr>
      <w:tr w:rsidR="00873EA8" w:rsidRPr="008902F2" w14:paraId="5308EC33"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91BC95" w14:textId="73971551"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Gaziantep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CA548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1.277,00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47C5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0,02</w:t>
            </w:r>
          </w:p>
        </w:tc>
      </w:tr>
      <w:tr w:rsidR="00873EA8" w:rsidRPr="008902F2" w14:paraId="5BD67F03"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C2E60A" w14:textId="24D5AF08"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Giresun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819AB"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43.130,00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F4EB8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0,77</w:t>
            </w:r>
          </w:p>
        </w:tc>
      </w:tr>
      <w:tr w:rsidR="00873EA8" w:rsidRPr="008902F2" w14:paraId="6D437A8B"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588B12" w14:textId="40FFF6D9"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Hakkari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67CE5B"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94021C"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4B609280"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D99FCD" w14:textId="6E87AAF4"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Hatay</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E7ADC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249.405,00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14B31"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4,44</w:t>
            </w:r>
          </w:p>
        </w:tc>
      </w:tr>
      <w:tr w:rsidR="00873EA8" w:rsidRPr="008902F2" w14:paraId="3EC1BC06"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863F25" w14:textId="41824BC9"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Iğdır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4EDBB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ACD3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CDEC9B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088B0E" w14:textId="2DB4B2DF"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Isparta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E9F80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433,00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43D58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0,01</w:t>
            </w:r>
          </w:p>
        </w:tc>
      </w:tr>
      <w:tr w:rsidR="00873EA8" w:rsidRPr="008902F2" w14:paraId="7B8985A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BC5DF5" w14:textId="7225CEFE"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İstanbul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37BCA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441.044,03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FCC23"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7,85</w:t>
            </w:r>
          </w:p>
        </w:tc>
      </w:tr>
      <w:tr w:rsidR="00873EA8" w:rsidRPr="008902F2" w14:paraId="5EDDF412"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E2EDEE" w14:textId="40549E7E"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İzmir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390C6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461.359,16</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DBE511"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8,22</w:t>
            </w:r>
          </w:p>
        </w:tc>
      </w:tr>
      <w:tr w:rsidR="00873EA8" w:rsidRPr="008902F2" w14:paraId="109169DA"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292EA7" w14:textId="07164623"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Kahramanmaraş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5A25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5EC4E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71A0BDA4"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417B61" w14:textId="3EB22E54"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Kars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4E105D"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5568B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1DCBCC2F"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91BD7C" w14:textId="51306A1A"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Kastamonu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4A877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88C63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10E0983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39472A" w14:textId="5490C1EA"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Kayseri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0DBD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1.013,00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8F2DA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0,02</w:t>
            </w:r>
          </w:p>
        </w:tc>
      </w:tr>
      <w:tr w:rsidR="00873EA8" w:rsidRPr="008902F2" w14:paraId="5DA29604"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2296A9" w14:textId="3B517335"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Kırıkkale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9E22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142.925,68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5C5B1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2,55</w:t>
            </w:r>
          </w:p>
        </w:tc>
      </w:tr>
      <w:tr w:rsidR="00873EA8" w:rsidRPr="008902F2" w14:paraId="79EC20D5"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70FC0A" w14:textId="5D250E1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Kocaeli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3F71E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760.487,14</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B69FAC"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13,53</w:t>
            </w:r>
          </w:p>
        </w:tc>
      </w:tr>
      <w:tr w:rsidR="00873EA8" w:rsidRPr="008902F2" w14:paraId="46D415C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C9BE9E" w14:textId="4A1696E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Konya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EEB92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254,00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311801"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108AB64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E72DD3" w14:textId="60FCE94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Kütahya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D2C91B"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98B91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50F01F6"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A64C13D" w14:textId="637DFEEA"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Malatya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B71A7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5.030,00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E3060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0,09</w:t>
            </w:r>
          </w:p>
        </w:tc>
      </w:tr>
      <w:tr w:rsidR="00873EA8" w:rsidRPr="008902F2" w14:paraId="09FBFA7C"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021134" w14:textId="0191889C"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Mardin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71D55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F4C0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4162DD88"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B3769A" w14:textId="7880BC13"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Mersin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F7F75B"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1.830.666,22</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8FB7D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32,57</w:t>
            </w:r>
          </w:p>
        </w:tc>
      </w:tr>
      <w:tr w:rsidR="00873EA8" w:rsidRPr="008902F2" w14:paraId="2167B35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7BEBE7" w14:textId="36E822F9"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Muğla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BAAB8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22.721,13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3C46A8"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0,40</w:t>
            </w:r>
          </w:p>
        </w:tc>
      </w:tr>
      <w:tr w:rsidR="00873EA8" w:rsidRPr="008902F2" w14:paraId="34DE270F"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B76E2C" w14:textId="46A2CF0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Muş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A95236"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711DA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1D7CF33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5CF3E6" w14:textId="399FCAFD"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Nevşehir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78FA8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1.091,00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4BA2AB"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0,02</w:t>
            </w:r>
          </w:p>
        </w:tc>
      </w:tr>
      <w:tr w:rsidR="00873EA8" w:rsidRPr="008902F2" w14:paraId="4E375803"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30B05C" w14:textId="576E7DBF"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Ordu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15930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FCA75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74C8CB4"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F74ECB" w14:textId="1F7B5656"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Samsun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262293"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193.630,33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FF4B3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3,45</w:t>
            </w:r>
          </w:p>
        </w:tc>
      </w:tr>
      <w:tr w:rsidR="00873EA8" w:rsidRPr="008902F2" w14:paraId="34519698"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722F1E" w14:textId="44A625C5"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Siirt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C70869"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278DE5"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3F652668"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2F1772" w14:textId="6FDD464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lastRenderedPageBreak/>
              <w:t>Sinop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8336A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CE8523"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567C262B"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385D30" w14:textId="366F38C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Sivas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19F84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41DD8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02EF1F27"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FBCA03" w14:textId="474DDBA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Şanlıurfa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D06E8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98,00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3EABD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0FEAC4BB"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DA5A18" w14:textId="48F6E373"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Şırnak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A1CE32"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61D2F3"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D5A1A35"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46A48D" w14:textId="35195560"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Tekirdağ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C5FE1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854.361,70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1443D0"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15,20</w:t>
            </w:r>
          </w:p>
        </w:tc>
      </w:tr>
      <w:tr w:rsidR="00873EA8" w:rsidRPr="008902F2" w14:paraId="74B6CA69"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FE6195" w14:textId="7B4802E1"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Tokat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71FA9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73B36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0DE8B5EF"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485653" w14:textId="5ECCAB7C"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Trabzon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CD354"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145.606,49</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B93C6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2,59</w:t>
            </w:r>
          </w:p>
        </w:tc>
      </w:tr>
      <w:tr w:rsidR="00873EA8" w:rsidRPr="008902F2" w14:paraId="74D627D1"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EEA382" w14:textId="319C7CCD"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Uşak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08A2C7"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BE26FE"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22080FCA"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C2BAE1" w14:textId="6DB91E31"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Van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AE60B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600,00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526FA"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0,01</w:t>
            </w:r>
          </w:p>
        </w:tc>
      </w:tr>
      <w:tr w:rsidR="00873EA8" w:rsidRPr="008902F2" w14:paraId="416C8C68"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8EEF24" w14:textId="295E855B" w:rsidR="00873EA8" w:rsidRPr="008902F2" w:rsidRDefault="00B37238" w:rsidP="002D4D82">
            <w:pPr>
              <w:spacing w:after="0" w:line="240" w:lineRule="auto"/>
              <w:jc w:val="left"/>
              <w:rPr>
                <w:rFonts w:ascii="Times New Roman" w:eastAsia="Times New Roman" w:hAnsi="Times New Roman"/>
                <w:lang w:eastAsia="tr-TR"/>
              </w:rPr>
            </w:pPr>
            <w:r w:rsidRPr="008902F2">
              <w:rPr>
                <w:rFonts w:ascii="Times New Roman" w:eastAsia="Times New Roman" w:hAnsi="Times New Roman"/>
              </w:rPr>
              <w:t>Zonguldak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8B73F"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45,00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901D4C" w14:textId="77777777" w:rsidR="00873EA8" w:rsidRPr="008902F2" w:rsidRDefault="00873EA8" w:rsidP="002D4D82">
            <w:pPr>
              <w:spacing w:after="0" w:line="240" w:lineRule="auto"/>
              <w:jc w:val="center"/>
              <w:rPr>
                <w:rFonts w:ascii="Times New Roman" w:eastAsia="Times New Roman" w:hAnsi="Times New Roman"/>
                <w:lang w:eastAsia="tr-TR"/>
              </w:rPr>
            </w:pPr>
            <w:r w:rsidRPr="008902F2">
              <w:rPr>
                <w:rFonts w:ascii="Times New Roman" w:eastAsia="Times New Roman" w:hAnsi="Times New Roman"/>
              </w:rPr>
              <w:t>0,00</w:t>
            </w:r>
          </w:p>
        </w:tc>
      </w:tr>
      <w:tr w:rsidR="00873EA8" w:rsidRPr="008902F2" w14:paraId="39DA1C94" w14:textId="77777777" w:rsidTr="6F691FB8">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14:paraId="032C8BAD" w14:textId="77777777" w:rsidR="00873EA8" w:rsidRPr="008902F2" w:rsidRDefault="00873EA8" w:rsidP="002D4D82">
            <w:pPr>
              <w:spacing w:after="0" w:line="240" w:lineRule="auto"/>
              <w:jc w:val="left"/>
              <w:rPr>
                <w:rFonts w:ascii="Times New Roman" w:eastAsia="Times New Roman" w:hAnsi="Times New Roman"/>
                <w:b/>
                <w:bCs/>
                <w:lang w:eastAsia="tr-TR"/>
              </w:rPr>
            </w:pPr>
            <w:r w:rsidRPr="008902F2">
              <w:rPr>
                <w:rFonts w:ascii="Times New Roman" w:eastAsia="Times New Roman" w:hAnsi="Times New Roman"/>
                <w:b/>
              </w:rPr>
              <w:t>SUM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4AA32480" w14:textId="77777777" w:rsidR="00873EA8" w:rsidRPr="008902F2" w:rsidRDefault="00873EA8" w:rsidP="002D4D82">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5.621.049,55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66F3AE9C" w14:textId="77777777" w:rsidR="00873EA8" w:rsidRPr="008902F2" w:rsidRDefault="00873EA8" w:rsidP="002D4D82">
            <w:pPr>
              <w:spacing w:after="0" w:line="240" w:lineRule="auto"/>
              <w:jc w:val="center"/>
              <w:rPr>
                <w:rFonts w:ascii="Times New Roman" w:eastAsia="Times New Roman" w:hAnsi="Times New Roman"/>
                <w:b/>
                <w:bCs/>
                <w:lang w:eastAsia="tr-TR"/>
              </w:rPr>
            </w:pPr>
            <w:r w:rsidRPr="008902F2">
              <w:rPr>
                <w:rFonts w:ascii="Times New Roman" w:eastAsia="Times New Roman" w:hAnsi="Times New Roman"/>
                <w:b/>
              </w:rPr>
              <w:t>100,00</w:t>
            </w:r>
          </w:p>
        </w:tc>
      </w:tr>
    </w:tbl>
    <w:bookmarkEnd w:id="113"/>
    <w:bookmarkEnd w:id="114"/>
    <w:p w14:paraId="61CFDD30" w14:textId="1A4205ED" w:rsidR="00CB5826" w:rsidRPr="008902F2" w:rsidRDefault="00C466F8" w:rsidP="00CB5826">
      <w:pPr>
        <w:spacing w:after="0"/>
        <w:rPr>
          <w:rFonts w:ascii="Times New Roman" w:hAnsi="Times New Roman"/>
          <w:sz w:val="20"/>
          <w:szCs w:val="20"/>
        </w:rPr>
      </w:pPr>
      <w:r w:rsidRPr="008902F2">
        <w:rPr>
          <w:rFonts w:ascii="Times New Roman" w:hAnsi="Times New Roman"/>
        </w:rPr>
        <w:t xml:space="preserve">                *</w:t>
      </w:r>
      <w:r w:rsidR="00CB5826" w:rsidRPr="008902F2">
        <w:rPr>
          <w:rFonts w:ascii="Times New Roman" w:hAnsi="Times New Roman"/>
          <w:sz w:val="20"/>
          <w:szCs w:val="20"/>
        </w:rPr>
        <w:t>Warehouse capacities in the distributor and bunker delivery license subheading are also included.</w:t>
      </w:r>
    </w:p>
    <w:p w14:paraId="77CBE861" w14:textId="77777777" w:rsidR="000A1FA3" w:rsidRPr="008902F2" w:rsidRDefault="000A1FA3" w:rsidP="00CB5826">
      <w:pPr>
        <w:spacing w:after="0"/>
        <w:rPr>
          <w:rFonts w:ascii="Times New Roman" w:hAnsi="Times New Roman"/>
          <w:color w:val="000000" w:themeColor="text1"/>
          <w:sz w:val="20"/>
          <w:szCs w:val="20"/>
        </w:rPr>
      </w:pPr>
    </w:p>
    <w:p w14:paraId="211BA73A" w14:textId="77777777" w:rsidR="00CB5826" w:rsidRPr="008902F2" w:rsidRDefault="756206D8" w:rsidP="00A86526">
      <w:pPr>
        <w:pStyle w:val="Balk3"/>
        <w:numPr>
          <w:ilvl w:val="2"/>
          <w:numId w:val="27"/>
        </w:numPr>
        <w:spacing w:before="0" w:after="240"/>
        <w:rPr>
          <w:rFonts w:ascii="Times New Roman" w:hAnsi="Times New Roman" w:cs="Times New Roman"/>
        </w:rPr>
      </w:pPr>
      <w:bookmarkStart w:id="115" w:name="_Toc442431262"/>
      <w:bookmarkStart w:id="116" w:name="_Toc143113411"/>
      <w:r w:rsidRPr="008902F2">
        <w:rPr>
          <w:rFonts w:ascii="Times New Roman" w:hAnsi="Times New Roman" w:cs="Times New Roman"/>
        </w:rPr>
        <w:t>Procedures for Non-Fuel Product Permits</w:t>
      </w:r>
      <w:bookmarkEnd w:id="115"/>
      <w:bookmarkEnd w:id="116"/>
    </w:p>
    <w:p w14:paraId="6BB6BEA3" w14:textId="67EE8A89" w:rsidR="00CB5826" w:rsidRPr="008902F2" w:rsidRDefault="00CB5826" w:rsidP="00CB5826">
      <w:pPr>
        <w:spacing w:after="240"/>
        <w:rPr>
          <w:rFonts w:ascii="Times New Roman" w:hAnsi="Times New Roman"/>
        </w:rPr>
      </w:pPr>
      <w:r w:rsidRPr="008902F2">
        <w:rPr>
          <w:rFonts w:ascii="Times New Roman" w:hAnsi="Times New Roman"/>
        </w:rPr>
        <w:t>The "</w:t>
      </w:r>
      <w:r w:rsidRPr="008902F2">
        <w:rPr>
          <w:rFonts w:ascii="Times New Roman" w:hAnsi="Times New Roman"/>
          <w:i/>
        </w:rPr>
        <w:t>Communiqué on the Procedures and Principles for the Supply of Petroleum Products Other Than Fuel from Domestic and Foreign Sources</w:t>
      </w:r>
      <w:r w:rsidRPr="008902F2">
        <w:rPr>
          <w:rFonts w:ascii="Times New Roman" w:hAnsi="Times New Roman"/>
        </w:rPr>
        <w:t xml:space="preserve">", in which the procedures and principles regarding the issuance of a letter of conformity in the supply of petroleum products other than fuel oil from domestic and foreign sources are regulated, was </w:t>
      </w:r>
      <w:r w:rsidR="00372350" w:rsidRPr="008902F2">
        <w:rPr>
          <w:rFonts w:ascii="Times New Roman" w:hAnsi="Times New Roman"/>
        </w:rPr>
        <w:t xml:space="preserve">published in the Official Gazette dated 24.04.2013 and numbered 28627 and entered into force. In this context; </w:t>
      </w:r>
      <w:r w:rsidR="002452B4" w:rsidRPr="008902F2">
        <w:rPr>
          <w:rFonts w:ascii="Times New Roman" w:hAnsi="Times New Roman"/>
        </w:rPr>
        <w:t>p</w:t>
      </w:r>
      <w:r w:rsidR="00372350" w:rsidRPr="008902F2">
        <w:rPr>
          <w:rFonts w:ascii="Times New Roman" w:hAnsi="Times New Roman"/>
        </w:rPr>
        <w:t>rovided that a letter of conformity is obtained from the Authority, domestic supply of petroleum products other than fuel oil can be carried out by industrialists, imports from abroad can be made directly by industrialists or importers on behalf of industrialists. Within the scope of the Communiqué, 227 Conformity Certificates were issued</w:t>
      </w:r>
      <w:r w:rsidR="002452B4" w:rsidRPr="008902F2">
        <w:rPr>
          <w:rFonts w:ascii="Times New Roman" w:hAnsi="Times New Roman"/>
        </w:rPr>
        <w:t xml:space="preserve"> in 2022</w:t>
      </w:r>
      <w:r w:rsidR="00372350" w:rsidRPr="008902F2">
        <w:rPr>
          <w:rFonts w:ascii="Times New Roman" w:hAnsi="Times New Roman"/>
        </w:rPr>
        <w:t>.</w:t>
      </w:r>
    </w:p>
    <w:p w14:paraId="7C8FB5B0" w14:textId="77777777" w:rsidR="004E03B6" w:rsidRPr="008902F2" w:rsidRDefault="3ADF3150" w:rsidP="00A86526">
      <w:pPr>
        <w:pStyle w:val="Balk3"/>
        <w:numPr>
          <w:ilvl w:val="2"/>
          <w:numId w:val="27"/>
        </w:numPr>
        <w:spacing w:before="0" w:after="240"/>
        <w:rPr>
          <w:rFonts w:ascii="Times New Roman" w:hAnsi="Times New Roman" w:cs="Times New Roman"/>
        </w:rPr>
      </w:pPr>
      <w:bookmarkStart w:id="117" w:name="_Toc143113412"/>
      <w:r w:rsidRPr="008902F2">
        <w:rPr>
          <w:rFonts w:ascii="Times New Roman" w:hAnsi="Times New Roman" w:cs="Times New Roman"/>
        </w:rPr>
        <w:t>Automation Studies for Licensees</w:t>
      </w:r>
      <w:bookmarkEnd w:id="117"/>
    </w:p>
    <w:p w14:paraId="66DB2C48" w14:textId="77777777" w:rsidR="004E03B6" w:rsidRPr="008902F2" w:rsidRDefault="3ADF3150" w:rsidP="00A86526">
      <w:pPr>
        <w:pStyle w:val="Balk4"/>
        <w:numPr>
          <w:ilvl w:val="3"/>
          <w:numId w:val="27"/>
        </w:numPr>
        <w:spacing w:after="240"/>
        <w:rPr>
          <w:rFonts w:ascii="Times New Roman" w:hAnsi="Times New Roman" w:cs="Times New Roman"/>
          <w:i w:val="0"/>
          <w:iCs w:val="0"/>
        </w:rPr>
      </w:pPr>
      <w:bookmarkStart w:id="118" w:name="_Toc143113413"/>
      <w:r w:rsidRPr="008902F2">
        <w:rPr>
          <w:rFonts w:ascii="Times New Roman" w:hAnsi="Times New Roman" w:cs="Times New Roman"/>
          <w:i w:val="0"/>
          <w:iCs w:val="0"/>
        </w:rPr>
        <w:t>National Marker</w:t>
      </w:r>
      <w:bookmarkEnd w:id="118"/>
    </w:p>
    <w:p w14:paraId="630F77DC" w14:textId="77777777" w:rsidR="004E03B6" w:rsidRPr="008902F2" w:rsidRDefault="004E03B6" w:rsidP="004E03B6">
      <w:pPr>
        <w:spacing w:after="0"/>
        <w:rPr>
          <w:rFonts w:ascii="Times New Roman" w:hAnsi="Times New Roman"/>
          <w:color w:val="000000" w:themeColor="text1"/>
        </w:rPr>
      </w:pPr>
      <w:r w:rsidRPr="008902F2">
        <w:rPr>
          <w:rFonts w:ascii="Times New Roman" w:hAnsi="Times New Roman"/>
          <w:color w:val="000000" w:themeColor="text1"/>
        </w:rPr>
        <w:t>In accordance with Article 18 of the Petroleum Market Law No. 5015 and the Regulation on the Application of National Markers in the Petroleum Market in order to prevent the sale of illegal and non-standard products by determining whether the fuel oil circulating in the petroleum market of our country has entered the market legally or not, the National Marker (UM) application started on 01.01.2007.</w:t>
      </w:r>
    </w:p>
    <w:p w14:paraId="30AA8F23" w14:textId="77777777" w:rsidR="004E03B6" w:rsidRPr="008902F2" w:rsidRDefault="004E03B6" w:rsidP="004E03B6">
      <w:pPr>
        <w:spacing w:after="0"/>
        <w:rPr>
          <w:rFonts w:ascii="Times New Roman" w:hAnsi="Times New Roman"/>
          <w:color w:val="000000" w:themeColor="text1"/>
        </w:rPr>
      </w:pPr>
    </w:p>
    <w:p w14:paraId="40456379" w14:textId="77777777" w:rsidR="004E03B6" w:rsidRPr="008902F2" w:rsidRDefault="004E03B6" w:rsidP="004E03B6">
      <w:pPr>
        <w:spacing w:after="0"/>
        <w:rPr>
          <w:rFonts w:ascii="Times New Roman" w:hAnsi="Times New Roman"/>
          <w:color w:val="000000" w:themeColor="text1"/>
        </w:rPr>
      </w:pPr>
      <w:r w:rsidRPr="008902F2">
        <w:rPr>
          <w:rFonts w:ascii="Times New Roman" w:hAnsi="Times New Roman"/>
          <w:color w:val="000000" w:themeColor="text1"/>
        </w:rPr>
        <w:t>Within the scope of the application, the quantities of fuel delivered to the relevant licensees in 2022 and marked with UM used are given in the table below on a yearly basis.</w:t>
      </w:r>
    </w:p>
    <w:p w14:paraId="1F09DACA" w14:textId="77777777" w:rsidR="004E03B6" w:rsidRPr="008902F2" w:rsidRDefault="004E03B6" w:rsidP="004E03B6">
      <w:pPr>
        <w:pStyle w:val="Balk5"/>
        <w:jc w:val="center"/>
        <w:rPr>
          <w:rStyle w:val="Gl"/>
          <w:rFonts w:ascii="Times New Roman" w:hAnsi="Times New Roman" w:cs="Times New Roman"/>
          <w:color w:val="000000" w:themeColor="text1"/>
        </w:rPr>
      </w:pPr>
      <w:bookmarkStart w:id="119" w:name="_Toc132713900"/>
      <w:r w:rsidRPr="008902F2">
        <w:rPr>
          <w:rStyle w:val="Gl"/>
          <w:rFonts w:ascii="Times New Roman" w:hAnsi="Times New Roman" w:cs="Times New Roman"/>
          <w:color w:val="000000" w:themeColor="text1"/>
        </w:rPr>
        <w:t>Table 3.10: National Markers Used by Years and Quantities of Fuel Marked</w:t>
      </w:r>
      <w:bookmarkEnd w:id="119"/>
    </w:p>
    <w:tbl>
      <w:tblPr>
        <w:tblW w:w="5000" w:type="pct"/>
        <w:tblCellMar>
          <w:left w:w="70" w:type="dxa"/>
          <w:right w:w="70" w:type="dxa"/>
        </w:tblCellMar>
        <w:tblLook w:val="04A0" w:firstRow="1" w:lastRow="0" w:firstColumn="1" w:lastColumn="0" w:noHBand="0" w:noVBand="1"/>
      </w:tblPr>
      <w:tblGrid>
        <w:gridCol w:w="1585"/>
        <w:gridCol w:w="1096"/>
        <w:gridCol w:w="1085"/>
        <w:gridCol w:w="1085"/>
        <w:gridCol w:w="1175"/>
        <w:gridCol w:w="1265"/>
        <w:gridCol w:w="1179"/>
        <w:gridCol w:w="1431"/>
      </w:tblGrid>
      <w:tr w:rsidR="005D0429" w:rsidRPr="008902F2" w14:paraId="4CCB5737" w14:textId="77777777" w:rsidTr="6F691FB8">
        <w:trPr>
          <w:trHeight w:val="20"/>
          <w:tblHeader/>
        </w:trPr>
        <w:tc>
          <w:tcPr>
            <w:tcW w:w="829"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6E9ECA"/>
            <w:vAlign w:val="center"/>
            <w:hideMark/>
          </w:tcPr>
          <w:p w14:paraId="4895169E"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Years</w:t>
            </w:r>
          </w:p>
        </w:tc>
        <w:tc>
          <w:tcPr>
            <w:tcW w:w="482"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56CEA8AD"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License Type</w:t>
            </w:r>
          </w:p>
        </w:tc>
        <w:tc>
          <w:tcPr>
            <w:tcW w:w="544"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7859666B" w14:textId="77777777" w:rsidR="005D0429" w:rsidRPr="008902F2" w:rsidRDefault="005D0429" w:rsidP="005030E7">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UM Quantity Delivered (lt)</w:t>
            </w:r>
          </w:p>
        </w:tc>
        <w:tc>
          <w:tcPr>
            <w:tcW w:w="544"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3EAB178A" w14:textId="77777777" w:rsidR="005D0429" w:rsidRPr="008902F2" w:rsidRDefault="005D0429" w:rsidP="005030E7">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Amount of UM Used (lt)</w:t>
            </w:r>
          </w:p>
        </w:tc>
        <w:tc>
          <w:tcPr>
            <w:tcW w:w="592"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5C18EF23"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Marked Gasoline Amount (m³)</w:t>
            </w:r>
          </w:p>
        </w:tc>
        <w:tc>
          <w:tcPr>
            <w:tcW w:w="634"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7BF7C6FA"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Marked Amount of Diesel (m³)</w:t>
            </w:r>
          </w:p>
        </w:tc>
        <w:tc>
          <w:tcPr>
            <w:tcW w:w="624"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55CC59FD"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Marked Biodiesel/ Ethanol-Kerosene Amount (m³)</w:t>
            </w:r>
          </w:p>
        </w:tc>
        <w:tc>
          <w:tcPr>
            <w:tcW w:w="751" w:type="pct"/>
            <w:tcBorders>
              <w:top w:val="single" w:sz="8" w:space="0" w:color="D9D9D9" w:themeColor="background1" w:themeShade="D9"/>
              <w:left w:val="nil"/>
              <w:bottom w:val="single" w:sz="8" w:space="0" w:color="D9D9D9" w:themeColor="background1" w:themeShade="D9"/>
              <w:right w:val="single" w:sz="8" w:space="0" w:color="D9D9D9" w:themeColor="background1" w:themeShade="D9"/>
            </w:tcBorders>
            <w:shd w:val="clear" w:color="auto" w:fill="6E9ECA"/>
            <w:vAlign w:val="center"/>
            <w:hideMark/>
          </w:tcPr>
          <w:p w14:paraId="67FBE21D" w14:textId="77777777" w:rsidR="005D0429" w:rsidRPr="008902F2" w:rsidRDefault="005D0429" w:rsidP="005D0429">
            <w:pPr>
              <w:spacing w:after="0" w:line="240" w:lineRule="auto"/>
              <w:jc w:val="center"/>
              <w:rPr>
                <w:rFonts w:ascii="Times New Roman" w:eastAsia="Times New Roman" w:hAnsi="Times New Roman"/>
                <w:b/>
                <w:bCs/>
                <w:color w:val="FFFFFF"/>
                <w:szCs w:val="20"/>
                <w:lang w:eastAsia="tr-TR"/>
              </w:rPr>
            </w:pPr>
            <w:r w:rsidRPr="008902F2">
              <w:rPr>
                <w:rFonts w:ascii="Times New Roman" w:eastAsia="Times New Roman" w:hAnsi="Times New Roman"/>
                <w:b/>
                <w:color w:val="FFFFFF"/>
                <w:szCs w:val="20"/>
              </w:rPr>
              <w:t>Total Marked Fuel Oil (m³)</w:t>
            </w:r>
          </w:p>
        </w:tc>
      </w:tr>
      <w:tr w:rsidR="005D0429" w:rsidRPr="008902F2" w14:paraId="7DC97D4E"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16669AED"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2007</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410CE7"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C1DC85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105.502,64</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528EAF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100.936,65</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D43763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2.550.960,00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A4B9A1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9.813.110,00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BA3B22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008A2B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12.364.070,00</w:t>
            </w:r>
          </w:p>
        </w:tc>
      </w:tr>
      <w:tr w:rsidR="005D0429" w:rsidRPr="008902F2" w14:paraId="35B89FAA" w14:textId="77777777" w:rsidTr="6F691FB8">
        <w:trPr>
          <w:trHeight w:val="20"/>
        </w:trPr>
        <w:tc>
          <w:tcPr>
            <w:tcW w:w="829" w:type="pct"/>
            <w:vMerge/>
            <w:vAlign w:val="center"/>
            <w:hideMark/>
          </w:tcPr>
          <w:p w14:paraId="4E4D0102"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8B9912C" w14:textId="10769258" w:rsidR="005D0429" w:rsidRPr="008902F2" w:rsidRDefault="2E7910D6"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E28A84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63.270,89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BCCBB2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56.522,89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8422A9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751.636,00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F04B97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6.247.129,00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0A1BD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26.719,00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25792F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7.025.484,00</w:t>
            </w:r>
          </w:p>
        </w:tc>
      </w:tr>
      <w:tr w:rsidR="005D0429" w:rsidRPr="008902F2" w14:paraId="143D6D1D" w14:textId="77777777" w:rsidTr="6F691FB8">
        <w:trPr>
          <w:trHeight w:val="20"/>
        </w:trPr>
        <w:tc>
          <w:tcPr>
            <w:tcW w:w="829" w:type="pct"/>
            <w:vMerge/>
            <w:vAlign w:val="center"/>
            <w:hideMark/>
          </w:tcPr>
          <w:p w14:paraId="521DC0F4"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0329E9C"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0E9CA1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168.773,53</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30C3D0D"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157.459,54</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1705B5A"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3.302.596,00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4DBC172"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16.060.239,00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F129B4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26.719,00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524845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19.389.554,00</w:t>
            </w:r>
          </w:p>
        </w:tc>
      </w:tr>
      <w:tr w:rsidR="005D0429" w:rsidRPr="008902F2" w14:paraId="43A01ACE"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03D0FF14"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2008</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D8486A9"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7FB1E3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99.646,23</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597FC9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97.632,10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FAFB9F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2.632.398,00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073441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9.527.443,00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0644A7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E2B8FC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12.159.841,00</w:t>
            </w:r>
          </w:p>
        </w:tc>
      </w:tr>
      <w:tr w:rsidR="005D0429" w:rsidRPr="008902F2" w14:paraId="6D6EE63B" w14:textId="77777777" w:rsidTr="6F691FB8">
        <w:trPr>
          <w:trHeight w:val="20"/>
        </w:trPr>
        <w:tc>
          <w:tcPr>
            <w:tcW w:w="829" w:type="pct"/>
            <w:vMerge/>
            <w:vAlign w:val="center"/>
            <w:hideMark/>
          </w:tcPr>
          <w:p w14:paraId="533C2012"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3A8359E" w14:textId="0C0523C7" w:rsidR="005D0429" w:rsidRPr="008902F2" w:rsidRDefault="42EAAC67"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DF065A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58.378,19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A9DE7F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58.724,41</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2FC607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394.211,00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6C9775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6.843.603,00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1BF144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18.568,00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90A3B9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7.256.382,00</w:t>
            </w:r>
          </w:p>
        </w:tc>
      </w:tr>
      <w:tr w:rsidR="005D0429" w:rsidRPr="008902F2" w14:paraId="49BB390D" w14:textId="77777777" w:rsidTr="6F691FB8">
        <w:trPr>
          <w:trHeight w:val="20"/>
        </w:trPr>
        <w:tc>
          <w:tcPr>
            <w:tcW w:w="829" w:type="pct"/>
            <w:vMerge/>
            <w:vAlign w:val="center"/>
            <w:hideMark/>
          </w:tcPr>
          <w:p w14:paraId="6152D71A"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87F4193"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ACFC5D6"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158.024,42</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F518F25"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156.356,51</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6C347A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3.026.609,00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D121028"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16.371.046,00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85D847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18.568,00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2F0661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19.416.223,00</w:t>
            </w:r>
          </w:p>
        </w:tc>
      </w:tr>
      <w:tr w:rsidR="005D0429" w:rsidRPr="008902F2" w14:paraId="66083D02"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77B65664"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2009</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4001195"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EEC36E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87.617,32</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04457F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88.218,87</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869801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2.675.966,00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BC8275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8.320.760,00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9792AA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A42B96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10.996.726,00</w:t>
            </w:r>
          </w:p>
        </w:tc>
      </w:tr>
      <w:tr w:rsidR="005D0429" w:rsidRPr="008902F2" w14:paraId="0540B54C" w14:textId="77777777" w:rsidTr="6F691FB8">
        <w:trPr>
          <w:trHeight w:val="20"/>
        </w:trPr>
        <w:tc>
          <w:tcPr>
            <w:tcW w:w="829" w:type="pct"/>
            <w:vMerge/>
            <w:vAlign w:val="center"/>
            <w:hideMark/>
          </w:tcPr>
          <w:p w14:paraId="6E0B0A63"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115FB67" w14:textId="14685C9C" w:rsidR="005D0429" w:rsidRPr="008902F2" w:rsidRDefault="749D0EE6"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B0C155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66.726,45</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225015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66.141,29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859904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276.821,00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4D7822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7.975.514,00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5BB760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12.231,00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F8A9F8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8.264.566,00</w:t>
            </w:r>
          </w:p>
        </w:tc>
      </w:tr>
      <w:tr w:rsidR="005D0429" w:rsidRPr="008902F2" w14:paraId="0BB3D85B" w14:textId="77777777" w:rsidTr="6F691FB8">
        <w:trPr>
          <w:trHeight w:val="20"/>
        </w:trPr>
        <w:tc>
          <w:tcPr>
            <w:tcW w:w="829" w:type="pct"/>
            <w:vMerge/>
            <w:vAlign w:val="center"/>
            <w:hideMark/>
          </w:tcPr>
          <w:p w14:paraId="65803923"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92583B"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BB3188F"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154.343,77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75542B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154.360,16</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A395101"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2.952.787,00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4CD3FC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16.296.274,00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CEF334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12.231,00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EDB457"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19.261.292,00</w:t>
            </w:r>
          </w:p>
        </w:tc>
      </w:tr>
      <w:tr w:rsidR="005D0429" w:rsidRPr="008902F2" w14:paraId="5427D0AF"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4EF8740A"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2010</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354E848"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3AF64E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79.641,87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66B54E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79.614,98</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CB2457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2.380.445,00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CAEF6A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7.571.627,00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5E76CA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94387D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9.952.072,00</w:t>
            </w:r>
          </w:p>
        </w:tc>
      </w:tr>
      <w:tr w:rsidR="005D0429" w:rsidRPr="008902F2" w14:paraId="06D8273F" w14:textId="77777777" w:rsidTr="6F691FB8">
        <w:trPr>
          <w:trHeight w:val="20"/>
        </w:trPr>
        <w:tc>
          <w:tcPr>
            <w:tcW w:w="829" w:type="pct"/>
            <w:vMerge/>
            <w:vAlign w:val="center"/>
            <w:hideMark/>
          </w:tcPr>
          <w:p w14:paraId="7F2612E7"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D13CCA8" w14:textId="03914861" w:rsidR="005D0429" w:rsidRPr="008902F2" w:rsidRDefault="49A65E41"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8E0CFF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80.050,80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76116A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78.335,93</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5F4225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367.442,00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195FC8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9.405.426,00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63A81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18.591,00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EDFC66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9.791.459,00</w:t>
            </w:r>
          </w:p>
        </w:tc>
      </w:tr>
      <w:tr w:rsidR="005D0429" w:rsidRPr="008902F2" w14:paraId="183D603D" w14:textId="77777777" w:rsidTr="6F691FB8">
        <w:trPr>
          <w:trHeight w:val="20"/>
        </w:trPr>
        <w:tc>
          <w:tcPr>
            <w:tcW w:w="829" w:type="pct"/>
            <w:vMerge/>
            <w:vAlign w:val="center"/>
            <w:hideMark/>
          </w:tcPr>
          <w:p w14:paraId="5ECAE9C8"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E3F5D81"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6131511"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159.692,67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34DD73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157.950,90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6587B4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2.747.888,00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FD5E4A7"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16.977.053,00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4758EE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18.591,00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D4EC596"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19.743.532,00</w:t>
            </w:r>
          </w:p>
        </w:tc>
      </w:tr>
      <w:tr w:rsidR="005D0429" w:rsidRPr="008902F2" w14:paraId="017BA9A9"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60EEC29A"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2011</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47D2CDB"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05B270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91.993,00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0BE239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92.304,00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152915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2.413.099,00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B77198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9.124.916,00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965A05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0D75A6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11.538.015,00</w:t>
            </w:r>
          </w:p>
        </w:tc>
      </w:tr>
      <w:tr w:rsidR="005D0429" w:rsidRPr="008902F2" w14:paraId="4E324FBA" w14:textId="77777777" w:rsidTr="6F691FB8">
        <w:trPr>
          <w:trHeight w:val="20"/>
        </w:trPr>
        <w:tc>
          <w:tcPr>
            <w:tcW w:w="829" w:type="pct"/>
            <w:vMerge/>
            <w:vAlign w:val="center"/>
            <w:hideMark/>
          </w:tcPr>
          <w:p w14:paraId="5E078B78"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7E962F6" w14:textId="52BBAA00" w:rsidR="005D0429" w:rsidRPr="008902F2" w:rsidRDefault="65EC91AF"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85DA9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72.401,00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79E0DF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72.963,00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4572A3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193.624,00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8AAB9C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8.903.953,00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4D9F08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22.982,00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F90C55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9.120.559,00</w:t>
            </w:r>
          </w:p>
        </w:tc>
      </w:tr>
      <w:tr w:rsidR="005D0429" w:rsidRPr="008902F2" w14:paraId="246ABBFA" w14:textId="77777777" w:rsidTr="6F691FB8">
        <w:trPr>
          <w:trHeight w:val="20"/>
        </w:trPr>
        <w:tc>
          <w:tcPr>
            <w:tcW w:w="829" w:type="pct"/>
            <w:vMerge/>
            <w:vAlign w:val="center"/>
            <w:hideMark/>
          </w:tcPr>
          <w:p w14:paraId="1D22616F"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2BA2831"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917D4CF"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164.394,00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6B804F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165.267,00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5EC9A0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2.606.723,00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A7107F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18.028.869,00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FF738FF"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22.982,00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44A1132"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20.658.574,00</w:t>
            </w:r>
          </w:p>
        </w:tc>
      </w:tr>
      <w:tr w:rsidR="005D0429" w:rsidRPr="008902F2" w14:paraId="2BB6FB7F"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61FB645C"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2012</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D83CE2"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9C2E78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99.958,02</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9C360B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98.531,33</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1A266E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2.398.835,00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9F4BB7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9.917.338,00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3B8F74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237,00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4A47F3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12.316.410,00</w:t>
            </w:r>
          </w:p>
        </w:tc>
      </w:tr>
      <w:tr w:rsidR="005D0429" w:rsidRPr="008902F2" w14:paraId="6B7162A0" w14:textId="77777777" w:rsidTr="6F691FB8">
        <w:trPr>
          <w:trHeight w:val="20"/>
        </w:trPr>
        <w:tc>
          <w:tcPr>
            <w:tcW w:w="829" w:type="pct"/>
            <w:vMerge/>
            <w:vAlign w:val="center"/>
            <w:hideMark/>
          </w:tcPr>
          <w:p w14:paraId="71820AAC"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C9E7B2E" w14:textId="7BD87C04" w:rsidR="005D0429" w:rsidRPr="008902F2" w:rsidRDefault="3272D82F"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A591455"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74.187,38</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356F0A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74.738,16</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B25AFC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66.004,00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C881EC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9.245.186,00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5B3C68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30.915,00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6B2FE6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9.342.105,00</w:t>
            </w:r>
          </w:p>
        </w:tc>
      </w:tr>
      <w:tr w:rsidR="005D0429" w:rsidRPr="008902F2" w14:paraId="6D6ED553" w14:textId="77777777" w:rsidTr="6F691FB8">
        <w:trPr>
          <w:trHeight w:val="20"/>
        </w:trPr>
        <w:tc>
          <w:tcPr>
            <w:tcW w:w="829" w:type="pct"/>
            <w:vMerge/>
            <w:vAlign w:val="center"/>
            <w:hideMark/>
          </w:tcPr>
          <w:p w14:paraId="4A9953BE"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76EE9B2"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E9CBD46"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174.145,40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8C33B6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173.269,49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C70EAF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2.464.839,00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105F03D"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19.162.524,00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862431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31.152,00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1773874"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21.658.515,00</w:t>
            </w:r>
          </w:p>
        </w:tc>
      </w:tr>
      <w:tr w:rsidR="005D0429" w:rsidRPr="008902F2" w14:paraId="354FC4E3"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0B152896"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2013</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F6D2941"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827C64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94.351,72</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EA373A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94.683,00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D9BEC9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2.438.404,00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651B50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9.361.800,00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882E4A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7.140,00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3F7482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11.807.344,00</w:t>
            </w:r>
          </w:p>
        </w:tc>
      </w:tr>
      <w:tr w:rsidR="005D0429" w:rsidRPr="008902F2" w14:paraId="58B75FCD" w14:textId="77777777" w:rsidTr="6F691FB8">
        <w:trPr>
          <w:trHeight w:val="20"/>
        </w:trPr>
        <w:tc>
          <w:tcPr>
            <w:tcW w:w="829" w:type="pct"/>
            <w:vMerge/>
            <w:vAlign w:val="center"/>
            <w:hideMark/>
          </w:tcPr>
          <w:p w14:paraId="69183572"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D0497EF" w14:textId="7E0F58DD" w:rsidR="005D0429" w:rsidRPr="008902F2" w:rsidRDefault="1775351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984EC5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95.664,74</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5F2371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90.253,68</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FD49D5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17.806,00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256C4F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11.180.726,00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6D7C9C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68.796,00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BA69C7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11.267.328,00</w:t>
            </w:r>
          </w:p>
        </w:tc>
      </w:tr>
      <w:tr w:rsidR="005D0429" w:rsidRPr="008902F2" w14:paraId="67EF8036" w14:textId="77777777" w:rsidTr="6F691FB8">
        <w:trPr>
          <w:trHeight w:val="20"/>
        </w:trPr>
        <w:tc>
          <w:tcPr>
            <w:tcW w:w="829" w:type="pct"/>
            <w:vMerge/>
            <w:vAlign w:val="center"/>
            <w:hideMark/>
          </w:tcPr>
          <w:p w14:paraId="4744A9B7"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0554C6C"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98471E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190.016,47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468A0B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184.936,69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07770D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2.456.210,00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C98684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20.542.526,00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AA798E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75.936,00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5E35B05"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23.074.672,00</w:t>
            </w:r>
          </w:p>
        </w:tc>
      </w:tr>
      <w:tr w:rsidR="005D0429" w:rsidRPr="008902F2" w14:paraId="2846AF10"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705973C2"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2014</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EAFA616"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7AE2D1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83.288,36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7668EB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82.046,06</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29AC5B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2.464.564,00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B8FF3C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7.731.514,00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6AB5E3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59.754,00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201E2E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10.255.832,00</w:t>
            </w:r>
          </w:p>
        </w:tc>
      </w:tr>
      <w:tr w:rsidR="005D0429" w:rsidRPr="008902F2" w14:paraId="2992EFC1" w14:textId="77777777" w:rsidTr="6F691FB8">
        <w:trPr>
          <w:trHeight w:val="20"/>
        </w:trPr>
        <w:tc>
          <w:tcPr>
            <w:tcW w:w="829" w:type="pct"/>
            <w:vMerge/>
            <w:vAlign w:val="center"/>
            <w:hideMark/>
          </w:tcPr>
          <w:p w14:paraId="4375995E"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C021388" w14:textId="6160B0C6" w:rsidR="005D0429" w:rsidRPr="008902F2" w:rsidRDefault="4014FF92"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3B8B66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110.635,56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414AA7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109.330,47</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B93A69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2.051,00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1760A8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13.558.513,00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9CB196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105.822,00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370642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13.666.386,00</w:t>
            </w:r>
          </w:p>
        </w:tc>
      </w:tr>
      <w:tr w:rsidR="005D0429" w:rsidRPr="008902F2" w14:paraId="688FF640" w14:textId="77777777" w:rsidTr="6F691FB8">
        <w:trPr>
          <w:trHeight w:val="20"/>
        </w:trPr>
        <w:tc>
          <w:tcPr>
            <w:tcW w:w="829" w:type="pct"/>
            <w:vMerge/>
            <w:vAlign w:val="center"/>
            <w:hideMark/>
          </w:tcPr>
          <w:p w14:paraId="5E2CB341"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B859980"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0936EE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193.923,93</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CADBB01"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191.376,54</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91B24DF"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2.466.616,00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75414D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21.290.027,00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AFA754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165.577,00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85D628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23.922.220,00</w:t>
            </w:r>
          </w:p>
        </w:tc>
      </w:tr>
      <w:tr w:rsidR="005D0429" w:rsidRPr="008902F2" w14:paraId="32DEEC9B"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4CBDB531"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2015</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CFED38F"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009B4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108.111,46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FE9347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108.536,59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B3BB8A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2.823.176,00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EA4E8C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10.664.398,00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3B4316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79.484,00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46F977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13.567.058,00</w:t>
            </w:r>
          </w:p>
        </w:tc>
      </w:tr>
      <w:tr w:rsidR="005D0429" w:rsidRPr="008902F2" w14:paraId="2C2310A7" w14:textId="77777777" w:rsidTr="6F691FB8">
        <w:trPr>
          <w:trHeight w:val="20"/>
        </w:trPr>
        <w:tc>
          <w:tcPr>
            <w:tcW w:w="829" w:type="pct"/>
            <w:vMerge/>
            <w:vAlign w:val="center"/>
            <w:hideMark/>
          </w:tcPr>
          <w:p w14:paraId="6A971AD1"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908AF20" w14:textId="2043489D" w:rsidR="005D0429" w:rsidRPr="008902F2" w:rsidRDefault="4F3A1783"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57B985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108.758,10</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FAF1D7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109.350,88</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731644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3D3A33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13.516.467,00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8AC2E6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152.793,00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D7F594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13.669.260,00</w:t>
            </w:r>
          </w:p>
        </w:tc>
      </w:tr>
      <w:tr w:rsidR="005D0429" w:rsidRPr="008902F2" w14:paraId="078B5386" w14:textId="77777777" w:rsidTr="6F691FB8">
        <w:trPr>
          <w:trHeight w:val="20"/>
        </w:trPr>
        <w:tc>
          <w:tcPr>
            <w:tcW w:w="829" w:type="pct"/>
            <w:vMerge/>
            <w:vAlign w:val="center"/>
            <w:hideMark/>
          </w:tcPr>
          <w:p w14:paraId="7E4E85DF"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0D9674B"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49B644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216.869,56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A4B5F1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217.887,47</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3FEA70B"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2.823.176,00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AB3B08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24.180.865,00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EFAE446"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232.277,00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2882B85"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27.236.318,00</w:t>
            </w:r>
          </w:p>
        </w:tc>
      </w:tr>
      <w:tr w:rsidR="005D0429" w:rsidRPr="008902F2" w14:paraId="661AEB78"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263707DC"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2016</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43418B2"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861042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124.068,39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51528A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126.088,45</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BD032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2.918.536,74</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9B909D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12.814.129,71</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5D7BEC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28.389,19</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BCDD74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15.761.055,64</w:t>
            </w:r>
          </w:p>
        </w:tc>
      </w:tr>
      <w:tr w:rsidR="005D0429" w:rsidRPr="008902F2" w14:paraId="69CCA11D" w14:textId="77777777" w:rsidTr="6F691FB8">
        <w:trPr>
          <w:trHeight w:val="20"/>
        </w:trPr>
        <w:tc>
          <w:tcPr>
            <w:tcW w:w="829" w:type="pct"/>
            <w:vMerge/>
            <w:vAlign w:val="center"/>
            <w:hideMark/>
          </w:tcPr>
          <w:p w14:paraId="1C009A51"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768F696" w14:textId="4B5F2CDF" w:rsidR="005D0429" w:rsidRPr="008902F2" w:rsidRDefault="03298326"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FDB0BE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111.493,34</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A0EE17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108.872,34</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988A92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1CD1700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13.455.607,96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FAB226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153.577,87</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70E7CF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13.609.185,83</w:t>
            </w:r>
          </w:p>
        </w:tc>
      </w:tr>
      <w:tr w:rsidR="005D0429" w:rsidRPr="008902F2" w14:paraId="5FFA6BE0" w14:textId="77777777" w:rsidTr="6F691FB8">
        <w:trPr>
          <w:trHeight w:val="20"/>
        </w:trPr>
        <w:tc>
          <w:tcPr>
            <w:tcW w:w="829" w:type="pct"/>
            <w:vMerge/>
            <w:vAlign w:val="center"/>
            <w:hideMark/>
          </w:tcPr>
          <w:p w14:paraId="28DCB8F7"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45CFCFA"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7447E7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235.561,73</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00367A7"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234.960,79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ADA8DED"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2.918.536,74</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B0D494D"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26.269.737,67</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8FA074C"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181.967,06</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F84FACD"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29.370.241,47</w:t>
            </w:r>
          </w:p>
        </w:tc>
      </w:tr>
      <w:tr w:rsidR="005D0429" w:rsidRPr="008902F2" w14:paraId="3280A704"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5428B5ED"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2017</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EC82231"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C67528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133.762,01</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6BE4405"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130.937,80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F99558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2.982.718,02</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4B7606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13.369.035,61</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8A1482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15.473,43</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4B88E2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16.367.227,06</w:t>
            </w:r>
          </w:p>
        </w:tc>
      </w:tr>
      <w:tr w:rsidR="005D0429" w:rsidRPr="008902F2" w14:paraId="3E4238BF" w14:textId="77777777" w:rsidTr="6F691FB8">
        <w:trPr>
          <w:trHeight w:val="20"/>
        </w:trPr>
        <w:tc>
          <w:tcPr>
            <w:tcW w:w="829" w:type="pct"/>
            <w:vMerge/>
            <w:vAlign w:val="center"/>
            <w:hideMark/>
          </w:tcPr>
          <w:p w14:paraId="6416B0FC"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CABFCB0" w14:textId="280BB546" w:rsidR="005D0429" w:rsidRPr="008902F2" w:rsidRDefault="4E5CA4CB"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F74565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119.137,46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C679CC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117.971,15</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222E85"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DE19C1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14.588.287,66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0298F0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158.433,03</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90928EC"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14.746.720,69</w:t>
            </w:r>
          </w:p>
        </w:tc>
      </w:tr>
      <w:tr w:rsidR="005D0429" w:rsidRPr="008902F2" w14:paraId="7177B8C1" w14:textId="77777777" w:rsidTr="6F691FB8">
        <w:trPr>
          <w:trHeight w:val="20"/>
        </w:trPr>
        <w:tc>
          <w:tcPr>
            <w:tcW w:w="829" w:type="pct"/>
            <w:vMerge/>
            <w:vAlign w:val="center"/>
            <w:hideMark/>
          </w:tcPr>
          <w:p w14:paraId="051EBC08"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ABAB9AE"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A75A1C2"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252.899,47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F9D4FCA"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248.908,95</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68596C4"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2.982.718,02</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D7380D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27.957.323,26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30CCCC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173.906,46</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035BC3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31.113.947,74</w:t>
            </w:r>
          </w:p>
        </w:tc>
      </w:tr>
      <w:tr w:rsidR="005D0429" w:rsidRPr="008902F2" w14:paraId="19CB13E4" w14:textId="77777777" w:rsidTr="6F691FB8">
        <w:trPr>
          <w:trHeight w:val="20"/>
        </w:trPr>
        <w:tc>
          <w:tcPr>
            <w:tcW w:w="829" w:type="pct"/>
            <w:vMerge w:val="restart"/>
            <w:tcBorders>
              <w:top w:val="nil"/>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46C0E60D"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2018</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432B58C1"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921F7B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137.217,16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FF4013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136.097,38</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7D2588"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3.033.684,35</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70017B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13.966.248,42</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7CF1EB3"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12.237,88</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05B9E695"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17.012.170,64</w:t>
            </w:r>
          </w:p>
        </w:tc>
      </w:tr>
      <w:tr w:rsidR="005D0429" w:rsidRPr="008902F2" w14:paraId="2FFA2FDD" w14:textId="77777777" w:rsidTr="6F691FB8">
        <w:trPr>
          <w:trHeight w:val="20"/>
        </w:trPr>
        <w:tc>
          <w:tcPr>
            <w:tcW w:w="829" w:type="pct"/>
            <w:vMerge/>
            <w:vAlign w:val="center"/>
            <w:hideMark/>
          </w:tcPr>
          <w:p w14:paraId="09823EE7"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14B284A" w14:textId="2EDC78DB" w:rsidR="005D0429" w:rsidRPr="008902F2" w:rsidRDefault="0C491877"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3D92B5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107.606,46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508ACA67"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108.945,34</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D2DB60F"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5D82B4E"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13.412.442,25</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F40AFF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205.871,57</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61CC935"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eastAsia="Times New Roman" w:hAnsi="Times New Roman"/>
                <w:color w:val="000000"/>
                <w:sz w:val="18"/>
                <w:szCs w:val="18"/>
              </w:rPr>
              <w:t>13.618.313,81</w:t>
            </w:r>
          </w:p>
        </w:tc>
      </w:tr>
      <w:tr w:rsidR="005D0429" w:rsidRPr="008902F2" w14:paraId="51914E9F" w14:textId="77777777" w:rsidTr="6F691FB8">
        <w:trPr>
          <w:trHeight w:val="20"/>
        </w:trPr>
        <w:tc>
          <w:tcPr>
            <w:tcW w:w="829" w:type="pct"/>
            <w:vMerge/>
            <w:vAlign w:val="center"/>
            <w:hideMark/>
          </w:tcPr>
          <w:p w14:paraId="2C1A9C61"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E2E76E8"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0E12907"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244.823,61</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96EC51E"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245.042,72</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61C886B5"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3.033.684,35</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3F4E1099"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27.378.690,66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223006D1"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218.109,44</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hideMark/>
          </w:tcPr>
          <w:p w14:paraId="76CD19AF"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eastAsia="Times New Roman" w:hAnsi="Times New Roman"/>
                <w:b/>
                <w:color w:val="000000"/>
                <w:sz w:val="18"/>
                <w:szCs w:val="18"/>
              </w:rPr>
              <w:t>30.630.484,46</w:t>
            </w:r>
          </w:p>
        </w:tc>
      </w:tr>
      <w:tr w:rsidR="005D0429" w:rsidRPr="008902F2" w14:paraId="5F3C722C" w14:textId="77777777" w:rsidTr="6F691FB8">
        <w:trPr>
          <w:trHeight w:val="20"/>
        </w:trPr>
        <w:tc>
          <w:tcPr>
            <w:tcW w:w="829" w:type="pct"/>
            <w:vMerge w:val="restart"/>
            <w:tcBorders>
              <w:top w:val="nil"/>
              <w:left w:val="single" w:sz="8" w:space="0" w:color="D9D9D9" w:themeColor="background1" w:themeShade="D9"/>
              <w:right w:val="single" w:sz="8" w:space="0" w:color="D9D9D9" w:themeColor="background1" w:themeShade="D9"/>
            </w:tcBorders>
            <w:vAlign w:val="center"/>
          </w:tcPr>
          <w:p w14:paraId="190286A4"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2019</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01C2CA6" w14:textId="77777777" w:rsidR="005D0429" w:rsidRPr="008902F2" w:rsidRDefault="005D0429"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5C9B74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139.047,49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E8B5609"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138.857,97</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1551F00"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3.138.062,08</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5797FC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14.205.698,60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D8F7484"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13.483,34</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2FC0BB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17.357.244,02</w:t>
            </w:r>
          </w:p>
        </w:tc>
      </w:tr>
      <w:tr w:rsidR="005D0429" w:rsidRPr="008902F2" w14:paraId="7497EE7C" w14:textId="77777777" w:rsidTr="6F691FB8">
        <w:trPr>
          <w:trHeight w:val="20"/>
        </w:trPr>
        <w:tc>
          <w:tcPr>
            <w:tcW w:w="829" w:type="pct"/>
            <w:vMerge/>
            <w:vAlign w:val="center"/>
          </w:tcPr>
          <w:p w14:paraId="7C6EB220"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3659C6E" w14:textId="5015D025" w:rsidR="005D0429" w:rsidRPr="008902F2" w:rsidRDefault="44A09C52" w:rsidP="005D0429">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D64BD1A"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98.834,02</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57B8C86"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101.826,72</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F33832D"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DD87922"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12.508.538,44</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6CE5B71"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219.817,70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31C4E8B" w14:textId="77777777" w:rsidR="005D0429" w:rsidRPr="008902F2" w:rsidRDefault="005D0429" w:rsidP="005D0429">
            <w:pPr>
              <w:spacing w:after="0" w:line="240" w:lineRule="auto"/>
              <w:jc w:val="right"/>
              <w:rPr>
                <w:rFonts w:ascii="Times New Roman" w:eastAsia="Times New Roman" w:hAnsi="Times New Roman"/>
                <w:color w:val="000000"/>
                <w:sz w:val="18"/>
                <w:szCs w:val="18"/>
                <w:lang w:eastAsia="tr-TR"/>
              </w:rPr>
            </w:pPr>
            <w:r w:rsidRPr="008902F2">
              <w:rPr>
                <w:rFonts w:ascii="Times New Roman" w:hAnsi="Times New Roman"/>
                <w:color w:val="000000"/>
                <w:sz w:val="18"/>
                <w:szCs w:val="18"/>
              </w:rPr>
              <w:t>12.728.356,14</w:t>
            </w:r>
          </w:p>
        </w:tc>
      </w:tr>
      <w:tr w:rsidR="005D0429" w:rsidRPr="008902F2" w14:paraId="7E0C97EC" w14:textId="77777777" w:rsidTr="6F691FB8">
        <w:trPr>
          <w:trHeight w:val="20"/>
        </w:trPr>
        <w:tc>
          <w:tcPr>
            <w:tcW w:w="829" w:type="pct"/>
            <w:vMerge/>
            <w:vAlign w:val="center"/>
          </w:tcPr>
          <w:p w14:paraId="142D48B9" w14:textId="77777777" w:rsidR="005D0429" w:rsidRPr="008902F2" w:rsidRDefault="005D0429" w:rsidP="005D0429">
            <w:pPr>
              <w:spacing w:after="0" w:line="240" w:lineRule="auto"/>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98A2D27"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C52F663"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237.881,51</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3DC4C5A"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240.684,69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38C1811"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3.138.062,08</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7425900"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26.714.237,04</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C061395"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233.301,04</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3220E17" w14:textId="77777777" w:rsidR="005D0429" w:rsidRPr="008902F2" w:rsidRDefault="005D0429" w:rsidP="005D0429">
            <w:pPr>
              <w:spacing w:after="0" w:line="240" w:lineRule="auto"/>
              <w:jc w:val="right"/>
              <w:rPr>
                <w:rFonts w:ascii="Times New Roman" w:eastAsia="Times New Roman" w:hAnsi="Times New Roman"/>
                <w:b/>
                <w:color w:val="000000"/>
                <w:sz w:val="18"/>
                <w:szCs w:val="18"/>
                <w:lang w:eastAsia="tr-TR"/>
              </w:rPr>
            </w:pPr>
            <w:r w:rsidRPr="008902F2">
              <w:rPr>
                <w:rFonts w:ascii="Times New Roman" w:hAnsi="Times New Roman"/>
                <w:b/>
                <w:color w:val="000000"/>
                <w:sz w:val="18"/>
                <w:szCs w:val="18"/>
              </w:rPr>
              <w:t>30.085.600,17</w:t>
            </w:r>
          </w:p>
        </w:tc>
      </w:tr>
      <w:tr w:rsidR="005D0429" w:rsidRPr="008902F2" w14:paraId="5A98DEAF" w14:textId="77777777" w:rsidTr="6F691FB8">
        <w:trPr>
          <w:trHeight w:val="20"/>
        </w:trPr>
        <w:tc>
          <w:tcPr>
            <w:tcW w:w="829" w:type="pct"/>
            <w:vMerge w:val="restart"/>
            <w:tcBorders>
              <w:left w:val="single" w:sz="8" w:space="0" w:color="D9D9D9" w:themeColor="background1" w:themeShade="D9"/>
              <w:right w:val="single" w:sz="8" w:space="0" w:color="D9D9D9" w:themeColor="background1" w:themeShade="D9"/>
            </w:tcBorders>
            <w:vAlign w:val="center"/>
          </w:tcPr>
          <w:p w14:paraId="0D42C9D5"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2020</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5A5B1118"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995F9C5"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166.221,94</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9A910AE"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163.736,99</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6F4FF2C"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3.146.182,46</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2CCDA63"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17.311.232,89</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5E02D97"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9.706,62</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B60C688"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20.467.121,97</w:t>
            </w:r>
          </w:p>
        </w:tc>
      </w:tr>
      <w:tr w:rsidR="005D0429" w:rsidRPr="008902F2" w14:paraId="5A49B91E" w14:textId="77777777" w:rsidTr="6F691FB8">
        <w:trPr>
          <w:trHeight w:val="20"/>
        </w:trPr>
        <w:tc>
          <w:tcPr>
            <w:tcW w:w="829" w:type="pct"/>
            <w:vMerge/>
            <w:vAlign w:val="center"/>
          </w:tcPr>
          <w:p w14:paraId="25ED151C" w14:textId="77777777" w:rsidR="005D0429" w:rsidRPr="008902F2" w:rsidRDefault="005D0429" w:rsidP="005D0429">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0F779B1" w14:textId="3EB78C4A" w:rsidR="005D0429" w:rsidRPr="008902F2" w:rsidRDefault="228C7072" w:rsidP="6F691FB8">
            <w:pPr>
              <w:spacing w:after="0" w:line="240" w:lineRule="auto"/>
              <w:rPr>
                <w:rFonts w:ascii="Times New Roman" w:eastAsia="Times New Roman" w:hAnsi="Times New Roman"/>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E547075"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78.661,95</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67860DF"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77.805,28</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048B1C6"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0,00</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EF0B86A"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9.583.784,42</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B086D11"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141.862,36</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52FC87B7"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color w:val="000000"/>
                <w:sz w:val="18"/>
                <w:szCs w:val="18"/>
              </w:rPr>
              <w:t>9.725.464,78</w:t>
            </w:r>
          </w:p>
        </w:tc>
      </w:tr>
      <w:tr w:rsidR="005D0429" w:rsidRPr="008902F2" w14:paraId="3C2C2A41" w14:textId="77777777" w:rsidTr="6F691FB8">
        <w:trPr>
          <w:trHeight w:val="20"/>
        </w:trPr>
        <w:tc>
          <w:tcPr>
            <w:tcW w:w="829" w:type="pct"/>
            <w:vMerge/>
            <w:vAlign w:val="center"/>
          </w:tcPr>
          <w:p w14:paraId="56B73A94" w14:textId="77777777" w:rsidR="005D0429" w:rsidRPr="008902F2" w:rsidRDefault="005D0429" w:rsidP="005D0429">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5C2DB76"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E5C2CEB"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244.883,89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34E3E47"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241.542,22</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2C31B98"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3.146.182,46</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4E4AA24"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26.895.017,32</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86097CC"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151.568,98</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B50767C" w14:textId="77777777" w:rsidR="005D0429" w:rsidRPr="008902F2" w:rsidRDefault="005D0429" w:rsidP="005D0429">
            <w:pPr>
              <w:spacing w:after="0" w:line="240" w:lineRule="auto"/>
              <w:jc w:val="right"/>
              <w:rPr>
                <w:rFonts w:ascii="Times New Roman" w:hAnsi="Times New Roman"/>
                <w:b/>
                <w:color w:val="000000"/>
                <w:sz w:val="18"/>
                <w:szCs w:val="18"/>
              </w:rPr>
            </w:pPr>
            <w:r w:rsidRPr="008902F2">
              <w:rPr>
                <w:rFonts w:ascii="Times New Roman" w:hAnsi="Times New Roman"/>
                <w:b/>
                <w:bCs/>
                <w:color w:val="000000"/>
                <w:sz w:val="18"/>
                <w:szCs w:val="18"/>
              </w:rPr>
              <w:t>30.192.768,76</w:t>
            </w:r>
          </w:p>
        </w:tc>
      </w:tr>
      <w:tr w:rsidR="005D0429" w:rsidRPr="008902F2" w14:paraId="0A75CAAE" w14:textId="77777777" w:rsidTr="6F691FB8">
        <w:trPr>
          <w:trHeight w:val="20"/>
        </w:trPr>
        <w:tc>
          <w:tcPr>
            <w:tcW w:w="829" w:type="pct"/>
            <w:vMerge w:val="restart"/>
            <w:tcBorders>
              <w:left w:val="single" w:sz="8" w:space="0" w:color="D9D9D9" w:themeColor="background1" w:themeShade="D9"/>
              <w:right w:val="single" w:sz="8" w:space="0" w:color="D9D9D9" w:themeColor="background1" w:themeShade="D9"/>
            </w:tcBorders>
            <w:vAlign w:val="center"/>
          </w:tcPr>
          <w:p w14:paraId="3A713548" w14:textId="77777777" w:rsidR="005D0429" w:rsidRPr="008902F2" w:rsidRDefault="005D0429" w:rsidP="005D0429">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2021</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75EA3D4"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1A21CA7"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177.562,49</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0F18509"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176.528,26</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870F793"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3.923.155,36</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457B5C4"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18.130.928,15</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E6D329C"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11.949,45</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2476355"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22.066.032,96</w:t>
            </w:r>
          </w:p>
        </w:tc>
      </w:tr>
      <w:tr w:rsidR="005D0429" w:rsidRPr="008902F2" w14:paraId="1FFFADE8" w14:textId="77777777" w:rsidTr="6F691FB8">
        <w:trPr>
          <w:trHeight w:val="20"/>
        </w:trPr>
        <w:tc>
          <w:tcPr>
            <w:tcW w:w="829" w:type="pct"/>
            <w:vMerge/>
            <w:vAlign w:val="center"/>
          </w:tcPr>
          <w:p w14:paraId="04165889" w14:textId="77777777" w:rsidR="005D0429" w:rsidRPr="008902F2" w:rsidRDefault="005D0429" w:rsidP="005D0429">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5CBAF120" w14:textId="5BCD1410" w:rsidR="005D0429" w:rsidRPr="008902F2" w:rsidRDefault="007170E0"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4A7EEE0"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97.681,96</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0B484C8"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96.086,14</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2180CDA"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6.352,19</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82D1F21"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11.838.522,30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3F7680B"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165.528,19</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04E4D96" w14:textId="77777777" w:rsidR="005D0429" w:rsidRPr="008902F2" w:rsidRDefault="005D0429" w:rsidP="005D0429">
            <w:pPr>
              <w:spacing w:after="0" w:line="240" w:lineRule="auto"/>
              <w:jc w:val="right"/>
              <w:rPr>
                <w:rFonts w:ascii="Times New Roman" w:hAnsi="Times New Roman"/>
                <w:bCs/>
                <w:color w:val="000000"/>
                <w:sz w:val="18"/>
                <w:szCs w:val="18"/>
              </w:rPr>
            </w:pPr>
            <w:r w:rsidRPr="008902F2">
              <w:rPr>
                <w:rFonts w:ascii="Times New Roman" w:hAnsi="Times New Roman"/>
                <w:bCs/>
                <w:color w:val="000000"/>
                <w:sz w:val="18"/>
                <w:szCs w:val="18"/>
              </w:rPr>
              <w:t>12.010.402,69</w:t>
            </w:r>
          </w:p>
        </w:tc>
      </w:tr>
      <w:tr w:rsidR="005D0429" w:rsidRPr="008902F2" w14:paraId="680C3C31" w14:textId="77777777" w:rsidTr="6F691FB8">
        <w:trPr>
          <w:trHeight w:val="20"/>
        </w:trPr>
        <w:tc>
          <w:tcPr>
            <w:tcW w:w="829" w:type="pct"/>
            <w:vMerge/>
            <w:vAlign w:val="center"/>
          </w:tcPr>
          <w:p w14:paraId="012247C8" w14:textId="77777777" w:rsidR="005D0429" w:rsidRPr="008902F2" w:rsidRDefault="005D0429" w:rsidP="005D0429">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9934DA5" w14:textId="77777777" w:rsidR="005D0429" w:rsidRPr="008902F2" w:rsidRDefault="005D0429" w:rsidP="005D0429">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b/>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2AF1F8D"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275.244,45</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70712E1"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272.614,40</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89DB3E4"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3.929.507,55</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5C652FB"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29.969.450,45</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7C52E74"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177.477,64</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5AB7A0CA" w14:textId="77777777" w:rsidR="005D0429" w:rsidRPr="008902F2" w:rsidRDefault="005D0429" w:rsidP="005D0429">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34.076.435,65</w:t>
            </w:r>
          </w:p>
        </w:tc>
      </w:tr>
      <w:tr w:rsidR="00873EA8" w:rsidRPr="008902F2" w14:paraId="0716A531" w14:textId="77777777" w:rsidTr="007170E0">
        <w:trPr>
          <w:trHeight w:val="276"/>
        </w:trPr>
        <w:tc>
          <w:tcPr>
            <w:tcW w:w="829" w:type="pct"/>
            <w:vMerge w:val="restart"/>
            <w:tcBorders>
              <w:left w:val="single" w:sz="8" w:space="0" w:color="D9D9D9" w:themeColor="background1" w:themeShade="D9"/>
              <w:right w:val="single" w:sz="8" w:space="0" w:color="D9D9D9" w:themeColor="background1" w:themeShade="D9"/>
            </w:tcBorders>
            <w:vAlign w:val="center"/>
          </w:tcPr>
          <w:p w14:paraId="76F3685A" w14:textId="77777777" w:rsidR="00873EA8" w:rsidRPr="008902F2" w:rsidRDefault="00873EA8" w:rsidP="00873EA8">
            <w:pPr>
              <w:spacing w:after="0" w:line="240" w:lineRule="auto"/>
              <w:jc w:val="center"/>
              <w:rPr>
                <w:rFonts w:ascii="Times New Roman" w:eastAsia="Times New Roman" w:hAnsi="Times New Roman"/>
                <w:color w:val="000000"/>
                <w:lang w:eastAsia="tr-TR"/>
              </w:rPr>
            </w:pPr>
            <w:r w:rsidRPr="008902F2">
              <w:rPr>
                <w:rFonts w:ascii="Times New Roman" w:eastAsia="Times New Roman" w:hAnsi="Times New Roman"/>
                <w:color w:val="000000"/>
              </w:rPr>
              <w:t>2022</w:t>
            </w: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CB917E2" w14:textId="77777777" w:rsidR="00873EA8" w:rsidRPr="008902F2" w:rsidRDefault="00873EA8" w:rsidP="00873EA8">
            <w:pPr>
              <w:spacing w:after="0" w:line="240" w:lineRule="auto"/>
              <w:rPr>
                <w:rFonts w:ascii="Times New Roman" w:eastAsia="Times New Roman" w:hAnsi="Times New Roman"/>
                <w:b/>
                <w:color w:val="000000"/>
                <w:sz w:val="20"/>
                <w:szCs w:val="20"/>
                <w:lang w:eastAsia="tr-TR"/>
              </w:rPr>
            </w:pPr>
            <w:r w:rsidRPr="008902F2">
              <w:rPr>
                <w:rFonts w:ascii="Times New Roman" w:hAnsi="Times New Roman"/>
                <w:color w:val="000000"/>
                <w:sz w:val="20"/>
                <w:szCs w:val="20"/>
              </w:rPr>
              <w:t>Refinery</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737B5589" w14:textId="71B7EA22"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190.794,57</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3FC93E8" w14:textId="23CFB5EA"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191.373,22</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256D6D6" w14:textId="1BC49E31"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4.349.039,0</w:t>
            </w:r>
            <w:r w:rsidR="007170E0" w:rsidRPr="008902F2">
              <w:rPr>
                <w:rFonts w:ascii="Times New Roman" w:hAnsi="Times New Roman"/>
                <w:color w:val="000000"/>
                <w:sz w:val="18"/>
                <w:szCs w:val="18"/>
              </w:rPr>
              <w:t>9</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B7EF7F0" w14:textId="5A95F615"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19.563.217,</w:t>
            </w:r>
            <w:r w:rsidR="007170E0" w:rsidRPr="008902F2">
              <w:rPr>
                <w:rFonts w:ascii="Times New Roman" w:hAnsi="Times New Roman"/>
                <w:color w:val="000000"/>
                <w:sz w:val="18"/>
                <w:szCs w:val="18"/>
              </w:rPr>
              <w:t>40</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04217926" w14:textId="56EF37BE"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9.402,5</w:t>
            </w:r>
            <w:r w:rsidR="007170E0" w:rsidRPr="008902F2">
              <w:rPr>
                <w:rFonts w:ascii="Times New Roman" w:hAnsi="Times New Roman"/>
                <w:color w:val="000000"/>
                <w:sz w:val="18"/>
                <w:szCs w:val="18"/>
              </w:rPr>
              <w:t>1</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596ECEE" w14:textId="7E2FA8CE"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23.921.658,99</w:t>
            </w:r>
          </w:p>
        </w:tc>
      </w:tr>
      <w:tr w:rsidR="00873EA8" w:rsidRPr="008902F2" w14:paraId="4957D698" w14:textId="77777777" w:rsidTr="007170E0">
        <w:trPr>
          <w:trHeight w:val="276"/>
        </w:trPr>
        <w:tc>
          <w:tcPr>
            <w:tcW w:w="829" w:type="pct"/>
            <w:vMerge/>
            <w:vAlign w:val="center"/>
          </w:tcPr>
          <w:p w14:paraId="7099B7D1" w14:textId="77777777" w:rsidR="00873EA8" w:rsidRPr="008902F2" w:rsidRDefault="00873EA8" w:rsidP="00873EA8">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4ED007B" w14:textId="1BA725C6" w:rsidR="00873EA8" w:rsidRPr="008902F2" w:rsidRDefault="007170E0" w:rsidP="00873EA8">
            <w:pPr>
              <w:spacing w:after="0" w:line="240" w:lineRule="auto"/>
              <w:rPr>
                <w:rFonts w:ascii="Times New Roman" w:eastAsia="Times New Roman" w:hAnsi="Times New Roman"/>
                <w:b/>
                <w:color w:val="000000"/>
                <w:sz w:val="20"/>
                <w:szCs w:val="20"/>
                <w:lang w:eastAsia="tr-TR"/>
              </w:rPr>
            </w:pPr>
            <w:r w:rsidRPr="008902F2">
              <w:rPr>
                <w:rFonts w:ascii="Times New Roman" w:eastAsia="Times New Roman" w:hAnsi="Times New Roman"/>
                <w:color w:val="000000" w:themeColor="text1"/>
                <w:sz w:val="20"/>
                <w:szCs w:val="20"/>
              </w:rPr>
              <w:t>Distributors</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682CC39" w14:textId="379E037A"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79.993,11</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A0F41BA" w14:textId="72829BCF"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81.317,93</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A930927" w14:textId="3E7680C9"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4.096,0</w:t>
            </w:r>
            <w:r w:rsidR="007170E0" w:rsidRPr="008902F2">
              <w:rPr>
                <w:rFonts w:ascii="Times New Roman" w:hAnsi="Times New Roman"/>
                <w:color w:val="000000"/>
                <w:sz w:val="18"/>
                <w:szCs w:val="18"/>
              </w:rPr>
              <w:t>8</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100B2C0" w14:textId="1762D141"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9.959.686,96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78C6F8E" w14:textId="25B7C1CC"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200.937,</w:t>
            </w:r>
            <w:r w:rsidR="007170E0" w:rsidRPr="008902F2">
              <w:rPr>
                <w:rFonts w:ascii="Times New Roman" w:hAnsi="Times New Roman"/>
                <w:color w:val="000000"/>
                <w:sz w:val="18"/>
                <w:szCs w:val="18"/>
              </w:rPr>
              <w:t>60</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4FD480D" w14:textId="5FD879DB"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color w:val="000000"/>
                <w:sz w:val="18"/>
                <w:szCs w:val="18"/>
              </w:rPr>
              <w:t>10.164.720,6</w:t>
            </w:r>
            <w:r w:rsidR="007170E0" w:rsidRPr="008902F2">
              <w:rPr>
                <w:rFonts w:ascii="Times New Roman" w:hAnsi="Times New Roman"/>
                <w:color w:val="000000"/>
                <w:sz w:val="18"/>
                <w:szCs w:val="18"/>
              </w:rPr>
              <w:t>4</w:t>
            </w:r>
          </w:p>
        </w:tc>
      </w:tr>
      <w:tr w:rsidR="00873EA8" w:rsidRPr="008902F2" w14:paraId="49A2E1AE" w14:textId="77777777" w:rsidTr="007170E0">
        <w:trPr>
          <w:trHeight w:val="276"/>
        </w:trPr>
        <w:tc>
          <w:tcPr>
            <w:tcW w:w="829" w:type="pct"/>
            <w:vMerge/>
            <w:vAlign w:val="center"/>
          </w:tcPr>
          <w:p w14:paraId="72241D2F" w14:textId="77777777" w:rsidR="00873EA8" w:rsidRPr="008902F2" w:rsidRDefault="00873EA8" w:rsidP="00873EA8">
            <w:pPr>
              <w:spacing w:after="0" w:line="240" w:lineRule="auto"/>
              <w:jc w:val="center"/>
              <w:rPr>
                <w:rFonts w:ascii="Times New Roman" w:eastAsia="Times New Roman" w:hAnsi="Times New Roman"/>
                <w:color w:val="000000"/>
                <w:lang w:eastAsia="tr-TR"/>
              </w:rPr>
            </w:pPr>
          </w:p>
        </w:tc>
        <w:tc>
          <w:tcPr>
            <w:tcW w:w="48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7BB81E4" w14:textId="77777777" w:rsidR="00873EA8" w:rsidRPr="008902F2" w:rsidRDefault="00873EA8" w:rsidP="00873EA8">
            <w:pPr>
              <w:spacing w:after="0" w:line="240" w:lineRule="auto"/>
              <w:rPr>
                <w:rFonts w:ascii="Times New Roman" w:eastAsia="Times New Roman" w:hAnsi="Times New Roman"/>
                <w:b/>
                <w:color w:val="000000"/>
                <w:sz w:val="20"/>
                <w:szCs w:val="20"/>
                <w:lang w:eastAsia="tr-TR"/>
              </w:rPr>
            </w:pPr>
            <w:r w:rsidRPr="008902F2">
              <w:rPr>
                <w:rFonts w:ascii="Times New Roman" w:hAnsi="Times New Roman"/>
                <w:b/>
                <w:bCs/>
                <w:color w:val="000000"/>
                <w:sz w:val="20"/>
                <w:szCs w:val="20"/>
              </w:rPr>
              <w:t>Sum</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BC8F772" w14:textId="43F8332A"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270.787,68</w:t>
            </w:r>
          </w:p>
        </w:tc>
        <w:tc>
          <w:tcPr>
            <w:tcW w:w="54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20EFA2E1" w14:textId="17A0512F"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272.691,15</w:t>
            </w:r>
          </w:p>
        </w:tc>
        <w:tc>
          <w:tcPr>
            <w:tcW w:w="592"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4FBCB8D2" w14:textId="5B86189B"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4.353.135,1</w:t>
            </w:r>
            <w:r w:rsidR="007170E0" w:rsidRPr="008902F2">
              <w:rPr>
                <w:rFonts w:ascii="Times New Roman" w:hAnsi="Times New Roman"/>
                <w:b/>
                <w:bCs/>
                <w:color w:val="000000"/>
                <w:sz w:val="18"/>
                <w:szCs w:val="18"/>
              </w:rPr>
              <w:t>7</w:t>
            </w:r>
          </w:p>
        </w:tc>
        <w:tc>
          <w:tcPr>
            <w:tcW w:w="63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33557DDF" w14:textId="5284CE4F"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29.522.904,3</w:t>
            </w:r>
            <w:r w:rsidR="007170E0" w:rsidRPr="008902F2">
              <w:rPr>
                <w:rFonts w:ascii="Times New Roman" w:hAnsi="Times New Roman"/>
                <w:b/>
                <w:bCs/>
                <w:color w:val="000000"/>
                <w:sz w:val="18"/>
                <w:szCs w:val="18"/>
              </w:rPr>
              <w:t>6</w:t>
            </w:r>
          </w:p>
        </w:tc>
        <w:tc>
          <w:tcPr>
            <w:tcW w:w="624"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1A1CF56E" w14:textId="61A7D1FC"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210.340,1</w:t>
            </w:r>
            <w:r w:rsidR="007170E0" w:rsidRPr="008902F2">
              <w:rPr>
                <w:rFonts w:ascii="Times New Roman" w:hAnsi="Times New Roman"/>
                <w:b/>
                <w:bCs/>
                <w:color w:val="000000"/>
                <w:sz w:val="18"/>
                <w:szCs w:val="18"/>
              </w:rPr>
              <w:t>1</w:t>
            </w:r>
          </w:p>
        </w:tc>
        <w:tc>
          <w:tcPr>
            <w:tcW w:w="751" w:type="pct"/>
            <w:tcBorders>
              <w:top w:val="nil"/>
              <w:left w:val="nil"/>
              <w:bottom w:val="single" w:sz="8" w:space="0" w:color="D9D9D9" w:themeColor="background1" w:themeShade="D9"/>
              <w:right w:val="single" w:sz="8" w:space="0" w:color="D9D9D9" w:themeColor="background1" w:themeShade="D9"/>
            </w:tcBorders>
            <w:shd w:val="clear" w:color="auto" w:fill="auto"/>
            <w:vAlign w:val="center"/>
          </w:tcPr>
          <w:p w14:paraId="626A6DBE" w14:textId="0EC7AE56" w:rsidR="00873EA8" w:rsidRPr="008902F2" w:rsidRDefault="00873EA8" w:rsidP="00873EA8">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34.086.379,63</w:t>
            </w:r>
          </w:p>
        </w:tc>
      </w:tr>
      <w:tr w:rsidR="006836C6" w:rsidRPr="008902F2" w14:paraId="6AF7DCE7" w14:textId="77777777" w:rsidTr="6F691FB8">
        <w:trPr>
          <w:trHeight w:val="20"/>
        </w:trPr>
        <w:tc>
          <w:tcPr>
            <w:tcW w:w="1311" w:type="pct"/>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auto"/>
            <w:vAlign w:val="center"/>
            <w:hideMark/>
          </w:tcPr>
          <w:p w14:paraId="408B1C1E" w14:textId="77777777" w:rsidR="006836C6" w:rsidRPr="008902F2" w:rsidRDefault="006836C6" w:rsidP="006836C6">
            <w:pPr>
              <w:spacing w:after="0" w:line="240" w:lineRule="auto"/>
              <w:jc w:val="center"/>
              <w:rPr>
                <w:rFonts w:ascii="Times New Roman" w:eastAsia="Times New Roman" w:hAnsi="Times New Roman"/>
                <w:b/>
                <w:bCs/>
                <w:color w:val="000000"/>
                <w:lang w:eastAsia="tr-TR"/>
              </w:rPr>
            </w:pPr>
            <w:r w:rsidRPr="008902F2">
              <w:rPr>
                <w:rFonts w:ascii="Times New Roman" w:eastAsia="Times New Roman" w:hAnsi="Times New Roman"/>
                <w:b/>
                <w:color w:val="000000"/>
              </w:rPr>
              <w:t>Grand Total</w:t>
            </w:r>
          </w:p>
        </w:tc>
        <w:tc>
          <w:tcPr>
            <w:tcW w:w="544" w:type="pct"/>
            <w:tcBorders>
              <w:top w:val="nil"/>
              <w:left w:val="nil"/>
              <w:bottom w:val="single" w:sz="4" w:space="0" w:color="D9D9D9" w:themeColor="background1" w:themeShade="D9"/>
              <w:right w:val="single" w:sz="4" w:space="0" w:color="D9D9D9" w:themeColor="background1" w:themeShade="D9"/>
            </w:tcBorders>
            <w:shd w:val="clear" w:color="auto" w:fill="auto"/>
          </w:tcPr>
          <w:p w14:paraId="219B7C42" w14:textId="1D77E2AD"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3.342.266,09</w:t>
            </w:r>
          </w:p>
        </w:tc>
        <w:tc>
          <w:tcPr>
            <w:tcW w:w="54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14:paraId="0CA1D7E8" w14:textId="2373C69B"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3.315.309,2</w:t>
            </w:r>
            <w:r w:rsidR="007170E0" w:rsidRPr="008902F2">
              <w:rPr>
                <w:rFonts w:ascii="Times New Roman" w:hAnsi="Times New Roman"/>
                <w:b/>
                <w:bCs/>
                <w:color w:val="000000"/>
                <w:sz w:val="18"/>
                <w:szCs w:val="18"/>
              </w:rPr>
              <w:t>5</w:t>
            </w:r>
          </w:p>
        </w:tc>
        <w:tc>
          <w:tcPr>
            <w:tcW w:w="592"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14:paraId="09CA6D2F" w14:textId="2B79DD5D"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48.349.269,3</w:t>
            </w:r>
            <w:r w:rsidR="007170E0" w:rsidRPr="008902F2">
              <w:rPr>
                <w:rFonts w:ascii="Times New Roman" w:hAnsi="Times New Roman"/>
                <w:b/>
                <w:bCs/>
                <w:color w:val="000000"/>
                <w:sz w:val="18"/>
                <w:szCs w:val="18"/>
              </w:rPr>
              <w:t>7</w:t>
            </w:r>
          </w:p>
        </w:tc>
        <w:tc>
          <w:tcPr>
            <w:tcW w:w="63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14:paraId="44450FEE" w14:textId="7D2DFB2B"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363.616.783,76</w:t>
            </w:r>
          </w:p>
        </w:tc>
        <w:tc>
          <w:tcPr>
            <w:tcW w:w="62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14:paraId="38C67B6A" w14:textId="68099E46"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1.950.703,23</w:t>
            </w:r>
          </w:p>
        </w:tc>
        <w:tc>
          <w:tcPr>
            <w:tcW w:w="751"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14:paraId="7E438245" w14:textId="5409D4CC" w:rsidR="006836C6" w:rsidRPr="008902F2" w:rsidDel="00052591" w:rsidRDefault="006836C6" w:rsidP="006836C6">
            <w:pPr>
              <w:spacing w:after="0" w:line="240" w:lineRule="auto"/>
              <w:jc w:val="right"/>
              <w:rPr>
                <w:rFonts w:ascii="Times New Roman" w:hAnsi="Times New Roman"/>
                <w:b/>
                <w:bCs/>
                <w:color w:val="000000"/>
                <w:sz w:val="18"/>
                <w:szCs w:val="18"/>
              </w:rPr>
            </w:pPr>
            <w:r w:rsidRPr="008902F2">
              <w:rPr>
                <w:rFonts w:ascii="Times New Roman" w:hAnsi="Times New Roman"/>
                <w:b/>
                <w:bCs/>
                <w:color w:val="000000"/>
                <w:sz w:val="18"/>
                <w:szCs w:val="18"/>
              </w:rPr>
              <w:t>413.916.665,37</w:t>
            </w:r>
          </w:p>
        </w:tc>
      </w:tr>
    </w:tbl>
    <w:p w14:paraId="5EEAC298" w14:textId="77777777" w:rsidR="004E03B6" w:rsidRPr="008902F2" w:rsidRDefault="004E03B6" w:rsidP="004E03B6">
      <w:pPr>
        <w:spacing w:after="0"/>
        <w:rPr>
          <w:rFonts w:ascii="Times New Roman" w:hAnsi="Times New Roman"/>
        </w:rPr>
      </w:pPr>
    </w:p>
    <w:p w14:paraId="143E8C0A" w14:textId="03B9EAC1" w:rsidR="004E03B6" w:rsidRPr="008902F2" w:rsidRDefault="004E03B6" w:rsidP="004E03B6">
      <w:pPr>
        <w:autoSpaceDE w:val="0"/>
        <w:autoSpaceDN w:val="0"/>
        <w:adjustRightInd w:val="0"/>
        <w:spacing w:after="0"/>
        <w:rPr>
          <w:rFonts w:ascii="Times New Roman" w:hAnsi="Times New Roman"/>
          <w:color w:val="000000" w:themeColor="text1"/>
        </w:rPr>
      </w:pPr>
      <w:r w:rsidRPr="008902F2">
        <w:rPr>
          <w:rFonts w:ascii="Times New Roman" w:hAnsi="Times New Roman"/>
          <w:color w:val="000000" w:themeColor="text1"/>
        </w:rPr>
        <w:t>At the terms and level determined by the Authority, UM is added to the fuel oil by the relevant licensees and then checked with a "</w:t>
      </w:r>
      <w:r w:rsidRPr="008902F2">
        <w:rPr>
          <w:rFonts w:ascii="Times New Roman" w:hAnsi="Times New Roman"/>
          <w:i/>
          <w:color w:val="000000" w:themeColor="text1"/>
        </w:rPr>
        <w:t>simplified control device"</w:t>
      </w:r>
      <w:r w:rsidRPr="008902F2">
        <w:rPr>
          <w:rFonts w:ascii="Times New Roman" w:hAnsi="Times New Roman"/>
          <w:color w:val="000000" w:themeColor="text1"/>
        </w:rPr>
        <w:t xml:space="preserve"> developed by TÜBİTAK before being placed on the market. In the inspections of the fuel oil offered to the market, the</w:t>
      </w:r>
      <w:r w:rsidRPr="008902F2">
        <w:rPr>
          <w:rFonts w:ascii="Times New Roman" w:hAnsi="Times New Roman"/>
          <w:i/>
          <w:color w:val="000000" w:themeColor="text1"/>
        </w:rPr>
        <w:t xml:space="preserve"> "National Marker Field Control Device" produced by </w:t>
      </w:r>
      <w:r w:rsidRPr="008902F2">
        <w:rPr>
          <w:rFonts w:ascii="Times New Roman" w:hAnsi="Times New Roman"/>
          <w:i/>
          <w:color w:val="000000" w:themeColor="text1"/>
        </w:rPr>
        <w:lastRenderedPageBreak/>
        <w:t xml:space="preserve">TÜBİTAK </w:t>
      </w:r>
      <w:r w:rsidRPr="008902F2">
        <w:rPr>
          <w:rFonts w:ascii="Times New Roman" w:hAnsi="Times New Roman"/>
          <w:color w:val="000000" w:themeColor="text1"/>
        </w:rPr>
        <w:t>is used. Inspections of fuel oil in free circulation in the oil market are carried out within the framework of the cooperation protocols signed between the Authority and the Ministry of Interior and the Ministry of Trade.</w:t>
      </w:r>
    </w:p>
    <w:p w14:paraId="38D1B4C6" w14:textId="77777777" w:rsidR="004E03B6" w:rsidRPr="008902F2" w:rsidRDefault="004E03B6" w:rsidP="004E03B6">
      <w:pPr>
        <w:autoSpaceDE w:val="0"/>
        <w:autoSpaceDN w:val="0"/>
        <w:adjustRightInd w:val="0"/>
        <w:spacing w:after="0"/>
        <w:rPr>
          <w:rFonts w:ascii="Times New Roman" w:hAnsi="Times New Roman"/>
          <w:color w:val="000000" w:themeColor="text1"/>
        </w:rPr>
      </w:pPr>
    </w:p>
    <w:p w14:paraId="0CDA7829" w14:textId="4CB31704" w:rsidR="004E03B6" w:rsidRPr="008902F2" w:rsidRDefault="00FA6184" w:rsidP="004E03B6">
      <w:pPr>
        <w:spacing w:after="0"/>
        <w:rPr>
          <w:rFonts w:ascii="Times New Roman" w:hAnsi="Times New Roman"/>
          <w:color w:val="000000" w:themeColor="text1"/>
        </w:rPr>
      </w:pPr>
      <w:r w:rsidRPr="008902F2">
        <w:rPr>
          <w:rFonts w:ascii="Times New Roman" w:hAnsi="Times New Roman"/>
          <w:color w:val="000000" w:themeColor="text1"/>
        </w:rPr>
        <w:t xml:space="preserve">As a result of the UM application, product quality control can be carried out at every stage of the product supply chain by separating the fuel oil that is legally in free circulation within the country and illegal fuel oil </w:t>
      </w:r>
      <w:r w:rsidR="002C6E4B" w:rsidRPr="008902F2">
        <w:rPr>
          <w:rFonts w:ascii="Times New Roman" w:hAnsi="Times New Roman"/>
          <w:color w:val="000000" w:themeColor="text1"/>
        </w:rPr>
        <w:t>and the supply of smuggled fuel to the domestic market and rel</w:t>
      </w:r>
      <w:r w:rsidR="007170E0" w:rsidRPr="008902F2">
        <w:rPr>
          <w:rFonts w:ascii="Times New Roman" w:hAnsi="Times New Roman"/>
          <w:color w:val="000000" w:themeColor="text1"/>
        </w:rPr>
        <w:t>e</w:t>
      </w:r>
      <w:r w:rsidR="002C6E4B" w:rsidRPr="008902F2">
        <w:rPr>
          <w:rFonts w:ascii="Times New Roman" w:hAnsi="Times New Roman"/>
          <w:color w:val="000000" w:themeColor="text1"/>
        </w:rPr>
        <w:t xml:space="preserve">asing </w:t>
      </w:r>
      <w:r w:rsidR="007170E0" w:rsidRPr="008902F2">
        <w:rPr>
          <w:rFonts w:ascii="Times New Roman" w:hAnsi="Times New Roman"/>
          <w:color w:val="000000" w:themeColor="text1"/>
        </w:rPr>
        <w:t>to</w:t>
      </w:r>
      <w:r w:rsidR="002C6E4B" w:rsidRPr="008902F2">
        <w:rPr>
          <w:rFonts w:ascii="Times New Roman" w:hAnsi="Times New Roman"/>
          <w:color w:val="000000" w:themeColor="text1"/>
        </w:rPr>
        <w:t xml:space="preserve"> the market</w:t>
      </w:r>
      <w:r w:rsidR="007170E0" w:rsidRPr="008902F2">
        <w:rPr>
          <w:rFonts w:ascii="Times New Roman" w:hAnsi="Times New Roman"/>
          <w:color w:val="000000" w:themeColor="text1"/>
        </w:rPr>
        <w:t xml:space="preserve"> of </w:t>
      </w:r>
      <w:r w:rsidR="002C6E4B" w:rsidRPr="008902F2">
        <w:rPr>
          <w:rFonts w:ascii="Times New Roman" w:hAnsi="Times New Roman"/>
          <w:color w:val="000000" w:themeColor="text1"/>
        </w:rPr>
        <w:t>non-standard fuel by mixing with other fuel are prevented</w:t>
      </w:r>
      <w:r w:rsidRPr="008902F2">
        <w:rPr>
          <w:rFonts w:ascii="Times New Roman" w:hAnsi="Times New Roman"/>
          <w:color w:val="000000" w:themeColor="text1"/>
        </w:rPr>
        <w:t>. Thus, it can be ensured that the fuel oil supplied to the market indirectly complies with the standards.</w:t>
      </w:r>
    </w:p>
    <w:p w14:paraId="23443BA5" w14:textId="77777777" w:rsidR="005D0429" w:rsidRPr="008902F2" w:rsidRDefault="3ADF3150" w:rsidP="00A86526">
      <w:pPr>
        <w:pStyle w:val="Balk4"/>
        <w:numPr>
          <w:ilvl w:val="3"/>
          <w:numId w:val="27"/>
        </w:numPr>
        <w:spacing w:after="240"/>
        <w:rPr>
          <w:rFonts w:ascii="Times New Roman" w:hAnsi="Times New Roman" w:cs="Times New Roman"/>
          <w:i w:val="0"/>
          <w:iCs w:val="0"/>
        </w:rPr>
      </w:pPr>
      <w:bookmarkStart w:id="120" w:name="_Toc143113414"/>
      <w:r w:rsidRPr="008902F2">
        <w:rPr>
          <w:rFonts w:ascii="Times New Roman" w:hAnsi="Times New Roman" w:cs="Times New Roman"/>
          <w:i w:val="0"/>
          <w:iCs w:val="0"/>
        </w:rPr>
        <w:t>Fuel Dealers Automation System</w:t>
      </w:r>
      <w:bookmarkEnd w:id="120"/>
    </w:p>
    <w:p w14:paraId="3A7A5D4E" w14:textId="3FE0C8FF" w:rsidR="5BD6FDF8" w:rsidRPr="008902F2" w:rsidRDefault="5BD6FDF8" w:rsidP="6F691FB8">
      <w:pPr>
        <w:rPr>
          <w:rFonts w:ascii="Times New Roman" w:hAnsi="Times New Roman"/>
          <w:color w:val="000000" w:themeColor="text1"/>
        </w:rPr>
      </w:pPr>
      <w:r w:rsidRPr="008902F2">
        <w:rPr>
          <w:rFonts w:ascii="Times New Roman" w:hAnsi="Times New Roman"/>
          <w:color w:val="000000" w:themeColor="text1"/>
        </w:rPr>
        <w:t>In accordance with the seventh paragraph of Article 7 of the Petroleum Market Law, which states, "Distributor license holders shall establish and implement an inspection system that includes technological methods to prevent unauthorized petrol sales at their dealerships, in compliance with the principles determined by the Authority," necessary actions have been taken by the Authority. On 06.07.2007, Decision No. 1240 dated 27.06.2007 was published in the Official Gazette No. 26574 and entered into force. According to the first paragraph of Article 4 of the mentioned Decision, clause (b), "At fuel stations, an automated station system shall be established to electronically monitor daily stock movements and fuel trading activities. An integrated station automation system with central connection shall monitor and report the fuel trading activities at the dealerships. In case of detecting unauthorized supply and sales, the Authority shall be immediately informed." As per this provision, the obligation to establish and implement automation systems has been imposed on distributor license holders. This obligation began on 30.06.2011 for fuel stations and on 30.09.2011 for fixed village pumps and agricultural sales tankers.</w:t>
      </w:r>
    </w:p>
    <w:p w14:paraId="61E39AF3" w14:textId="65260FA8" w:rsidR="6F691FB8" w:rsidRPr="008902F2" w:rsidRDefault="5BD6FDF8" w:rsidP="6F691FB8">
      <w:pPr>
        <w:rPr>
          <w:rFonts w:ascii="Times New Roman" w:hAnsi="Times New Roman"/>
          <w:color w:val="000000" w:themeColor="text1"/>
        </w:rPr>
      </w:pPr>
      <w:r w:rsidRPr="008902F2">
        <w:rPr>
          <w:rFonts w:ascii="Times New Roman" w:hAnsi="Times New Roman"/>
          <w:color w:val="000000" w:themeColor="text1"/>
        </w:rPr>
        <w:t>Within the scope of Decision No. 1240 regarding the Dealer Inspection System, distributor license holders are obligated to report the data they collect through their inspection system to the Authority on a daily and monthly basis. Some of this data is received through electronically signed notifications within the scope of EBIS (Electronic Fuel Monitoring System), while some is transmitted to the Authority via web services. The station automation system data received by the Authority is shared with the institutions and organizations responsible for combating fuel smuggling, in accordance with the Petroleum Market Law and to the extent required by their responsibilities. Furthermore, statistical information derived from this data is shared weekly with the Ministry of Energy and Natural Resources.</w:t>
      </w:r>
    </w:p>
    <w:p w14:paraId="542B56A5" w14:textId="00338DCE" w:rsidR="3262BB01" w:rsidRPr="008902F2" w:rsidRDefault="3262BB01" w:rsidP="6F691FB8">
      <w:pPr>
        <w:rPr>
          <w:rFonts w:ascii="Times New Roman" w:hAnsi="Times New Roman"/>
          <w:color w:val="000000" w:themeColor="text1"/>
        </w:rPr>
      </w:pPr>
      <w:r w:rsidRPr="008902F2">
        <w:rPr>
          <w:rFonts w:ascii="Times New Roman" w:hAnsi="Times New Roman"/>
          <w:color w:val="000000" w:themeColor="text1"/>
        </w:rPr>
        <w:t>In accordance with Article 7 of Law No. 7318 published in the Official Gazette dated 30.04.2021 and No. 5015, added to Article 7 of Law No. 5015, "Distributor license holders are obliged to establish and implement an inspection system that includes technological methods to prevent unauthorized fuel sales at their dealerships, in accordance with the principles determined by the Authority. (Additional clause: 29.4.2021-7318/7 md.) The distributor license holder establishes and implements the inspection system through legal entities authorized by the Authority. The administrative, financial, and technical conditions to be sought from legal entities that will establish and implement the inspection system, as well as the rights and obligations of these legal entities, are determined by the Authority..." Consequently, authorization applications from automation companies meeting the specified conditions are evaluated by the Authority for the establishment, implementation, maintenance, and repair of the dealer inspection system. Furthermore, in accordance with Decision No. 10338 published in the Official Gazette dated 29.07.2021 and No. 31557, starting from 01.01.2022, distributor license holders and authorized automation companies are jointly responsible for the accurate generation, protection, storage, and complete submission of data to the Authority in accordance with the procedures and principles stipulated in the "Automation System Guide" attached to Decision No. 1240. In the year 2022, there are 7 authorized automation companies, and their trade names are provided below.</w:t>
      </w:r>
    </w:p>
    <w:p w14:paraId="54D3CF48" w14:textId="77777777" w:rsidR="00B86522" w:rsidRPr="008902F2" w:rsidRDefault="00B86522" w:rsidP="6F691FB8">
      <w:pPr>
        <w:rPr>
          <w:rFonts w:ascii="Times New Roman" w:hAnsi="Times New Roman"/>
          <w:color w:val="000000" w:themeColor="text1"/>
        </w:rPr>
      </w:pPr>
    </w:p>
    <w:p w14:paraId="2B6E180A" w14:textId="77777777" w:rsidR="00986A70" w:rsidRPr="008902F2" w:rsidRDefault="00986A70" w:rsidP="00986A70">
      <w:pPr>
        <w:pStyle w:val="Balk5"/>
        <w:jc w:val="center"/>
        <w:rPr>
          <w:rStyle w:val="Gl"/>
          <w:rFonts w:ascii="Times New Roman" w:hAnsi="Times New Roman" w:cs="Times New Roman"/>
          <w:color w:val="000000" w:themeColor="text1"/>
        </w:rPr>
      </w:pPr>
      <w:bookmarkStart w:id="121" w:name="_Toc132713901"/>
      <w:r w:rsidRPr="008902F2">
        <w:rPr>
          <w:rStyle w:val="Gl"/>
          <w:rFonts w:ascii="Times New Roman" w:hAnsi="Times New Roman" w:cs="Times New Roman"/>
          <w:color w:val="000000" w:themeColor="text1"/>
        </w:rPr>
        <w:lastRenderedPageBreak/>
        <w:t>Table 3.11: Authorized Automation Companies in 2022</w:t>
      </w:r>
      <w:bookmarkEnd w:id="121"/>
    </w:p>
    <w:tbl>
      <w:tblPr>
        <w:tblW w:w="9214" w:type="dxa"/>
        <w:jc w:val="center"/>
        <w:tblCellMar>
          <w:left w:w="70" w:type="dxa"/>
          <w:right w:w="70" w:type="dxa"/>
        </w:tblCellMar>
        <w:tblLook w:val="04A0" w:firstRow="1" w:lastRow="0" w:firstColumn="1" w:lastColumn="0" w:noHBand="0" w:noVBand="1"/>
      </w:tblPr>
      <w:tblGrid>
        <w:gridCol w:w="9214"/>
      </w:tblGrid>
      <w:tr w:rsidR="00986A70" w:rsidRPr="008902F2" w14:paraId="4325C1AC" w14:textId="77777777" w:rsidTr="6F691FB8">
        <w:trPr>
          <w:trHeight w:val="580"/>
          <w:jc w:val="center"/>
        </w:trPr>
        <w:tc>
          <w:tcPr>
            <w:tcW w:w="9214" w:type="dxa"/>
            <w:tcBorders>
              <w:top w:val="nil"/>
              <w:left w:val="single" w:sz="4" w:space="0" w:color="4F81BD" w:themeColor="accent1"/>
              <w:bottom w:val="single" w:sz="4" w:space="0" w:color="BFBFBF" w:themeColor="background1" w:themeShade="BF"/>
              <w:right w:val="single" w:sz="4" w:space="0" w:color="D3D3D3"/>
            </w:tcBorders>
            <w:shd w:val="clear" w:color="auto" w:fill="6E9ECA"/>
            <w:vAlign w:val="center"/>
            <w:hideMark/>
          </w:tcPr>
          <w:p w14:paraId="775B1E57" w14:textId="77777777" w:rsidR="00986A70" w:rsidRPr="008902F2" w:rsidRDefault="00986A70" w:rsidP="0071148E">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Company Name</w:t>
            </w:r>
          </w:p>
        </w:tc>
      </w:tr>
      <w:tr w:rsidR="00986A70" w:rsidRPr="008902F2" w14:paraId="57134ECB"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25B05C" w14:textId="56F6E93E" w:rsidR="00986A70" w:rsidRPr="008902F2" w:rsidRDefault="00F038B2" w:rsidP="00986A70">
            <w:pPr>
              <w:rPr>
                <w:rFonts w:ascii="Times New Roman" w:hAnsi="Times New Roman"/>
              </w:rPr>
            </w:pPr>
            <w:r w:rsidRPr="008902F2">
              <w:rPr>
                <w:rFonts w:ascii="Times New Roman" w:hAnsi="Times New Roman"/>
              </w:rPr>
              <w:t>MEPSAN PETROLEUM EQUIOMENT INDUSTRY AND TRADE JOINT S</w:t>
            </w:r>
            <w:r w:rsidR="6B1BA960" w:rsidRPr="008902F2">
              <w:rPr>
                <w:rFonts w:ascii="Times New Roman" w:hAnsi="Times New Roman"/>
              </w:rPr>
              <w:t>T</w:t>
            </w:r>
            <w:r w:rsidRPr="008902F2">
              <w:rPr>
                <w:rFonts w:ascii="Times New Roman" w:hAnsi="Times New Roman"/>
              </w:rPr>
              <w:t>OCK COMPA</w:t>
            </w:r>
            <w:r w:rsidR="0BC936C8" w:rsidRPr="008902F2">
              <w:rPr>
                <w:rFonts w:ascii="Times New Roman" w:hAnsi="Times New Roman"/>
              </w:rPr>
              <w:t>NY</w:t>
            </w:r>
          </w:p>
        </w:tc>
      </w:tr>
      <w:tr w:rsidR="00986A70" w:rsidRPr="008902F2" w14:paraId="5F941A17"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8D379D" w14:textId="77777777" w:rsidR="00986A70" w:rsidRPr="008902F2" w:rsidRDefault="00986A70" w:rsidP="00986A70">
            <w:pPr>
              <w:rPr>
                <w:rFonts w:ascii="Times New Roman" w:hAnsi="Times New Roman"/>
              </w:rPr>
            </w:pPr>
            <w:r w:rsidRPr="008902F2">
              <w:rPr>
                <w:rFonts w:ascii="Times New Roman" w:hAnsi="Times New Roman"/>
              </w:rPr>
              <w:t>TURPAK ELECTROMAGNETIC REFUELING SYSTEMS TRADE JOINT STOCK COMPANY</w:t>
            </w:r>
          </w:p>
        </w:tc>
      </w:tr>
      <w:tr w:rsidR="00986A70" w:rsidRPr="008902F2" w14:paraId="5958506D"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02417" w14:textId="4103175E" w:rsidR="00986A70" w:rsidRPr="008902F2" w:rsidRDefault="72A420C9" w:rsidP="00986A70">
            <w:pPr>
              <w:rPr>
                <w:rFonts w:ascii="Times New Roman" w:hAnsi="Times New Roman"/>
              </w:rPr>
            </w:pPr>
            <w:r w:rsidRPr="008902F2">
              <w:rPr>
                <w:rFonts w:ascii="Times New Roman" w:hAnsi="Times New Roman"/>
              </w:rPr>
              <w:t>ASIS AUTOMATION AND FUEL SYSTEM</w:t>
            </w:r>
            <w:r w:rsidR="150226A1" w:rsidRPr="008902F2">
              <w:rPr>
                <w:rFonts w:ascii="Times New Roman" w:hAnsi="Times New Roman"/>
              </w:rPr>
              <w:t xml:space="preserve"> JOIN STOCK COMPANY</w:t>
            </w:r>
          </w:p>
        </w:tc>
      </w:tr>
      <w:tr w:rsidR="00986A70" w:rsidRPr="008902F2" w14:paraId="058BB395"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8923F7" w14:textId="6A0068E2" w:rsidR="00986A70" w:rsidRPr="008902F2" w:rsidRDefault="0E7F6C65" w:rsidP="00986A70">
            <w:pPr>
              <w:rPr>
                <w:rFonts w:ascii="Times New Roman" w:hAnsi="Times New Roman"/>
              </w:rPr>
            </w:pPr>
            <w:r w:rsidRPr="008902F2">
              <w:rPr>
                <w:rFonts w:ascii="Times New Roman" w:hAnsi="Times New Roman"/>
              </w:rPr>
              <w:t>PETRONET AUTOMATİON ENERGY ENGİNEERİNG CONSTRUCTİON PETRO</w:t>
            </w:r>
            <w:r w:rsidR="7C540D7C" w:rsidRPr="008902F2">
              <w:rPr>
                <w:rFonts w:ascii="Times New Roman" w:hAnsi="Times New Roman"/>
              </w:rPr>
              <w:t>LEUM INDUSTRY AND TRADE JOİNT STOCK COMPANY</w:t>
            </w:r>
          </w:p>
        </w:tc>
      </w:tr>
      <w:tr w:rsidR="00986A70" w:rsidRPr="008902F2" w14:paraId="0E561FB7"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297FF3" w14:textId="77777777" w:rsidR="00986A70" w:rsidRPr="008902F2" w:rsidRDefault="00986A70" w:rsidP="00986A70">
            <w:pPr>
              <w:rPr>
                <w:rFonts w:ascii="Times New Roman" w:hAnsi="Times New Roman"/>
              </w:rPr>
            </w:pPr>
            <w:r w:rsidRPr="008902F2">
              <w:rPr>
                <w:rFonts w:ascii="Times New Roman" w:hAnsi="Times New Roman"/>
              </w:rPr>
              <w:t>AGRICULTURAL CREDIT TECHNOLOGY JOINT STOCK COMPANY</w:t>
            </w:r>
          </w:p>
        </w:tc>
      </w:tr>
      <w:tr w:rsidR="00986A70" w:rsidRPr="008902F2" w14:paraId="68F53CA4"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EDABEB" w14:textId="77777777" w:rsidR="00986A70" w:rsidRPr="008902F2" w:rsidRDefault="00986A70" w:rsidP="00986A70">
            <w:pPr>
              <w:rPr>
                <w:rFonts w:ascii="Times New Roman" w:hAnsi="Times New Roman"/>
              </w:rPr>
            </w:pPr>
            <w:r w:rsidRPr="008902F2">
              <w:rPr>
                <w:rFonts w:ascii="Times New Roman" w:hAnsi="Times New Roman"/>
              </w:rPr>
              <w:t>TORA PETROLEUM PRODUCTS ENGINEERING ELECTRICAL AND ELECTRONICS INDUSTRY TRADE JOINT STOCK COMPANY</w:t>
            </w:r>
          </w:p>
        </w:tc>
      </w:tr>
      <w:tr w:rsidR="00B35DE1" w:rsidRPr="008902F2" w14:paraId="7CEA646E" w14:textId="77777777" w:rsidTr="6F691FB8">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4AB57" w14:textId="77777777" w:rsidR="00B35DE1" w:rsidRPr="008902F2" w:rsidRDefault="00097839" w:rsidP="00986A70">
            <w:pPr>
              <w:rPr>
                <w:rFonts w:ascii="Times New Roman" w:hAnsi="Times New Roman"/>
              </w:rPr>
            </w:pPr>
            <w:r w:rsidRPr="008902F2">
              <w:rPr>
                <w:rFonts w:ascii="Times New Roman" w:hAnsi="Times New Roman"/>
              </w:rPr>
              <w:t>TRIGON TECHNOLOGY AUTOMATION SYSTEMS INDUSTRY JOINT STOCK COMPANY</w:t>
            </w:r>
          </w:p>
        </w:tc>
      </w:tr>
    </w:tbl>
    <w:p w14:paraId="1E87E18D" w14:textId="77777777" w:rsidR="004E03B6" w:rsidRPr="008902F2" w:rsidRDefault="3ADF3150" w:rsidP="00A86526">
      <w:pPr>
        <w:pStyle w:val="Balk4"/>
        <w:numPr>
          <w:ilvl w:val="3"/>
          <w:numId w:val="27"/>
        </w:numPr>
        <w:spacing w:after="240"/>
        <w:rPr>
          <w:rFonts w:ascii="Times New Roman" w:hAnsi="Times New Roman" w:cs="Times New Roman"/>
          <w:i w:val="0"/>
          <w:iCs w:val="0"/>
        </w:rPr>
      </w:pPr>
      <w:bookmarkStart w:id="122" w:name="_Toc143113415"/>
      <w:r w:rsidRPr="008902F2">
        <w:rPr>
          <w:rFonts w:ascii="Times New Roman" w:hAnsi="Times New Roman" w:cs="Times New Roman"/>
          <w:i w:val="0"/>
          <w:iCs w:val="0"/>
        </w:rPr>
        <w:t>Oil Warehouse Stock Tracking System</w:t>
      </w:r>
      <w:bookmarkEnd w:id="122"/>
    </w:p>
    <w:p w14:paraId="4B2DA9A1" w14:textId="77777777" w:rsidR="001A5189" w:rsidRPr="008902F2" w:rsidRDefault="004E03B6" w:rsidP="001A5189">
      <w:pPr>
        <w:rPr>
          <w:rFonts w:ascii="Times New Roman" w:hAnsi="Times New Roman"/>
          <w:color w:val="000000" w:themeColor="text1"/>
        </w:rPr>
      </w:pPr>
      <w:r w:rsidRPr="008902F2">
        <w:rPr>
          <w:rFonts w:ascii="Times New Roman" w:hAnsi="Times New Roman"/>
          <w:color w:val="000000" w:themeColor="text1"/>
        </w:rPr>
        <w:t>The establishment of a tank tracking system has been completed in order to monitor the amount and levels of oil in the tanks in the storage facilities within the scope of the national stock in the petroleum market on an hourly basis in electronic environment and to directly monitor the data generated in these systems by the Authority. The Coupon system was added to the Oil Warehouse Stock Tracking system and the system was put into service as of 01.01.2018.</w:t>
      </w:r>
      <w:bookmarkStart w:id="123" w:name="_Toc442431263"/>
    </w:p>
    <w:p w14:paraId="18FF7917" w14:textId="72B746B2" w:rsidR="000E2647" w:rsidRPr="008902F2" w:rsidRDefault="000E2647" w:rsidP="6F691FB8">
      <w:pPr>
        <w:rPr>
          <w:rFonts w:ascii="Times New Roman" w:hAnsi="Times New Roman"/>
          <w:color w:val="000000" w:themeColor="text1"/>
        </w:rPr>
      </w:pPr>
    </w:p>
    <w:p w14:paraId="4BDE545A" w14:textId="77777777" w:rsidR="00CB5826" w:rsidRPr="008902F2" w:rsidRDefault="756206D8" w:rsidP="00A86526">
      <w:pPr>
        <w:pStyle w:val="Balk2"/>
        <w:numPr>
          <w:ilvl w:val="1"/>
          <w:numId w:val="27"/>
        </w:numPr>
        <w:spacing w:before="0" w:after="240"/>
        <w:rPr>
          <w:rFonts w:ascii="Times New Roman" w:hAnsi="Times New Roman" w:cs="Times New Roman"/>
          <w:szCs w:val="22"/>
        </w:rPr>
      </w:pPr>
      <w:bookmarkStart w:id="124" w:name="_Toc143113416"/>
      <w:r w:rsidRPr="008902F2">
        <w:rPr>
          <w:rFonts w:ascii="Times New Roman" w:hAnsi="Times New Roman" w:cs="Times New Roman"/>
          <w:szCs w:val="22"/>
        </w:rPr>
        <w:t>Liquefied Petroleum Gases (LPG) Market Licensing Activities</w:t>
      </w:r>
      <w:bookmarkEnd w:id="123"/>
      <w:bookmarkEnd w:id="124"/>
    </w:p>
    <w:p w14:paraId="225155CB" w14:textId="77777777" w:rsidR="00CB5826" w:rsidRPr="008902F2" w:rsidRDefault="00CB5826" w:rsidP="00CB5826">
      <w:pPr>
        <w:spacing w:after="0"/>
        <w:rPr>
          <w:rFonts w:ascii="Times New Roman" w:hAnsi="Times New Roman"/>
        </w:rPr>
      </w:pPr>
      <w:r w:rsidRPr="008902F2">
        <w:rPr>
          <w:rFonts w:ascii="Times New Roman" w:hAnsi="Times New Roman"/>
        </w:rPr>
        <w:t xml:space="preserve">LPG related; It is mandatory to obtain a license for LPG Distributor, LPG Transportation, LPG Storage, LPG Autogas Dealership, LPG Cylinder Manufacturing, LPG Cylinder Inspection, Repair and Maintenance activities. The activities to be carried out within the scope of LPG licenses and the obligations of the licensees are specified in the Liquefied Petroleum Gases (LPG) Market License Regulation. </w:t>
      </w:r>
    </w:p>
    <w:p w14:paraId="47DBB497" w14:textId="77777777" w:rsidR="00954AFF" w:rsidRPr="008902F2" w:rsidRDefault="00954AFF" w:rsidP="00CB5826">
      <w:pPr>
        <w:spacing w:after="0"/>
        <w:rPr>
          <w:rFonts w:ascii="Times New Roman" w:hAnsi="Times New Roman"/>
        </w:rPr>
      </w:pPr>
    </w:p>
    <w:p w14:paraId="6EBA5711" w14:textId="77777777" w:rsidR="00CB5826" w:rsidRPr="008902F2" w:rsidRDefault="00E725FC" w:rsidP="00CB5826">
      <w:pPr>
        <w:spacing w:after="0"/>
        <w:rPr>
          <w:rFonts w:ascii="Times New Roman" w:hAnsi="Times New Roman"/>
        </w:rPr>
      </w:pPr>
      <w:r w:rsidRPr="008902F2">
        <w:rPr>
          <w:rFonts w:ascii="Times New Roman" w:hAnsi="Times New Roman"/>
        </w:rPr>
        <w:t>The licensing procedures carried out in the LPG market in 2022 are listed in Table 3.10.</w:t>
      </w:r>
    </w:p>
    <w:p w14:paraId="45B08D2B" w14:textId="77777777" w:rsidR="00CB5826" w:rsidRPr="008902F2" w:rsidRDefault="004E03B6" w:rsidP="00C466F8">
      <w:pPr>
        <w:pStyle w:val="Balk5"/>
        <w:jc w:val="center"/>
        <w:rPr>
          <w:rStyle w:val="Gl"/>
          <w:rFonts w:ascii="Times New Roman" w:hAnsi="Times New Roman" w:cs="Times New Roman"/>
          <w:color w:val="000000" w:themeColor="text1"/>
        </w:rPr>
      </w:pPr>
      <w:bookmarkStart w:id="125" w:name="_Toc416447590"/>
      <w:bookmarkStart w:id="126" w:name="_Toc442441740"/>
      <w:bookmarkStart w:id="127" w:name="_Toc132713902"/>
      <w:r w:rsidRPr="008902F2">
        <w:rPr>
          <w:rStyle w:val="Gl"/>
          <w:rFonts w:ascii="Times New Roman" w:hAnsi="Times New Roman" w:cs="Times New Roman"/>
          <w:color w:val="000000" w:themeColor="text1"/>
        </w:rPr>
        <w:t>Table 3.12: License Transactions in the LPG Market in 2022 (Units)</w:t>
      </w:r>
      <w:bookmarkEnd w:id="125"/>
      <w:bookmarkEnd w:id="126"/>
      <w:bookmarkEnd w:id="12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53"/>
        <w:gridCol w:w="1326"/>
        <w:gridCol w:w="955"/>
        <w:gridCol w:w="1717"/>
        <w:gridCol w:w="959"/>
        <w:gridCol w:w="1387"/>
        <w:gridCol w:w="961"/>
        <w:gridCol w:w="1153"/>
      </w:tblGrid>
      <w:tr w:rsidR="003C6441" w:rsidRPr="008902F2" w14:paraId="787F53B2" w14:textId="77777777" w:rsidTr="008F1742">
        <w:trPr>
          <w:trHeight w:val="283"/>
        </w:trPr>
        <w:tc>
          <w:tcPr>
            <w:tcW w:w="794" w:type="pct"/>
            <w:shd w:val="clear" w:color="000000" w:fill="6E9ECA"/>
            <w:vAlign w:val="center"/>
            <w:hideMark/>
          </w:tcPr>
          <w:p w14:paraId="0BC2E4D7"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License Type</w:t>
            </w:r>
          </w:p>
        </w:tc>
        <w:tc>
          <w:tcPr>
            <w:tcW w:w="547" w:type="pct"/>
            <w:shd w:val="clear" w:color="000000" w:fill="6E9ECA"/>
            <w:vAlign w:val="center"/>
            <w:hideMark/>
          </w:tcPr>
          <w:p w14:paraId="583A0D02"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 Applications</w:t>
            </w:r>
          </w:p>
        </w:tc>
        <w:tc>
          <w:tcPr>
            <w:tcW w:w="543" w:type="pct"/>
            <w:shd w:val="clear" w:color="000000" w:fill="6E9ECA"/>
            <w:vAlign w:val="center"/>
            <w:hideMark/>
          </w:tcPr>
          <w:p w14:paraId="748FE76D"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Granted</w:t>
            </w:r>
          </w:p>
        </w:tc>
        <w:tc>
          <w:tcPr>
            <w:tcW w:w="837" w:type="pct"/>
            <w:shd w:val="clear" w:color="000000" w:fill="6E9ECA"/>
            <w:vAlign w:val="center"/>
            <w:hideMark/>
          </w:tcPr>
          <w:p w14:paraId="3E00F0C1"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Expired/Expired Licenses</w:t>
            </w:r>
          </w:p>
        </w:tc>
        <w:tc>
          <w:tcPr>
            <w:tcW w:w="545" w:type="pct"/>
            <w:shd w:val="clear" w:color="000000" w:fill="6E9ECA"/>
            <w:vAlign w:val="center"/>
            <w:hideMark/>
          </w:tcPr>
          <w:p w14:paraId="7CAA22F5"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Revoked Licenses</w:t>
            </w:r>
          </w:p>
        </w:tc>
        <w:tc>
          <w:tcPr>
            <w:tcW w:w="546" w:type="pct"/>
            <w:shd w:val="clear" w:color="000000" w:fill="6E9ECA"/>
            <w:vAlign w:val="center"/>
            <w:hideMark/>
          </w:tcPr>
          <w:p w14:paraId="65BF0EE2"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Amendments</w:t>
            </w:r>
          </w:p>
        </w:tc>
        <w:tc>
          <w:tcPr>
            <w:tcW w:w="546" w:type="pct"/>
            <w:shd w:val="clear" w:color="000000" w:fill="6E9ECA"/>
            <w:vAlign w:val="center"/>
            <w:hideMark/>
          </w:tcPr>
          <w:p w14:paraId="2AF3C91F"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Grand Total</w:t>
            </w:r>
          </w:p>
        </w:tc>
        <w:tc>
          <w:tcPr>
            <w:tcW w:w="642" w:type="pct"/>
            <w:shd w:val="clear" w:color="000000" w:fill="6E9ECA"/>
            <w:vAlign w:val="center"/>
            <w:hideMark/>
          </w:tcPr>
          <w:p w14:paraId="5AA15B6F" w14:textId="77777777" w:rsidR="003C6441" w:rsidRPr="008902F2" w:rsidRDefault="003C6441" w:rsidP="003C6441">
            <w:pPr>
              <w:spacing w:after="0" w:line="240" w:lineRule="auto"/>
              <w:jc w:val="center"/>
              <w:rPr>
                <w:rFonts w:ascii="Times New Roman" w:eastAsia="Times New Roman" w:hAnsi="Times New Roman"/>
                <w:b/>
                <w:bCs/>
                <w:color w:val="FFFFFF"/>
                <w:lang w:eastAsia="tr-TR"/>
              </w:rPr>
            </w:pPr>
            <w:r w:rsidRPr="008902F2">
              <w:rPr>
                <w:rFonts w:ascii="Times New Roman" w:eastAsia="Times New Roman" w:hAnsi="Times New Roman"/>
                <w:b/>
                <w:color w:val="FFFFFF"/>
              </w:rPr>
              <w:t>Number of Licenses in Force at the End of Term</w:t>
            </w:r>
          </w:p>
        </w:tc>
      </w:tr>
      <w:tr w:rsidR="006836C6" w:rsidRPr="008902F2" w14:paraId="00882B43" w14:textId="77777777" w:rsidTr="00AE38A1">
        <w:trPr>
          <w:trHeight w:val="283"/>
        </w:trPr>
        <w:tc>
          <w:tcPr>
            <w:tcW w:w="794" w:type="pct"/>
            <w:shd w:val="clear" w:color="auto" w:fill="auto"/>
          </w:tcPr>
          <w:p w14:paraId="6234A0DA"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t>LPG Distributor License</w:t>
            </w:r>
          </w:p>
        </w:tc>
        <w:tc>
          <w:tcPr>
            <w:tcW w:w="547" w:type="pct"/>
            <w:shd w:val="clear" w:color="auto" w:fill="auto"/>
          </w:tcPr>
          <w:p w14:paraId="795C1E81"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5</w:t>
            </w:r>
          </w:p>
        </w:tc>
        <w:tc>
          <w:tcPr>
            <w:tcW w:w="543" w:type="pct"/>
            <w:shd w:val="clear" w:color="auto" w:fill="auto"/>
          </w:tcPr>
          <w:p w14:paraId="22C3D751"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4</w:t>
            </w:r>
          </w:p>
        </w:tc>
        <w:tc>
          <w:tcPr>
            <w:tcW w:w="837" w:type="pct"/>
            <w:shd w:val="clear" w:color="auto" w:fill="auto"/>
          </w:tcPr>
          <w:p w14:paraId="735DA4F4"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11</w:t>
            </w:r>
          </w:p>
        </w:tc>
        <w:tc>
          <w:tcPr>
            <w:tcW w:w="545" w:type="pct"/>
            <w:shd w:val="clear" w:color="auto" w:fill="auto"/>
          </w:tcPr>
          <w:p w14:paraId="5290AB12"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546" w:type="pct"/>
            <w:shd w:val="clear" w:color="auto" w:fill="auto"/>
          </w:tcPr>
          <w:p w14:paraId="6263A49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21</w:t>
            </w:r>
          </w:p>
        </w:tc>
        <w:tc>
          <w:tcPr>
            <w:tcW w:w="546" w:type="pct"/>
            <w:shd w:val="clear" w:color="auto" w:fill="auto"/>
          </w:tcPr>
          <w:p w14:paraId="43FBD11F"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45</w:t>
            </w:r>
          </w:p>
        </w:tc>
        <w:tc>
          <w:tcPr>
            <w:tcW w:w="642" w:type="pct"/>
            <w:shd w:val="clear" w:color="auto" w:fill="auto"/>
          </w:tcPr>
          <w:p w14:paraId="0AAF667E"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80</w:t>
            </w:r>
          </w:p>
        </w:tc>
      </w:tr>
      <w:tr w:rsidR="006836C6" w:rsidRPr="008902F2" w14:paraId="6928A4CD" w14:textId="77777777" w:rsidTr="00AE38A1">
        <w:trPr>
          <w:trHeight w:val="283"/>
        </w:trPr>
        <w:tc>
          <w:tcPr>
            <w:tcW w:w="794" w:type="pct"/>
            <w:shd w:val="clear" w:color="auto" w:fill="auto"/>
          </w:tcPr>
          <w:p w14:paraId="2091A49D"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t>LPG Storage License</w:t>
            </w:r>
          </w:p>
        </w:tc>
        <w:tc>
          <w:tcPr>
            <w:tcW w:w="547" w:type="pct"/>
            <w:shd w:val="clear" w:color="auto" w:fill="auto"/>
          </w:tcPr>
          <w:p w14:paraId="4E6894D6"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5</w:t>
            </w:r>
          </w:p>
        </w:tc>
        <w:tc>
          <w:tcPr>
            <w:tcW w:w="543" w:type="pct"/>
            <w:shd w:val="clear" w:color="auto" w:fill="auto"/>
          </w:tcPr>
          <w:p w14:paraId="2A581CC0"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5</w:t>
            </w:r>
          </w:p>
        </w:tc>
        <w:tc>
          <w:tcPr>
            <w:tcW w:w="837" w:type="pct"/>
            <w:shd w:val="clear" w:color="auto" w:fill="auto"/>
          </w:tcPr>
          <w:p w14:paraId="5055DCC4"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4</w:t>
            </w:r>
          </w:p>
        </w:tc>
        <w:tc>
          <w:tcPr>
            <w:tcW w:w="545" w:type="pct"/>
            <w:shd w:val="clear" w:color="auto" w:fill="auto"/>
          </w:tcPr>
          <w:p w14:paraId="5589E8F7"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6" w:type="pct"/>
            <w:shd w:val="clear" w:color="auto" w:fill="auto"/>
          </w:tcPr>
          <w:p w14:paraId="4B34824B"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29</w:t>
            </w:r>
          </w:p>
        </w:tc>
        <w:tc>
          <w:tcPr>
            <w:tcW w:w="546" w:type="pct"/>
            <w:shd w:val="clear" w:color="auto" w:fill="auto"/>
          </w:tcPr>
          <w:p w14:paraId="00C804A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43</w:t>
            </w:r>
          </w:p>
        </w:tc>
        <w:tc>
          <w:tcPr>
            <w:tcW w:w="642" w:type="pct"/>
            <w:shd w:val="clear" w:color="auto" w:fill="auto"/>
          </w:tcPr>
          <w:p w14:paraId="4C1829E2"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99</w:t>
            </w:r>
          </w:p>
        </w:tc>
      </w:tr>
      <w:tr w:rsidR="006836C6" w:rsidRPr="008902F2" w14:paraId="5D4D52F7" w14:textId="77777777" w:rsidTr="00AE38A1">
        <w:trPr>
          <w:trHeight w:val="283"/>
        </w:trPr>
        <w:tc>
          <w:tcPr>
            <w:tcW w:w="794" w:type="pct"/>
            <w:shd w:val="clear" w:color="auto" w:fill="auto"/>
          </w:tcPr>
          <w:p w14:paraId="4FBD8D28"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lastRenderedPageBreak/>
              <w:t>LPG Autogas Dealership License</w:t>
            </w:r>
          </w:p>
        </w:tc>
        <w:tc>
          <w:tcPr>
            <w:tcW w:w="547" w:type="pct"/>
            <w:shd w:val="clear" w:color="auto" w:fill="auto"/>
          </w:tcPr>
          <w:p w14:paraId="108B3C90"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690</w:t>
            </w:r>
          </w:p>
        </w:tc>
        <w:tc>
          <w:tcPr>
            <w:tcW w:w="543" w:type="pct"/>
            <w:shd w:val="clear" w:color="auto" w:fill="auto"/>
          </w:tcPr>
          <w:p w14:paraId="18F9382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664</w:t>
            </w:r>
          </w:p>
        </w:tc>
        <w:tc>
          <w:tcPr>
            <w:tcW w:w="837" w:type="pct"/>
            <w:shd w:val="clear" w:color="auto" w:fill="auto"/>
          </w:tcPr>
          <w:p w14:paraId="42E4AA83"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378</w:t>
            </w:r>
          </w:p>
        </w:tc>
        <w:tc>
          <w:tcPr>
            <w:tcW w:w="545" w:type="pct"/>
            <w:shd w:val="clear" w:color="auto" w:fill="auto"/>
          </w:tcPr>
          <w:p w14:paraId="3B653F21"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1</w:t>
            </w:r>
          </w:p>
        </w:tc>
        <w:tc>
          <w:tcPr>
            <w:tcW w:w="546" w:type="pct"/>
            <w:shd w:val="clear" w:color="auto" w:fill="auto"/>
          </w:tcPr>
          <w:p w14:paraId="0AFF4ED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790</w:t>
            </w:r>
          </w:p>
        </w:tc>
        <w:tc>
          <w:tcPr>
            <w:tcW w:w="546" w:type="pct"/>
            <w:shd w:val="clear" w:color="auto" w:fill="auto"/>
          </w:tcPr>
          <w:p w14:paraId="6473EF59"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rPr>
              <w:t>2.953</w:t>
            </w:r>
          </w:p>
        </w:tc>
        <w:tc>
          <w:tcPr>
            <w:tcW w:w="642" w:type="pct"/>
            <w:shd w:val="clear" w:color="auto" w:fill="auto"/>
          </w:tcPr>
          <w:p w14:paraId="6B183893"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10.948</w:t>
            </w:r>
          </w:p>
        </w:tc>
      </w:tr>
      <w:tr w:rsidR="006836C6" w:rsidRPr="008902F2" w14:paraId="54C09589" w14:textId="77777777" w:rsidTr="00AE38A1">
        <w:trPr>
          <w:trHeight w:val="283"/>
        </w:trPr>
        <w:tc>
          <w:tcPr>
            <w:tcW w:w="794" w:type="pct"/>
            <w:shd w:val="clear" w:color="auto" w:fill="auto"/>
          </w:tcPr>
          <w:p w14:paraId="27F2D884"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t>LPG Transport License</w:t>
            </w:r>
          </w:p>
        </w:tc>
        <w:tc>
          <w:tcPr>
            <w:tcW w:w="547" w:type="pct"/>
            <w:shd w:val="clear" w:color="auto" w:fill="auto"/>
          </w:tcPr>
          <w:p w14:paraId="3BC2995D"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4</w:t>
            </w:r>
          </w:p>
        </w:tc>
        <w:tc>
          <w:tcPr>
            <w:tcW w:w="543" w:type="pct"/>
            <w:shd w:val="clear" w:color="auto" w:fill="auto"/>
          </w:tcPr>
          <w:p w14:paraId="5139319E"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3</w:t>
            </w:r>
          </w:p>
        </w:tc>
        <w:tc>
          <w:tcPr>
            <w:tcW w:w="837" w:type="pct"/>
            <w:shd w:val="clear" w:color="auto" w:fill="auto"/>
          </w:tcPr>
          <w:p w14:paraId="7CD048C6"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4</w:t>
            </w:r>
          </w:p>
        </w:tc>
        <w:tc>
          <w:tcPr>
            <w:tcW w:w="545" w:type="pct"/>
            <w:shd w:val="clear" w:color="auto" w:fill="auto"/>
          </w:tcPr>
          <w:p w14:paraId="2B7B82DE"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6" w:type="pct"/>
            <w:shd w:val="clear" w:color="auto" w:fill="auto"/>
          </w:tcPr>
          <w:p w14:paraId="7C14D38D"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19</w:t>
            </w:r>
          </w:p>
        </w:tc>
        <w:tc>
          <w:tcPr>
            <w:tcW w:w="546" w:type="pct"/>
            <w:shd w:val="clear" w:color="auto" w:fill="auto"/>
          </w:tcPr>
          <w:p w14:paraId="1F392030"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37</w:t>
            </w:r>
          </w:p>
        </w:tc>
        <w:tc>
          <w:tcPr>
            <w:tcW w:w="642" w:type="pct"/>
            <w:shd w:val="clear" w:color="auto" w:fill="auto"/>
          </w:tcPr>
          <w:p w14:paraId="21C9D991"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42</w:t>
            </w:r>
          </w:p>
        </w:tc>
      </w:tr>
      <w:tr w:rsidR="006836C6" w:rsidRPr="008902F2" w14:paraId="604A1EF5" w14:textId="77777777" w:rsidTr="00AE38A1">
        <w:trPr>
          <w:trHeight w:val="283"/>
        </w:trPr>
        <w:tc>
          <w:tcPr>
            <w:tcW w:w="794" w:type="pct"/>
            <w:shd w:val="clear" w:color="auto" w:fill="auto"/>
          </w:tcPr>
          <w:p w14:paraId="6D62F1FB"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t>LPG Cylinder Manufacturing License</w:t>
            </w:r>
          </w:p>
        </w:tc>
        <w:tc>
          <w:tcPr>
            <w:tcW w:w="547" w:type="pct"/>
            <w:shd w:val="clear" w:color="auto" w:fill="auto"/>
          </w:tcPr>
          <w:p w14:paraId="4C471D7B"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543" w:type="pct"/>
            <w:shd w:val="clear" w:color="auto" w:fill="auto"/>
          </w:tcPr>
          <w:p w14:paraId="6755F7DB"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837" w:type="pct"/>
            <w:shd w:val="clear" w:color="auto" w:fill="auto"/>
          </w:tcPr>
          <w:p w14:paraId="05AF4EEF"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5" w:type="pct"/>
            <w:shd w:val="clear" w:color="auto" w:fill="auto"/>
          </w:tcPr>
          <w:p w14:paraId="41EC5F74"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6" w:type="pct"/>
            <w:shd w:val="clear" w:color="auto" w:fill="auto"/>
          </w:tcPr>
          <w:p w14:paraId="3FF82132"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6" w:type="pct"/>
            <w:shd w:val="clear" w:color="auto" w:fill="auto"/>
          </w:tcPr>
          <w:p w14:paraId="46783CDB"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2</w:t>
            </w:r>
          </w:p>
        </w:tc>
        <w:tc>
          <w:tcPr>
            <w:tcW w:w="642" w:type="pct"/>
            <w:shd w:val="clear" w:color="auto" w:fill="auto"/>
          </w:tcPr>
          <w:p w14:paraId="29B325E0"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8</w:t>
            </w:r>
          </w:p>
        </w:tc>
      </w:tr>
      <w:tr w:rsidR="006836C6" w:rsidRPr="008902F2" w14:paraId="76C36726" w14:textId="77777777" w:rsidTr="00AE38A1">
        <w:trPr>
          <w:trHeight w:val="283"/>
        </w:trPr>
        <w:tc>
          <w:tcPr>
            <w:tcW w:w="794" w:type="pct"/>
            <w:shd w:val="clear" w:color="auto" w:fill="auto"/>
          </w:tcPr>
          <w:p w14:paraId="72310F4B"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color w:val="000000"/>
              </w:rPr>
              <w:t>LPG Cylinder Inspection Repair Maintenance License</w:t>
            </w:r>
          </w:p>
        </w:tc>
        <w:tc>
          <w:tcPr>
            <w:tcW w:w="547" w:type="pct"/>
            <w:shd w:val="clear" w:color="auto" w:fill="auto"/>
          </w:tcPr>
          <w:p w14:paraId="70EF1EE4" w14:textId="77777777" w:rsidR="006836C6" w:rsidRPr="008902F2" w:rsidRDefault="006836C6" w:rsidP="006836C6">
            <w:pPr>
              <w:pStyle w:val="TableParagraph"/>
              <w:rPr>
                <w:rFonts w:ascii="Times New Roman" w:eastAsia="Calibri" w:hAnsi="Times New Roman" w:cs="Times New Roman"/>
                <w:b/>
                <w:bCs/>
              </w:rPr>
            </w:pPr>
          </w:p>
          <w:p w14:paraId="3B00C05E"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543" w:type="pct"/>
            <w:shd w:val="clear" w:color="auto" w:fill="auto"/>
          </w:tcPr>
          <w:p w14:paraId="014E9847" w14:textId="77777777" w:rsidR="006836C6" w:rsidRPr="008902F2" w:rsidRDefault="006836C6" w:rsidP="006836C6">
            <w:pPr>
              <w:pStyle w:val="TableParagraph"/>
              <w:rPr>
                <w:rFonts w:ascii="Times New Roman" w:eastAsia="Calibri" w:hAnsi="Times New Roman" w:cs="Times New Roman"/>
                <w:b/>
                <w:bCs/>
              </w:rPr>
            </w:pPr>
          </w:p>
          <w:p w14:paraId="48A99A3C"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837" w:type="pct"/>
            <w:shd w:val="clear" w:color="auto" w:fill="auto"/>
          </w:tcPr>
          <w:p w14:paraId="2F4D02C6" w14:textId="77777777" w:rsidR="006836C6" w:rsidRPr="008902F2" w:rsidRDefault="006836C6" w:rsidP="006836C6">
            <w:pPr>
              <w:pStyle w:val="TableParagraph"/>
              <w:rPr>
                <w:rFonts w:ascii="Times New Roman" w:eastAsia="Calibri" w:hAnsi="Times New Roman" w:cs="Times New Roman"/>
                <w:b/>
                <w:bCs/>
              </w:rPr>
            </w:pPr>
          </w:p>
          <w:p w14:paraId="2695D36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w:t>
            </w:r>
          </w:p>
        </w:tc>
        <w:tc>
          <w:tcPr>
            <w:tcW w:w="545" w:type="pct"/>
            <w:shd w:val="clear" w:color="auto" w:fill="auto"/>
          </w:tcPr>
          <w:p w14:paraId="0A6995BE" w14:textId="77777777" w:rsidR="006836C6" w:rsidRPr="008902F2" w:rsidRDefault="006836C6" w:rsidP="006836C6">
            <w:pPr>
              <w:pStyle w:val="TableParagraph"/>
              <w:rPr>
                <w:rFonts w:ascii="Times New Roman" w:eastAsia="Calibri" w:hAnsi="Times New Roman" w:cs="Times New Roman"/>
                <w:b/>
                <w:bCs/>
              </w:rPr>
            </w:pPr>
          </w:p>
          <w:p w14:paraId="0A2B7E2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0</w:t>
            </w:r>
          </w:p>
        </w:tc>
        <w:tc>
          <w:tcPr>
            <w:tcW w:w="546" w:type="pct"/>
            <w:shd w:val="clear" w:color="auto" w:fill="auto"/>
          </w:tcPr>
          <w:p w14:paraId="6001B9DC" w14:textId="77777777" w:rsidR="006836C6" w:rsidRPr="008902F2" w:rsidRDefault="006836C6" w:rsidP="006836C6">
            <w:pPr>
              <w:pStyle w:val="TableParagraph"/>
              <w:rPr>
                <w:rFonts w:ascii="Times New Roman" w:eastAsia="Calibri" w:hAnsi="Times New Roman" w:cs="Times New Roman"/>
                <w:b/>
                <w:bCs/>
              </w:rPr>
            </w:pPr>
          </w:p>
          <w:p w14:paraId="44641878"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17</w:t>
            </w:r>
          </w:p>
        </w:tc>
        <w:tc>
          <w:tcPr>
            <w:tcW w:w="546" w:type="pct"/>
            <w:shd w:val="clear" w:color="auto" w:fill="auto"/>
          </w:tcPr>
          <w:p w14:paraId="796FC920" w14:textId="77777777" w:rsidR="006836C6" w:rsidRPr="008902F2" w:rsidRDefault="006836C6" w:rsidP="006836C6">
            <w:pPr>
              <w:pStyle w:val="TableParagraph"/>
              <w:rPr>
                <w:rFonts w:ascii="Times New Roman" w:eastAsia="Calibri" w:hAnsi="Times New Roman" w:cs="Times New Roman"/>
                <w:b/>
                <w:bCs/>
              </w:rPr>
            </w:pPr>
          </w:p>
          <w:p w14:paraId="267B13BB" w14:textId="77777777" w:rsidR="006836C6" w:rsidRPr="008902F2" w:rsidRDefault="006836C6" w:rsidP="006836C6">
            <w:pPr>
              <w:spacing w:after="0" w:line="240" w:lineRule="auto"/>
              <w:jc w:val="right"/>
              <w:rPr>
                <w:rFonts w:ascii="Times New Roman" w:eastAsia="Times New Roman" w:hAnsi="Times New Roman"/>
                <w:color w:val="000000"/>
                <w:lang w:eastAsia="tr-TR"/>
              </w:rPr>
            </w:pPr>
            <w:r w:rsidRPr="008902F2">
              <w:rPr>
                <w:rFonts w:ascii="Times New Roman" w:hAnsi="Times New Roman"/>
                <w:w w:val="95"/>
              </w:rPr>
              <w:t>21</w:t>
            </w:r>
          </w:p>
        </w:tc>
        <w:tc>
          <w:tcPr>
            <w:tcW w:w="642" w:type="pct"/>
            <w:shd w:val="clear" w:color="auto" w:fill="auto"/>
          </w:tcPr>
          <w:p w14:paraId="1E199C28" w14:textId="77777777" w:rsidR="006836C6" w:rsidRPr="008902F2" w:rsidRDefault="006836C6" w:rsidP="006836C6">
            <w:pPr>
              <w:pStyle w:val="TableParagraph"/>
              <w:jc w:val="right"/>
              <w:rPr>
                <w:rFonts w:ascii="Times New Roman" w:eastAsia="Calibri" w:hAnsi="Times New Roman" w:cs="Times New Roman"/>
                <w:b/>
                <w:bCs/>
              </w:rPr>
            </w:pPr>
          </w:p>
          <w:p w14:paraId="174B1212"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60</w:t>
            </w:r>
          </w:p>
        </w:tc>
      </w:tr>
      <w:tr w:rsidR="006836C6" w:rsidRPr="008902F2" w14:paraId="6E44CFEE" w14:textId="77777777" w:rsidTr="00AE38A1">
        <w:trPr>
          <w:trHeight w:val="283"/>
        </w:trPr>
        <w:tc>
          <w:tcPr>
            <w:tcW w:w="794" w:type="pct"/>
            <w:shd w:val="clear" w:color="auto" w:fill="auto"/>
          </w:tcPr>
          <w:p w14:paraId="41695C33" w14:textId="77777777" w:rsidR="006836C6" w:rsidRPr="008902F2" w:rsidRDefault="006836C6" w:rsidP="006836C6">
            <w:pPr>
              <w:spacing w:after="0" w:line="240" w:lineRule="auto"/>
              <w:jc w:val="left"/>
              <w:rPr>
                <w:rFonts w:ascii="Times New Roman" w:eastAsia="Times New Roman" w:hAnsi="Times New Roman"/>
                <w:color w:val="000000"/>
                <w:lang w:eastAsia="tr-TR"/>
              </w:rPr>
            </w:pPr>
            <w:r w:rsidRPr="008902F2">
              <w:rPr>
                <w:rFonts w:ascii="Times New Roman" w:hAnsi="Times New Roman"/>
                <w:b/>
                <w:bCs/>
                <w:color w:val="000000"/>
              </w:rPr>
              <w:t>Sum</w:t>
            </w:r>
          </w:p>
        </w:tc>
        <w:tc>
          <w:tcPr>
            <w:tcW w:w="547" w:type="pct"/>
            <w:shd w:val="clear" w:color="auto" w:fill="auto"/>
          </w:tcPr>
          <w:p w14:paraId="013D5A76"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rPr>
              <w:t>706</w:t>
            </w:r>
          </w:p>
        </w:tc>
        <w:tc>
          <w:tcPr>
            <w:tcW w:w="543" w:type="pct"/>
            <w:shd w:val="clear" w:color="auto" w:fill="auto"/>
          </w:tcPr>
          <w:p w14:paraId="2640668B"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rPr>
              <w:t>678</w:t>
            </w:r>
          </w:p>
        </w:tc>
        <w:tc>
          <w:tcPr>
            <w:tcW w:w="837" w:type="pct"/>
            <w:shd w:val="clear" w:color="auto" w:fill="auto"/>
          </w:tcPr>
          <w:p w14:paraId="08597B5C"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w w:val="95"/>
              </w:rPr>
              <w:t>398</w:t>
            </w:r>
          </w:p>
        </w:tc>
        <w:tc>
          <w:tcPr>
            <w:tcW w:w="545" w:type="pct"/>
            <w:shd w:val="clear" w:color="auto" w:fill="auto"/>
          </w:tcPr>
          <w:p w14:paraId="5B896037"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w w:val="95"/>
              </w:rPr>
              <w:t>2</w:t>
            </w:r>
          </w:p>
        </w:tc>
        <w:tc>
          <w:tcPr>
            <w:tcW w:w="546" w:type="pct"/>
            <w:shd w:val="clear" w:color="auto" w:fill="auto"/>
          </w:tcPr>
          <w:p w14:paraId="021863BB"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w w:val="95"/>
              </w:rPr>
              <w:t>876</w:t>
            </w:r>
          </w:p>
        </w:tc>
        <w:tc>
          <w:tcPr>
            <w:tcW w:w="546" w:type="pct"/>
            <w:shd w:val="clear" w:color="auto" w:fill="auto"/>
          </w:tcPr>
          <w:p w14:paraId="187A6BB6" w14:textId="77777777" w:rsidR="006836C6" w:rsidRPr="008902F2" w:rsidRDefault="006836C6" w:rsidP="006836C6">
            <w:pPr>
              <w:spacing w:after="0" w:line="240" w:lineRule="auto"/>
              <w:jc w:val="right"/>
              <w:rPr>
                <w:rFonts w:ascii="Times New Roman" w:eastAsia="Times New Roman" w:hAnsi="Times New Roman"/>
                <w:b/>
                <w:color w:val="000000"/>
                <w:lang w:eastAsia="tr-TR"/>
              </w:rPr>
            </w:pPr>
            <w:r w:rsidRPr="008902F2">
              <w:rPr>
                <w:rFonts w:ascii="Times New Roman" w:hAnsi="Times New Roman"/>
                <w:w w:val="95"/>
              </w:rPr>
              <w:t>3.101</w:t>
            </w:r>
          </w:p>
        </w:tc>
        <w:tc>
          <w:tcPr>
            <w:tcW w:w="642" w:type="pct"/>
            <w:shd w:val="clear" w:color="auto" w:fill="auto"/>
          </w:tcPr>
          <w:p w14:paraId="642507C6" w14:textId="77777777" w:rsidR="006836C6" w:rsidRPr="008902F2" w:rsidRDefault="006836C6" w:rsidP="006836C6">
            <w:pPr>
              <w:spacing w:after="0" w:line="240" w:lineRule="auto"/>
              <w:jc w:val="right"/>
              <w:rPr>
                <w:rFonts w:ascii="Times New Roman" w:eastAsia="Times New Roman" w:hAnsi="Times New Roman"/>
                <w:b/>
                <w:bCs/>
                <w:color w:val="000000"/>
                <w:lang w:eastAsia="tr-TR"/>
              </w:rPr>
            </w:pPr>
            <w:r w:rsidRPr="008902F2">
              <w:rPr>
                <w:rFonts w:ascii="Times New Roman" w:hAnsi="Times New Roman"/>
                <w:w w:val="95"/>
              </w:rPr>
              <w:t>11.237</w:t>
            </w:r>
          </w:p>
        </w:tc>
      </w:tr>
    </w:tbl>
    <w:p w14:paraId="58391868" w14:textId="76ED55E6" w:rsidR="005748C0" w:rsidRPr="008902F2" w:rsidRDefault="00AF69EA" w:rsidP="00AF69EA">
      <w:pPr>
        <w:pStyle w:val="Balk3"/>
        <w:rPr>
          <w:rStyle w:val="Gl"/>
          <w:rFonts w:ascii="Times New Roman" w:hAnsi="Times New Roman" w:cs="Times New Roman"/>
          <w:color w:val="000000" w:themeColor="text1"/>
        </w:rPr>
      </w:pPr>
      <w:bookmarkStart w:id="128" w:name="_Toc416447591"/>
      <w:bookmarkStart w:id="129" w:name="_Toc442441741"/>
      <w:bookmarkStart w:id="130" w:name="_Toc143113417"/>
      <w:r w:rsidRPr="008902F2">
        <w:rPr>
          <w:rFonts w:ascii="Times New Roman" w:hAnsi="Times New Roman" w:cs="Times New Roman"/>
        </w:rPr>
        <w:t xml:space="preserve">3.5.1. </w:t>
      </w:r>
      <w:r w:rsidR="1FE2506D" w:rsidRPr="008902F2">
        <w:rPr>
          <w:rFonts w:ascii="Times New Roman" w:hAnsi="Times New Roman" w:cs="Times New Roman"/>
        </w:rPr>
        <w:t>Liquefied Petroleum Gases (LPG) Market Coupon Permitting Activities</w:t>
      </w:r>
      <w:bookmarkStart w:id="131" w:name="_Toc416447593"/>
      <w:bookmarkStart w:id="132" w:name="_Toc442441742"/>
      <w:bookmarkEnd w:id="128"/>
      <w:bookmarkEnd w:id="129"/>
      <w:bookmarkEnd w:id="130"/>
    </w:p>
    <w:p w14:paraId="7E3A0009" w14:textId="68523270" w:rsidR="005748C0" w:rsidRPr="008902F2" w:rsidRDefault="00FC2252" w:rsidP="00FC2252">
      <w:pPr>
        <w:rPr>
          <w:rFonts w:ascii="Times New Roman" w:hAnsi="Times New Roman"/>
        </w:rPr>
      </w:pPr>
      <w:r w:rsidRPr="008902F2">
        <w:rPr>
          <w:rFonts w:ascii="Times New Roman" w:hAnsi="Times New Roman"/>
        </w:rPr>
        <w:t xml:space="preserve">Within the scope of the Decision No. 2017/1 of the National Petroleum Stock Commission and the Decision on the Retention of Compulsory Petroleum Stock and Compulsory Petroleum Stock in the LPG Market as LPG within the Scope of the Coupon System, 8 Distributor license holder companies and 4 Refinery license facilities were granted coupon permits on a license basis in 2022 (to serve in 2023). </w:t>
      </w:r>
    </w:p>
    <w:p w14:paraId="627D3947" w14:textId="77777777" w:rsidR="00B86522" w:rsidRPr="008902F2" w:rsidRDefault="00B86522" w:rsidP="00FC2252">
      <w:pPr>
        <w:rPr>
          <w:rFonts w:ascii="Times New Roman" w:hAnsi="Times New Roman"/>
        </w:rPr>
      </w:pPr>
    </w:p>
    <w:p w14:paraId="260C5AE1" w14:textId="77777777" w:rsidR="00CB5826" w:rsidRPr="008902F2" w:rsidRDefault="00CB5826" w:rsidP="00C466F8">
      <w:pPr>
        <w:pStyle w:val="Balk5"/>
        <w:jc w:val="center"/>
        <w:rPr>
          <w:rStyle w:val="Gl"/>
          <w:rFonts w:ascii="Times New Roman" w:hAnsi="Times New Roman" w:cs="Times New Roman"/>
          <w:color w:val="000000" w:themeColor="text1"/>
        </w:rPr>
      </w:pPr>
      <w:bookmarkStart w:id="133" w:name="_Toc132713903"/>
      <w:r w:rsidRPr="008902F2">
        <w:rPr>
          <w:rStyle w:val="Gl"/>
          <w:rFonts w:ascii="Times New Roman" w:hAnsi="Times New Roman" w:cs="Times New Roman"/>
          <w:color w:val="000000" w:themeColor="text1"/>
        </w:rPr>
        <w:t>Table 3.13: LPG Market Storage License Information as of the End of 2022</w:t>
      </w:r>
      <w:bookmarkEnd w:id="131"/>
      <w:bookmarkEnd w:id="132"/>
      <w:bookmarkEnd w:id="133"/>
    </w:p>
    <w:tbl>
      <w:tblPr>
        <w:tblW w:w="8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9"/>
        <w:gridCol w:w="2130"/>
        <w:gridCol w:w="3747"/>
      </w:tblGrid>
      <w:tr w:rsidR="00DE2860" w:rsidRPr="008902F2" w14:paraId="6BDADB25" w14:textId="77777777" w:rsidTr="6F691FB8">
        <w:trPr>
          <w:trHeight w:val="552"/>
          <w:tblHeader/>
          <w:jc w:val="center"/>
        </w:trPr>
        <w:tc>
          <w:tcPr>
            <w:tcW w:w="2569" w:type="dxa"/>
            <w:shd w:val="clear" w:color="auto" w:fill="6E9ECA"/>
            <w:hideMark/>
          </w:tcPr>
          <w:p w14:paraId="7F372001" w14:textId="77777777" w:rsidR="00DE2860" w:rsidRPr="008902F2" w:rsidRDefault="00DE2860" w:rsidP="00FF24CA">
            <w:pPr>
              <w:spacing w:after="0" w:line="240" w:lineRule="auto"/>
              <w:rPr>
                <w:rFonts w:ascii="Times New Roman" w:eastAsia="Times New Roman" w:hAnsi="Times New Roman"/>
                <w:b/>
                <w:color w:val="FFFFFF" w:themeColor="background1"/>
                <w:lang w:eastAsia="tr-TR"/>
              </w:rPr>
            </w:pPr>
            <w:bookmarkStart w:id="134" w:name="_Hlk129609822"/>
            <w:r w:rsidRPr="008902F2">
              <w:rPr>
                <w:rFonts w:ascii="Times New Roman" w:eastAsia="Times New Roman" w:hAnsi="Times New Roman"/>
                <w:b/>
                <w:color w:val="FFFFFF" w:themeColor="background1"/>
              </w:rPr>
              <w:t>Facility Location</w:t>
            </w:r>
          </w:p>
        </w:tc>
        <w:tc>
          <w:tcPr>
            <w:tcW w:w="2130" w:type="dxa"/>
            <w:shd w:val="clear" w:color="auto" w:fill="6E9ECA"/>
            <w:hideMark/>
          </w:tcPr>
          <w:p w14:paraId="243C77AD" w14:textId="77777777" w:rsidR="00DE2860" w:rsidRPr="008902F2" w:rsidRDefault="00DE2860" w:rsidP="00FF24CA">
            <w:pPr>
              <w:spacing w:after="0" w:line="240" w:lineRule="auto"/>
              <w:jc w:val="center"/>
              <w:rPr>
                <w:rFonts w:ascii="Times New Roman" w:eastAsia="Times New Roman" w:hAnsi="Times New Roman"/>
                <w:b/>
                <w:color w:val="FFFFFF" w:themeColor="background1"/>
                <w:lang w:eastAsia="tr-TR"/>
              </w:rPr>
            </w:pPr>
            <w:r w:rsidRPr="008902F2">
              <w:rPr>
                <w:rFonts w:ascii="Times New Roman" w:eastAsia="Times New Roman" w:hAnsi="Times New Roman"/>
                <w:b/>
                <w:color w:val="FFFFFF" w:themeColor="background1"/>
              </w:rPr>
              <w:t>Total Capacity (m3)</w:t>
            </w:r>
          </w:p>
        </w:tc>
        <w:tc>
          <w:tcPr>
            <w:tcW w:w="3747" w:type="dxa"/>
            <w:shd w:val="clear" w:color="auto" w:fill="6E9ECA"/>
            <w:hideMark/>
          </w:tcPr>
          <w:p w14:paraId="1EADD837" w14:textId="77777777" w:rsidR="00DE2860" w:rsidRPr="008902F2" w:rsidRDefault="00DE2860" w:rsidP="00FF24CA">
            <w:pPr>
              <w:spacing w:after="0" w:line="240" w:lineRule="auto"/>
              <w:jc w:val="center"/>
              <w:rPr>
                <w:rFonts w:ascii="Times New Roman" w:eastAsia="Times New Roman" w:hAnsi="Times New Roman"/>
                <w:b/>
                <w:color w:val="FFFFFF" w:themeColor="background1"/>
                <w:lang w:eastAsia="tr-TR"/>
              </w:rPr>
            </w:pPr>
            <w:r w:rsidRPr="008902F2">
              <w:rPr>
                <w:rFonts w:ascii="Times New Roman" w:eastAsia="Times New Roman" w:hAnsi="Times New Roman"/>
                <w:b/>
                <w:color w:val="FFFFFF" w:themeColor="background1"/>
              </w:rPr>
              <w:t>Share of Total Storage Capacity (%)</w:t>
            </w:r>
          </w:p>
        </w:tc>
      </w:tr>
      <w:tr w:rsidR="00DE2860" w:rsidRPr="008902F2" w14:paraId="2C5FDAA2" w14:textId="77777777" w:rsidTr="6F691FB8">
        <w:trPr>
          <w:trHeight w:val="288"/>
          <w:jc w:val="center"/>
        </w:trPr>
        <w:tc>
          <w:tcPr>
            <w:tcW w:w="2569" w:type="dxa"/>
            <w:tcBorders>
              <w:top w:val="single" w:sz="4" w:space="0" w:color="D3D3D3"/>
              <w:left w:val="single" w:sz="4" w:space="0" w:color="D3D3D3"/>
              <w:bottom w:val="single" w:sz="4" w:space="0" w:color="D3D3D3"/>
              <w:right w:val="single" w:sz="4" w:space="0" w:color="D3D3D3"/>
            </w:tcBorders>
            <w:shd w:val="clear" w:color="auto" w:fill="auto"/>
            <w:hideMark/>
          </w:tcPr>
          <w:p w14:paraId="29479B17"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ADANA</w:t>
            </w:r>
          </w:p>
        </w:tc>
        <w:tc>
          <w:tcPr>
            <w:tcW w:w="2130" w:type="dxa"/>
            <w:tcBorders>
              <w:top w:val="single" w:sz="4" w:space="0" w:color="D3D3D3"/>
              <w:left w:val="nil"/>
              <w:bottom w:val="single" w:sz="4" w:space="0" w:color="D3D3D3"/>
              <w:right w:val="single" w:sz="4" w:space="0" w:color="D3D3D3"/>
            </w:tcBorders>
            <w:shd w:val="clear" w:color="auto" w:fill="auto"/>
            <w:noWrap/>
            <w:hideMark/>
          </w:tcPr>
          <w:p w14:paraId="01032234"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950,00</w:t>
            </w:r>
          </w:p>
        </w:tc>
        <w:tc>
          <w:tcPr>
            <w:tcW w:w="3747" w:type="dxa"/>
            <w:tcBorders>
              <w:top w:val="single" w:sz="4" w:space="0" w:color="D3D3D3"/>
              <w:left w:val="nil"/>
              <w:bottom w:val="single" w:sz="4" w:space="0" w:color="D3D3D3"/>
              <w:right w:val="single" w:sz="4" w:space="0" w:color="D3D3D3"/>
            </w:tcBorders>
            <w:shd w:val="clear" w:color="auto" w:fill="auto"/>
            <w:noWrap/>
            <w:hideMark/>
          </w:tcPr>
          <w:p w14:paraId="61381856"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0,12</w:t>
            </w:r>
          </w:p>
        </w:tc>
      </w:tr>
      <w:tr w:rsidR="00DE2860" w:rsidRPr="008902F2" w14:paraId="14325DB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6BC892A"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ADIYAMAN</w:t>
            </w:r>
          </w:p>
        </w:tc>
        <w:tc>
          <w:tcPr>
            <w:tcW w:w="2130" w:type="dxa"/>
            <w:tcBorders>
              <w:top w:val="nil"/>
              <w:left w:val="nil"/>
              <w:bottom w:val="single" w:sz="4" w:space="0" w:color="D3D3D3"/>
              <w:right w:val="single" w:sz="4" w:space="0" w:color="D3D3D3"/>
            </w:tcBorders>
            <w:shd w:val="clear" w:color="auto" w:fill="auto"/>
            <w:noWrap/>
            <w:hideMark/>
          </w:tcPr>
          <w:p w14:paraId="6E95ABA4"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1.115,00</w:t>
            </w:r>
          </w:p>
        </w:tc>
        <w:tc>
          <w:tcPr>
            <w:tcW w:w="3747" w:type="dxa"/>
            <w:tcBorders>
              <w:top w:val="nil"/>
              <w:left w:val="nil"/>
              <w:bottom w:val="single" w:sz="4" w:space="0" w:color="D3D3D3"/>
              <w:right w:val="single" w:sz="4" w:space="0" w:color="D3D3D3"/>
            </w:tcBorders>
            <w:shd w:val="clear" w:color="auto" w:fill="auto"/>
            <w:noWrap/>
            <w:hideMark/>
          </w:tcPr>
          <w:p w14:paraId="0364A247"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0,15</w:t>
            </w:r>
          </w:p>
        </w:tc>
      </w:tr>
      <w:tr w:rsidR="00DE2860" w:rsidRPr="008902F2" w14:paraId="5C9EAAD3"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1F4F4649" w14:textId="286C5735" w:rsidR="00DE2860" w:rsidRPr="008902F2" w:rsidRDefault="33B95EC1" w:rsidP="00FF24CA">
            <w:pPr>
              <w:spacing w:after="0" w:line="240" w:lineRule="auto"/>
              <w:rPr>
                <w:rFonts w:ascii="Times New Roman" w:hAnsi="Times New Roman"/>
                <w:color w:val="000000"/>
                <w:sz w:val="20"/>
                <w:szCs w:val="20"/>
              </w:rPr>
            </w:pPr>
            <w:r w:rsidRPr="008902F2">
              <w:rPr>
                <w:rFonts w:ascii="Times New Roman" w:hAnsi="Times New Roman"/>
                <w:color w:val="000000" w:themeColor="text1"/>
                <w:sz w:val="20"/>
                <w:szCs w:val="20"/>
              </w:rPr>
              <w:t>AĞRI</w:t>
            </w:r>
          </w:p>
        </w:tc>
        <w:tc>
          <w:tcPr>
            <w:tcW w:w="2130" w:type="dxa"/>
            <w:tcBorders>
              <w:top w:val="nil"/>
              <w:left w:val="nil"/>
              <w:bottom w:val="single" w:sz="4" w:space="0" w:color="D3D3D3"/>
              <w:right w:val="single" w:sz="4" w:space="0" w:color="D3D3D3"/>
            </w:tcBorders>
            <w:shd w:val="clear" w:color="auto" w:fill="auto"/>
            <w:noWrap/>
          </w:tcPr>
          <w:p w14:paraId="42E03248" w14:textId="77777777" w:rsidR="00DE2860" w:rsidRPr="008902F2"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70,00</w:t>
            </w:r>
          </w:p>
        </w:tc>
        <w:tc>
          <w:tcPr>
            <w:tcW w:w="3747" w:type="dxa"/>
            <w:tcBorders>
              <w:top w:val="nil"/>
              <w:left w:val="nil"/>
              <w:bottom w:val="single" w:sz="4" w:space="0" w:color="D3D3D3"/>
              <w:right w:val="single" w:sz="4" w:space="0" w:color="D3D3D3"/>
            </w:tcBorders>
            <w:shd w:val="clear" w:color="auto" w:fill="auto"/>
            <w:noWrap/>
          </w:tcPr>
          <w:p w14:paraId="494A60DB" w14:textId="77777777" w:rsidR="00DE2860" w:rsidRPr="008902F2"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0,01</w:t>
            </w:r>
          </w:p>
        </w:tc>
      </w:tr>
      <w:tr w:rsidR="00DE2860" w:rsidRPr="008902F2" w14:paraId="2B879D87"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86CCBE7"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AKSARAY</w:t>
            </w:r>
          </w:p>
        </w:tc>
        <w:tc>
          <w:tcPr>
            <w:tcW w:w="2130" w:type="dxa"/>
            <w:tcBorders>
              <w:top w:val="nil"/>
              <w:left w:val="nil"/>
              <w:bottom w:val="single" w:sz="4" w:space="0" w:color="D3D3D3"/>
              <w:right w:val="single" w:sz="4" w:space="0" w:color="D3D3D3"/>
            </w:tcBorders>
            <w:shd w:val="clear" w:color="auto" w:fill="auto"/>
            <w:noWrap/>
          </w:tcPr>
          <w:p w14:paraId="3DFF4BAA" w14:textId="77777777" w:rsidR="00DE2860" w:rsidRPr="008902F2"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254,00</w:t>
            </w:r>
          </w:p>
        </w:tc>
        <w:tc>
          <w:tcPr>
            <w:tcW w:w="3747" w:type="dxa"/>
            <w:tcBorders>
              <w:top w:val="nil"/>
              <w:left w:val="nil"/>
              <w:bottom w:val="single" w:sz="4" w:space="0" w:color="D3D3D3"/>
              <w:right w:val="single" w:sz="4" w:space="0" w:color="D3D3D3"/>
            </w:tcBorders>
            <w:shd w:val="clear" w:color="auto" w:fill="auto"/>
            <w:noWrap/>
          </w:tcPr>
          <w:p w14:paraId="4E91FB43"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0,03</w:t>
            </w:r>
          </w:p>
        </w:tc>
      </w:tr>
      <w:tr w:rsidR="00DE2860" w:rsidRPr="008902F2" w14:paraId="6D7FC8C0"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897AD4D"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AMASYA</w:t>
            </w:r>
          </w:p>
        </w:tc>
        <w:tc>
          <w:tcPr>
            <w:tcW w:w="2130" w:type="dxa"/>
            <w:tcBorders>
              <w:top w:val="nil"/>
              <w:left w:val="nil"/>
              <w:bottom w:val="single" w:sz="4" w:space="0" w:color="D3D3D3"/>
              <w:right w:val="single" w:sz="4" w:space="0" w:color="D3D3D3"/>
            </w:tcBorders>
            <w:shd w:val="clear" w:color="auto" w:fill="auto"/>
            <w:noWrap/>
          </w:tcPr>
          <w:p w14:paraId="6CEE44D2"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836,00</w:t>
            </w:r>
          </w:p>
        </w:tc>
        <w:tc>
          <w:tcPr>
            <w:tcW w:w="3747" w:type="dxa"/>
            <w:tcBorders>
              <w:top w:val="nil"/>
              <w:left w:val="nil"/>
              <w:bottom w:val="single" w:sz="4" w:space="0" w:color="D3D3D3"/>
              <w:right w:val="single" w:sz="4" w:space="0" w:color="D3D3D3"/>
            </w:tcBorders>
            <w:shd w:val="clear" w:color="auto" w:fill="auto"/>
            <w:noWrap/>
          </w:tcPr>
          <w:p w14:paraId="6AA080D2"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0,11</w:t>
            </w:r>
          </w:p>
        </w:tc>
      </w:tr>
      <w:tr w:rsidR="00DE2860" w:rsidRPr="008902F2" w14:paraId="7F980E68"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DA11F6D"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ANKARA</w:t>
            </w:r>
          </w:p>
        </w:tc>
        <w:tc>
          <w:tcPr>
            <w:tcW w:w="2130" w:type="dxa"/>
            <w:tcBorders>
              <w:top w:val="nil"/>
              <w:left w:val="nil"/>
              <w:bottom w:val="single" w:sz="4" w:space="0" w:color="D3D3D3"/>
              <w:right w:val="single" w:sz="4" w:space="0" w:color="D3D3D3"/>
            </w:tcBorders>
            <w:shd w:val="clear" w:color="auto" w:fill="auto"/>
            <w:noWrap/>
          </w:tcPr>
          <w:p w14:paraId="5EC6E117"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15.775,00</w:t>
            </w:r>
          </w:p>
        </w:tc>
        <w:tc>
          <w:tcPr>
            <w:tcW w:w="3747" w:type="dxa"/>
            <w:tcBorders>
              <w:top w:val="nil"/>
              <w:left w:val="nil"/>
              <w:bottom w:val="single" w:sz="4" w:space="0" w:color="D3D3D3"/>
              <w:right w:val="single" w:sz="4" w:space="0" w:color="D3D3D3"/>
            </w:tcBorders>
            <w:shd w:val="clear" w:color="auto" w:fill="auto"/>
            <w:noWrap/>
          </w:tcPr>
          <w:p w14:paraId="657EF16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2,07</w:t>
            </w:r>
          </w:p>
        </w:tc>
      </w:tr>
      <w:tr w:rsidR="00DE2860" w:rsidRPr="008902F2" w14:paraId="1232DB36"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5BDCD03"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ANTALYA</w:t>
            </w:r>
          </w:p>
        </w:tc>
        <w:tc>
          <w:tcPr>
            <w:tcW w:w="2130" w:type="dxa"/>
            <w:tcBorders>
              <w:top w:val="nil"/>
              <w:left w:val="nil"/>
              <w:bottom w:val="single" w:sz="4" w:space="0" w:color="D3D3D3"/>
              <w:right w:val="single" w:sz="4" w:space="0" w:color="D3D3D3"/>
            </w:tcBorders>
            <w:shd w:val="clear" w:color="auto" w:fill="auto"/>
            <w:noWrap/>
          </w:tcPr>
          <w:p w14:paraId="03186145"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36.434,00</w:t>
            </w:r>
          </w:p>
        </w:tc>
        <w:tc>
          <w:tcPr>
            <w:tcW w:w="3747" w:type="dxa"/>
            <w:tcBorders>
              <w:top w:val="nil"/>
              <w:left w:val="nil"/>
              <w:bottom w:val="single" w:sz="4" w:space="0" w:color="D3D3D3"/>
              <w:right w:val="single" w:sz="4" w:space="0" w:color="D3D3D3"/>
            </w:tcBorders>
            <w:shd w:val="clear" w:color="auto" w:fill="auto"/>
            <w:noWrap/>
          </w:tcPr>
          <w:p w14:paraId="3B63B2C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4,79</w:t>
            </w:r>
          </w:p>
        </w:tc>
      </w:tr>
      <w:tr w:rsidR="00DE2860" w:rsidRPr="008902F2" w14:paraId="5FF3CB4E"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3ECC63D"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ARTVIN</w:t>
            </w:r>
          </w:p>
        </w:tc>
        <w:tc>
          <w:tcPr>
            <w:tcW w:w="2130" w:type="dxa"/>
            <w:tcBorders>
              <w:top w:val="nil"/>
              <w:left w:val="nil"/>
              <w:bottom w:val="single" w:sz="4" w:space="0" w:color="D3D3D3"/>
              <w:right w:val="single" w:sz="4" w:space="0" w:color="D3D3D3"/>
            </w:tcBorders>
            <w:shd w:val="clear" w:color="auto" w:fill="auto"/>
            <w:noWrap/>
          </w:tcPr>
          <w:p w14:paraId="4497B752"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420,00</w:t>
            </w:r>
          </w:p>
        </w:tc>
        <w:tc>
          <w:tcPr>
            <w:tcW w:w="3747" w:type="dxa"/>
            <w:tcBorders>
              <w:top w:val="nil"/>
              <w:left w:val="nil"/>
              <w:bottom w:val="single" w:sz="4" w:space="0" w:color="D3D3D3"/>
              <w:right w:val="single" w:sz="4" w:space="0" w:color="D3D3D3"/>
            </w:tcBorders>
            <w:shd w:val="clear" w:color="auto" w:fill="auto"/>
            <w:noWrap/>
          </w:tcPr>
          <w:p w14:paraId="3B2F4FF5"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0,06</w:t>
            </w:r>
          </w:p>
        </w:tc>
      </w:tr>
      <w:tr w:rsidR="00DE2860" w:rsidRPr="008902F2" w14:paraId="7DB3DB70"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06EAE38" w14:textId="62F26470" w:rsidR="00DE2860" w:rsidRPr="008902F2" w:rsidRDefault="2462DB06"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AYDIN</w:t>
            </w:r>
          </w:p>
        </w:tc>
        <w:tc>
          <w:tcPr>
            <w:tcW w:w="2130" w:type="dxa"/>
            <w:tcBorders>
              <w:top w:val="nil"/>
              <w:left w:val="nil"/>
              <w:bottom w:val="single" w:sz="4" w:space="0" w:color="D3D3D3"/>
              <w:right w:val="single" w:sz="4" w:space="0" w:color="D3D3D3"/>
            </w:tcBorders>
            <w:shd w:val="clear" w:color="auto" w:fill="auto"/>
            <w:noWrap/>
          </w:tcPr>
          <w:p w14:paraId="4E47F98E"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880,00</w:t>
            </w:r>
          </w:p>
        </w:tc>
        <w:tc>
          <w:tcPr>
            <w:tcW w:w="3747" w:type="dxa"/>
            <w:tcBorders>
              <w:top w:val="nil"/>
              <w:left w:val="nil"/>
              <w:bottom w:val="single" w:sz="4" w:space="0" w:color="D3D3D3"/>
              <w:right w:val="single" w:sz="4" w:space="0" w:color="D3D3D3"/>
            </w:tcBorders>
            <w:shd w:val="clear" w:color="auto" w:fill="auto"/>
            <w:noWrap/>
          </w:tcPr>
          <w:p w14:paraId="3C41B072"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0,12</w:t>
            </w:r>
          </w:p>
        </w:tc>
      </w:tr>
      <w:tr w:rsidR="00DE2860" w:rsidRPr="008902F2" w14:paraId="13FA6F0E"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6064A11" w14:textId="3347B2EA" w:rsidR="00DE2860" w:rsidRPr="008902F2" w:rsidRDefault="2CE3FFB3" w:rsidP="6F691FB8">
            <w:pPr>
              <w:spacing w:after="0" w:line="240" w:lineRule="auto"/>
              <w:rPr>
                <w:rFonts w:ascii="Times New Roman" w:eastAsia="Times New Roman" w:hAnsi="Times New Roman"/>
                <w:color w:val="000000"/>
                <w:lang w:eastAsia="tr-TR"/>
              </w:rPr>
            </w:pPr>
            <w:r w:rsidRPr="008902F2">
              <w:rPr>
                <w:rFonts w:ascii="Times New Roman" w:hAnsi="Times New Roman"/>
                <w:color w:val="000000" w:themeColor="text1"/>
                <w:sz w:val="20"/>
                <w:szCs w:val="20"/>
              </w:rPr>
              <w:t>BALIKESIR</w:t>
            </w:r>
          </w:p>
        </w:tc>
        <w:tc>
          <w:tcPr>
            <w:tcW w:w="2130" w:type="dxa"/>
            <w:tcBorders>
              <w:top w:val="nil"/>
              <w:left w:val="nil"/>
              <w:bottom w:val="single" w:sz="4" w:space="0" w:color="D3D3D3"/>
              <w:right w:val="single" w:sz="4" w:space="0" w:color="D3D3D3"/>
            </w:tcBorders>
            <w:shd w:val="clear" w:color="auto" w:fill="auto"/>
            <w:noWrap/>
          </w:tcPr>
          <w:p w14:paraId="1FB27B3B"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200,00</w:t>
            </w:r>
          </w:p>
        </w:tc>
        <w:tc>
          <w:tcPr>
            <w:tcW w:w="3747" w:type="dxa"/>
            <w:tcBorders>
              <w:top w:val="nil"/>
              <w:left w:val="nil"/>
              <w:bottom w:val="single" w:sz="4" w:space="0" w:color="D3D3D3"/>
              <w:right w:val="single" w:sz="4" w:space="0" w:color="D3D3D3"/>
            </w:tcBorders>
            <w:shd w:val="clear" w:color="auto" w:fill="auto"/>
            <w:noWrap/>
          </w:tcPr>
          <w:p w14:paraId="5B78FA0E"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0,03</w:t>
            </w:r>
          </w:p>
        </w:tc>
      </w:tr>
      <w:tr w:rsidR="00DE2860" w:rsidRPr="008902F2" w14:paraId="26714BD3"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125A555"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BATMAN</w:t>
            </w:r>
          </w:p>
        </w:tc>
        <w:tc>
          <w:tcPr>
            <w:tcW w:w="2130" w:type="dxa"/>
            <w:tcBorders>
              <w:top w:val="nil"/>
              <w:left w:val="nil"/>
              <w:bottom w:val="single" w:sz="4" w:space="0" w:color="D3D3D3"/>
              <w:right w:val="single" w:sz="4" w:space="0" w:color="D3D3D3"/>
            </w:tcBorders>
            <w:shd w:val="clear" w:color="auto" w:fill="auto"/>
            <w:noWrap/>
          </w:tcPr>
          <w:p w14:paraId="7445D0F2"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676,00</w:t>
            </w:r>
          </w:p>
        </w:tc>
        <w:tc>
          <w:tcPr>
            <w:tcW w:w="3747" w:type="dxa"/>
            <w:tcBorders>
              <w:top w:val="nil"/>
              <w:left w:val="nil"/>
              <w:bottom w:val="single" w:sz="4" w:space="0" w:color="D3D3D3"/>
              <w:right w:val="single" w:sz="4" w:space="0" w:color="D3D3D3"/>
            </w:tcBorders>
            <w:shd w:val="clear" w:color="auto" w:fill="auto"/>
            <w:noWrap/>
          </w:tcPr>
          <w:p w14:paraId="398025CB"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0,09</w:t>
            </w:r>
          </w:p>
        </w:tc>
      </w:tr>
      <w:tr w:rsidR="00DE2860" w:rsidRPr="008902F2" w14:paraId="2BADD09F"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E7F6F37" w14:textId="79838E0E" w:rsidR="00DE2860" w:rsidRPr="008902F2" w:rsidRDefault="2CE3FFB3" w:rsidP="6F691FB8">
            <w:pPr>
              <w:spacing w:after="0" w:line="240" w:lineRule="auto"/>
              <w:rPr>
                <w:rFonts w:ascii="Times New Roman" w:eastAsia="Times New Roman" w:hAnsi="Times New Roman"/>
                <w:color w:val="000000"/>
                <w:lang w:eastAsia="tr-TR"/>
              </w:rPr>
            </w:pPr>
            <w:r w:rsidRPr="008902F2">
              <w:rPr>
                <w:rFonts w:ascii="Times New Roman" w:hAnsi="Times New Roman"/>
                <w:color w:val="000000" w:themeColor="text1"/>
                <w:sz w:val="20"/>
                <w:szCs w:val="20"/>
              </w:rPr>
              <w:t>BURDUR</w:t>
            </w:r>
          </w:p>
        </w:tc>
        <w:tc>
          <w:tcPr>
            <w:tcW w:w="2130" w:type="dxa"/>
            <w:tcBorders>
              <w:top w:val="nil"/>
              <w:left w:val="nil"/>
              <w:bottom w:val="single" w:sz="4" w:space="0" w:color="D3D3D3"/>
              <w:right w:val="single" w:sz="4" w:space="0" w:color="D3D3D3"/>
            </w:tcBorders>
            <w:shd w:val="clear" w:color="auto" w:fill="auto"/>
            <w:noWrap/>
          </w:tcPr>
          <w:p w14:paraId="2B954B33"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625,00</w:t>
            </w:r>
          </w:p>
        </w:tc>
        <w:tc>
          <w:tcPr>
            <w:tcW w:w="3747" w:type="dxa"/>
            <w:tcBorders>
              <w:top w:val="nil"/>
              <w:left w:val="nil"/>
              <w:bottom w:val="single" w:sz="4" w:space="0" w:color="D3D3D3"/>
              <w:right w:val="single" w:sz="4" w:space="0" w:color="D3D3D3"/>
            </w:tcBorders>
            <w:shd w:val="clear" w:color="auto" w:fill="auto"/>
            <w:noWrap/>
          </w:tcPr>
          <w:p w14:paraId="04F0610A"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0,08</w:t>
            </w:r>
          </w:p>
        </w:tc>
      </w:tr>
      <w:tr w:rsidR="00DE2860" w:rsidRPr="008902F2" w14:paraId="5392063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A8E0070" w14:textId="2B8B1CD2" w:rsidR="00DE2860" w:rsidRPr="008902F2" w:rsidRDefault="5BC42DDE"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BURSA</w:t>
            </w:r>
          </w:p>
        </w:tc>
        <w:tc>
          <w:tcPr>
            <w:tcW w:w="2130" w:type="dxa"/>
            <w:tcBorders>
              <w:top w:val="nil"/>
              <w:left w:val="nil"/>
              <w:bottom w:val="single" w:sz="4" w:space="0" w:color="D3D3D3"/>
              <w:right w:val="single" w:sz="4" w:space="0" w:color="D3D3D3"/>
            </w:tcBorders>
            <w:shd w:val="clear" w:color="auto" w:fill="auto"/>
            <w:noWrap/>
          </w:tcPr>
          <w:p w14:paraId="30EB6FDE"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265,00</w:t>
            </w:r>
          </w:p>
        </w:tc>
        <w:tc>
          <w:tcPr>
            <w:tcW w:w="3747" w:type="dxa"/>
            <w:tcBorders>
              <w:top w:val="nil"/>
              <w:left w:val="nil"/>
              <w:bottom w:val="single" w:sz="4" w:space="0" w:color="D3D3D3"/>
              <w:right w:val="single" w:sz="4" w:space="0" w:color="D3D3D3"/>
            </w:tcBorders>
            <w:shd w:val="clear" w:color="auto" w:fill="auto"/>
            <w:noWrap/>
          </w:tcPr>
          <w:p w14:paraId="23073185"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0,03</w:t>
            </w:r>
          </w:p>
        </w:tc>
      </w:tr>
      <w:tr w:rsidR="00DE2860" w:rsidRPr="008902F2" w14:paraId="05C58318"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0A95E08"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CANKIRI</w:t>
            </w:r>
          </w:p>
        </w:tc>
        <w:tc>
          <w:tcPr>
            <w:tcW w:w="2130" w:type="dxa"/>
            <w:tcBorders>
              <w:top w:val="nil"/>
              <w:left w:val="nil"/>
              <w:bottom w:val="single" w:sz="4" w:space="0" w:color="D3D3D3"/>
              <w:right w:val="single" w:sz="4" w:space="0" w:color="D3D3D3"/>
            </w:tcBorders>
            <w:shd w:val="clear" w:color="auto" w:fill="auto"/>
            <w:noWrap/>
          </w:tcPr>
          <w:p w14:paraId="200E7EC2"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360,00</w:t>
            </w:r>
          </w:p>
        </w:tc>
        <w:tc>
          <w:tcPr>
            <w:tcW w:w="3747" w:type="dxa"/>
            <w:tcBorders>
              <w:top w:val="nil"/>
              <w:left w:val="nil"/>
              <w:bottom w:val="single" w:sz="4" w:space="0" w:color="D3D3D3"/>
              <w:right w:val="single" w:sz="4" w:space="0" w:color="D3D3D3"/>
            </w:tcBorders>
            <w:shd w:val="clear" w:color="auto" w:fill="auto"/>
            <w:noWrap/>
          </w:tcPr>
          <w:p w14:paraId="5338ADFE"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0,05</w:t>
            </w:r>
          </w:p>
        </w:tc>
      </w:tr>
      <w:tr w:rsidR="00DE2860" w:rsidRPr="008902F2" w14:paraId="53E8DEB6"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4D8D06FA"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CORUM</w:t>
            </w:r>
          </w:p>
        </w:tc>
        <w:tc>
          <w:tcPr>
            <w:tcW w:w="2130" w:type="dxa"/>
            <w:tcBorders>
              <w:top w:val="nil"/>
              <w:left w:val="nil"/>
              <w:bottom w:val="single" w:sz="4" w:space="0" w:color="D3D3D3"/>
              <w:right w:val="single" w:sz="4" w:space="0" w:color="D3D3D3"/>
            </w:tcBorders>
            <w:shd w:val="clear" w:color="auto" w:fill="auto"/>
            <w:noWrap/>
          </w:tcPr>
          <w:p w14:paraId="5C5C333A"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700,00</w:t>
            </w:r>
          </w:p>
        </w:tc>
        <w:tc>
          <w:tcPr>
            <w:tcW w:w="3747" w:type="dxa"/>
            <w:tcBorders>
              <w:top w:val="nil"/>
              <w:left w:val="nil"/>
              <w:bottom w:val="single" w:sz="4" w:space="0" w:color="D3D3D3"/>
              <w:right w:val="single" w:sz="4" w:space="0" w:color="D3D3D3"/>
            </w:tcBorders>
            <w:shd w:val="clear" w:color="auto" w:fill="auto"/>
            <w:noWrap/>
          </w:tcPr>
          <w:p w14:paraId="4423B8A6"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0,09</w:t>
            </w:r>
          </w:p>
        </w:tc>
      </w:tr>
      <w:tr w:rsidR="00DE2860" w:rsidRPr="008902F2" w14:paraId="04C69A8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A83CC5B"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DIYARBAKIR</w:t>
            </w:r>
          </w:p>
        </w:tc>
        <w:tc>
          <w:tcPr>
            <w:tcW w:w="2130" w:type="dxa"/>
            <w:tcBorders>
              <w:top w:val="nil"/>
              <w:left w:val="nil"/>
              <w:bottom w:val="single" w:sz="4" w:space="0" w:color="D3D3D3"/>
              <w:right w:val="single" w:sz="4" w:space="0" w:color="D3D3D3"/>
            </w:tcBorders>
            <w:shd w:val="clear" w:color="auto" w:fill="auto"/>
            <w:noWrap/>
          </w:tcPr>
          <w:p w14:paraId="07BBEC57"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2.595,00</w:t>
            </w:r>
          </w:p>
        </w:tc>
        <w:tc>
          <w:tcPr>
            <w:tcW w:w="3747" w:type="dxa"/>
            <w:tcBorders>
              <w:top w:val="nil"/>
              <w:left w:val="nil"/>
              <w:bottom w:val="single" w:sz="4" w:space="0" w:color="D3D3D3"/>
              <w:right w:val="single" w:sz="4" w:space="0" w:color="D3D3D3"/>
            </w:tcBorders>
            <w:shd w:val="clear" w:color="auto" w:fill="auto"/>
            <w:noWrap/>
          </w:tcPr>
          <w:p w14:paraId="2747CD8A"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0,33</w:t>
            </w:r>
          </w:p>
        </w:tc>
      </w:tr>
      <w:tr w:rsidR="00DE2860" w:rsidRPr="008902F2" w14:paraId="6BC628F2"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8216B44"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ELAZIG</w:t>
            </w:r>
          </w:p>
        </w:tc>
        <w:tc>
          <w:tcPr>
            <w:tcW w:w="2130" w:type="dxa"/>
            <w:tcBorders>
              <w:top w:val="nil"/>
              <w:left w:val="nil"/>
              <w:bottom w:val="single" w:sz="4" w:space="0" w:color="D3D3D3"/>
              <w:right w:val="single" w:sz="4" w:space="0" w:color="D3D3D3"/>
            </w:tcBorders>
            <w:shd w:val="clear" w:color="auto" w:fill="auto"/>
            <w:noWrap/>
          </w:tcPr>
          <w:p w14:paraId="61C759CA"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575,00</w:t>
            </w:r>
          </w:p>
        </w:tc>
        <w:tc>
          <w:tcPr>
            <w:tcW w:w="3747" w:type="dxa"/>
            <w:tcBorders>
              <w:top w:val="nil"/>
              <w:left w:val="nil"/>
              <w:bottom w:val="single" w:sz="4" w:space="0" w:color="D3D3D3"/>
              <w:right w:val="single" w:sz="4" w:space="0" w:color="D3D3D3"/>
            </w:tcBorders>
            <w:shd w:val="clear" w:color="auto" w:fill="auto"/>
            <w:noWrap/>
          </w:tcPr>
          <w:p w14:paraId="4F05E341"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0,08</w:t>
            </w:r>
          </w:p>
        </w:tc>
      </w:tr>
      <w:tr w:rsidR="00DE2860" w:rsidRPr="008902F2" w14:paraId="10E1E30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355596C"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ERZURUM</w:t>
            </w:r>
          </w:p>
        </w:tc>
        <w:tc>
          <w:tcPr>
            <w:tcW w:w="2130" w:type="dxa"/>
            <w:tcBorders>
              <w:top w:val="nil"/>
              <w:left w:val="nil"/>
              <w:bottom w:val="single" w:sz="4" w:space="0" w:color="D3D3D3"/>
              <w:right w:val="single" w:sz="4" w:space="0" w:color="D3D3D3"/>
            </w:tcBorders>
            <w:shd w:val="clear" w:color="auto" w:fill="auto"/>
            <w:noWrap/>
          </w:tcPr>
          <w:p w14:paraId="734D3520"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4.035,00</w:t>
            </w:r>
          </w:p>
        </w:tc>
        <w:tc>
          <w:tcPr>
            <w:tcW w:w="3747" w:type="dxa"/>
            <w:tcBorders>
              <w:top w:val="nil"/>
              <w:left w:val="nil"/>
              <w:bottom w:val="single" w:sz="4" w:space="0" w:color="D3D3D3"/>
              <w:right w:val="single" w:sz="4" w:space="0" w:color="D3D3D3"/>
            </w:tcBorders>
            <w:shd w:val="clear" w:color="auto" w:fill="auto"/>
            <w:noWrap/>
          </w:tcPr>
          <w:p w14:paraId="1DE8225E" w14:textId="77777777" w:rsidR="00DE2860" w:rsidRPr="008902F2"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0,53</w:t>
            </w:r>
          </w:p>
        </w:tc>
      </w:tr>
      <w:tr w:rsidR="00DE2860" w:rsidRPr="008902F2" w14:paraId="52C12E68"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403DFEDC"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ESKISEHIR</w:t>
            </w:r>
          </w:p>
        </w:tc>
        <w:tc>
          <w:tcPr>
            <w:tcW w:w="2130" w:type="dxa"/>
            <w:tcBorders>
              <w:top w:val="nil"/>
              <w:left w:val="nil"/>
              <w:bottom w:val="single" w:sz="4" w:space="0" w:color="D3D3D3"/>
              <w:right w:val="single" w:sz="4" w:space="0" w:color="D3D3D3"/>
            </w:tcBorders>
            <w:shd w:val="clear" w:color="auto" w:fill="auto"/>
            <w:noWrap/>
          </w:tcPr>
          <w:p w14:paraId="039F88A6"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476,00</w:t>
            </w:r>
          </w:p>
        </w:tc>
        <w:tc>
          <w:tcPr>
            <w:tcW w:w="3747" w:type="dxa"/>
            <w:tcBorders>
              <w:top w:val="nil"/>
              <w:left w:val="nil"/>
              <w:bottom w:val="single" w:sz="4" w:space="0" w:color="D3D3D3"/>
              <w:right w:val="single" w:sz="4" w:space="0" w:color="D3D3D3"/>
            </w:tcBorders>
            <w:shd w:val="clear" w:color="auto" w:fill="auto"/>
            <w:noWrap/>
          </w:tcPr>
          <w:p w14:paraId="6997F585"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0,06</w:t>
            </w:r>
          </w:p>
        </w:tc>
      </w:tr>
      <w:tr w:rsidR="00DE2860" w:rsidRPr="008902F2" w14:paraId="3B17509F"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8C08452"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GAZIANTEP</w:t>
            </w:r>
          </w:p>
        </w:tc>
        <w:tc>
          <w:tcPr>
            <w:tcW w:w="2130" w:type="dxa"/>
            <w:tcBorders>
              <w:top w:val="nil"/>
              <w:left w:val="nil"/>
              <w:bottom w:val="single" w:sz="4" w:space="0" w:color="D3D3D3"/>
              <w:right w:val="single" w:sz="4" w:space="0" w:color="D3D3D3"/>
            </w:tcBorders>
            <w:shd w:val="clear" w:color="auto" w:fill="auto"/>
            <w:noWrap/>
          </w:tcPr>
          <w:p w14:paraId="4F6B99AE"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460,00</w:t>
            </w:r>
          </w:p>
        </w:tc>
        <w:tc>
          <w:tcPr>
            <w:tcW w:w="3747" w:type="dxa"/>
            <w:tcBorders>
              <w:top w:val="nil"/>
              <w:left w:val="nil"/>
              <w:bottom w:val="single" w:sz="4" w:space="0" w:color="D3D3D3"/>
              <w:right w:val="single" w:sz="4" w:space="0" w:color="D3D3D3"/>
            </w:tcBorders>
            <w:shd w:val="clear" w:color="auto" w:fill="auto"/>
            <w:noWrap/>
          </w:tcPr>
          <w:p w14:paraId="0FAF29F7"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0,06</w:t>
            </w:r>
          </w:p>
        </w:tc>
      </w:tr>
      <w:tr w:rsidR="00DE2860" w:rsidRPr="008902F2" w14:paraId="149E5AD2"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C068049"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GIRESUN</w:t>
            </w:r>
          </w:p>
        </w:tc>
        <w:tc>
          <w:tcPr>
            <w:tcW w:w="2130" w:type="dxa"/>
            <w:tcBorders>
              <w:top w:val="nil"/>
              <w:left w:val="nil"/>
              <w:bottom w:val="single" w:sz="4" w:space="0" w:color="D3D3D3"/>
              <w:right w:val="single" w:sz="4" w:space="0" w:color="D3D3D3"/>
            </w:tcBorders>
            <w:shd w:val="clear" w:color="auto" w:fill="auto"/>
            <w:noWrap/>
          </w:tcPr>
          <w:p w14:paraId="0B61DA1C"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6.139,00</w:t>
            </w:r>
          </w:p>
        </w:tc>
        <w:tc>
          <w:tcPr>
            <w:tcW w:w="3747" w:type="dxa"/>
            <w:tcBorders>
              <w:top w:val="nil"/>
              <w:left w:val="nil"/>
              <w:bottom w:val="single" w:sz="4" w:space="0" w:color="D3D3D3"/>
              <w:right w:val="single" w:sz="4" w:space="0" w:color="D3D3D3"/>
            </w:tcBorders>
            <w:shd w:val="clear" w:color="auto" w:fill="auto"/>
            <w:noWrap/>
          </w:tcPr>
          <w:p w14:paraId="4081BC40"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0,81</w:t>
            </w:r>
          </w:p>
        </w:tc>
      </w:tr>
      <w:tr w:rsidR="00DE2860" w:rsidRPr="008902F2" w14:paraId="4459F977"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7A9F0E9"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HATAY</w:t>
            </w:r>
          </w:p>
        </w:tc>
        <w:tc>
          <w:tcPr>
            <w:tcW w:w="2130" w:type="dxa"/>
            <w:tcBorders>
              <w:top w:val="nil"/>
              <w:left w:val="nil"/>
              <w:bottom w:val="single" w:sz="4" w:space="0" w:color="D3D3D3"/>
              <w:right w:val="single" w:sz="4" w:space="0" w:color="D3D3D3"/>
            </w:tcBorders>
            <w:shd w:val="clear" w:color="auto" w:fill="auto"/>
            <w:noWrap/>
          </w:tcPr>
          <w:p w14:paraId="5575CB38"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219.800,00</w:t>
            </w:r>
          </w:p>
        </w:tc>
        <w:tc>
          <w:tcPr>
            <w:tcW w:w="3747" w:type="dxa"/>
            <w:tcBorders>
              <w:top w:val="nil"/>
              <w:left w:val="nil"/>
              <w:bottom w:val="single" w:sz="4" w:space="0" w:color="D3D3D3"/>
              <w:right w:val="single" w:sz="4" w:space="0" w:color="D3D3D3"/>
            </w:tcBorders>
            <w:shd w:val="clear" w:color="auto" w:fill="auto"/>
            <w:noWrap/>
          </w:tcPr>
          <w:p w14:paraId="4DD006A7"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28,91</w:t>
            </w:r>
          </w:p>
        </w:tc>
      </w:tr>
      <w:tr w:rsidR="00DE2860" w:rsidRPr="008902F2" w14:paraId="30EB112D"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E3D7197"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lastRenderedPageBreak/>
              <w:t>ISPARTA</w:t>
            </w:r>
          </w:p>
        </w:tc>
        <w:tc>
          <w:tcPr>
            <w:tcW w:w="2130" w:type="dxa"/>
            <w:tcBorders>
              <w:top w:val="nil"/>
              <w:left w:val="nil"/>
              <w:bottom w:val="single" w:sz="4" w:space="0" w:color="D3D3D3"/>
              <w:right w:val="single" w:sz="4" w:space="0" w:color="D3D3D3"/>
            </w:tcBorders>
            <w:shd w:val="clear" w:color="auto" w:fill="auto"/>
            <w:noWrap/>
          </w:tcPr>
          <w:p w14:paraId="7C94005B"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1.755,00</w:t>
            </w:r>
          </w:p>
        </w:tc>
        <w:tc>
          <w:tcPr>
            <w:tcW w:w="3747" w:type="dxa"/>
            <w:tcBorders>
              <w:top w:val="nil"/>
              <w:left w:val="nil"/>
              <w:bottom w:val="single" w:sz="4" w:space="0" w:color="D3D3D3"/>
              <w:right w:val="single" w:sz="4" w:space="0" w:color="D3D3D3"/>
            </w:tcBorders>
            <w:shd w:val="clear" w:color="auto" w:fill="auto"/>
            <w:noWrap/>
          </w:tcPr>
          <w:p w14:paraId="58A2B8A2"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0,23</w:t>
            </w:r>
          </w:p>
        </w:tc>
      </w:tr>
      <w:tr w:rsidR="00DE2860" w:rsidRPr="008902F2" w14:paraId="4136833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F1CB057"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ISTANBUL</w:t>
            </w:r>
          </w:p>
        </w:tc>
        <w:tc>
          <w:tcPr>
            <w:tcW w:w="2130" w:type="dxa"/>
            <w:tcBorders>
              <w:top w:val="nil"/>
              <w:left w:val="nil"/>
              <w:bottom w:val="single" w:sz="4" w:space="0" w:color="D3D3D3"/>
              <w:right w:val="single" w:sz="4" w:space="0" w:color="D3D3D3"/>
            </w:tcBorders>
            <w:shd w:val="clear" w:color="auto" w:fill="auto"/>
            <w:noWrap/>
          </w:tcPr>
          <w:p w14:paraId="366561C5"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15.180,00</w:t>
            </w:r>
          </w:p>
        </w:tc>
        <w:tc>
          <w:tcPr>
            <w:tcW w:w="3747" w:type="dxa"/>
            <w:tcBorders>
              <w:top w:val="nil"/>
              <w:left w:val="nil"/>
              <w:bottom w:val="single" w:sz="4" w:space="0" w:color="D3D3D3"/>
              <w:right w:val="single" w:sz="4" w:space="0" w:color="D3D3D3"/>
            </w:tcBorders>
            <w:shd w:val="clear" w:color="auto" w:fill="auto"/>
            <w:noWrap/>
          </w:tcPr>
          <w:p w14:paraId="46C436F9"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2,00</w:t>
            </w:r>
          </w:p>
        </w:tc>
      </w:tr>
      <w:tr w:rsidR="00DE2860" w:rsidRPr="008902F2" w14:paraId="5C967623" w14:textId="77777777" w:rsidTr="6F691FB8">
        <w:trPr>
          <w:trHeight w:val="207"/>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AFC0FED"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IZMIR</w:t>
            </w:r>
          </w:p>
        </w:tc>
        <w:tc>
          <w:tcPr>
            <w:tcW w:w="2130" w:type="dxa"/>
            <w:tcBorders>
              <w:top w:val="nil"/>
              <w:left w:val="nil"/>
              <w:bottom w:val="single" w:sz="4" w:space="0" w:color="D3D3D3"/>
              <w:right w:val="single" w:sz="4" w:space="0" w:color="D3D3D3"/>
            </w:tcBorders>
            <w:shd w:val="clear" w:color="auto" w:fill="auto"/>
            <w:noWrap/>
          </w:tcPr>
          <w:p w14:paraId="2BF05FB2"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124.009,00</w:t>
            </w:r>
          </w:p>
        </w:tc>
        <w:tc>
          <w:tcPr>
            <w:tcW w:w="3747" w:type="dxa"/>
            <w:tcBorders>
              <w:top w:val="nil"/>
              <w:left w:val="nil"/>
              <w:bottom w:val="single" w:sz="4" w:space="0" w:color="D3D3D3"/>
              <w:right w:val="single" w:sz="4" w:space="0" w:color="D3D3D3"/>
            </w:tcBorders>
            <w:shd w:val="clear" w:color="auto" w:fill="auto"/>
            <w:noWrap/>
          </w:tcPr>
          <w:p w14:paraId="29876361"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16,31</w:t>
            </w:r>
          </w:p>
        </w:tc>
      </w:tr>
      <w:tr w:rsidR="00DE2860" w:rsidRPr="008902F2" w14:paraId="262A6C46"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4CEEFBF1"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KAHRAMANMARAS</w:t>
            </w:r>
          </w:p>
        </w:tc>
        <w:tc>
          <w:tcPr>
            <w:tcW w:w="2130" w:type="dxa"/>
            <w:tcBorders>
              <w:top w:val="nil"/>
              <w:left w:val="nil"/>
              <w:bottom w:val="single" w:sz="4" w:space="0" w:color="D3D3D3"/>
              <w:right w:val="single" w:sz="4" w:space="0" w:color="D3D3D3"/>
            </w:tcBorders>
            <w:shd w:val="clear" w:color="auto" w:fill="auto"/>
            <w:noWrap/>
          </w:tcPr>
          <w:p w14:paraId="3B7D14FA"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1.282,00</w:t>
            </w:r>
          </w:p>
        </w:tc>
        <w:tc>
          <w:tcPr>
            <w:tcW w:w="3747" w:type="dxa"/>
            <w:tcBorders>
              <w:top w:val="nil"/>
              <w:left w:val="nil"/>
              <w:bottom w:val="single" w:sz="4" w:space="0" w:color="D3D3D3"/>
              <w:right w:val="single" w:sz="4" w:space="0" w:color="D3D3D3"/>
            </w:tcBorders>
            <w:shd w:val="clear" w:color="auto" w:fill="auto"/>
            <w:noWrap/>
          </w:tcPr>
          <w:p w14:paraId="2C963AF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0,17</w:t>
            </w:r>
          </w:p>
        </w:tc>
      </w:tr>
      <w:tr w:rsidR="00DE2860" w:rsidRPr="008902F2" w14:paraId="70C1F2B3"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18E0DE69" w14:textId="77777777" w:rsidR="00DE2860" w:rsidRPr="008902F2" w:rsidRDefault="00DE2860" w:rsidP="00FF24CA">
            <w:pPr>
              <w:spacing w:after="0" w:line="240" w:lineRule="auto"/>
              <w:rPr>
                <w:rFonts w:ascii="Times New Roman" w:hAnsi="Times New Roman"/>
                <w:color w:val="000000"/>
                <w:sz w:val="20"/>
                <w:szCs w:val="20"/>
              </w:rPr>
            </w:pPr>
            <w:r w:rsidRPr="008902F2">
              <w:rPr>
                <w:rFonts w:ascii="Times New Roman" w:hAnsi="Times New Roman"/>
                <w:color w:val="000000"/>
                <w:sz w:val="20"/>
                <w:szCs w:val="20"/>
              </w:rPr>
              <w:t>KAYSERI</w:t>
            </w:r>
          </w:p>
        </w:tc>
        <w:tc>
          <w:tcPr>
            <w:tcW w:w="2130" w:type="dxa"/>
            <w:tcBorders>
              <w:top w:val="nil"/>
              <w:left w:val="nil"/>
              <w:bottom w:val="single" w:sz="4" w:space="0" w:color="D3D3D3"/>
              <w:right w:val="single" w:sz="4" w:space="0" w:color="D3D3D3"/>
            </w:tcBorders>
            <w:shd w:val="clear" w:color="auto" w:fill="auto"/>
            <w:noWrap/>
          </w:tcPr>
          <w:p w14:paraId="4D38BEBE" w14:textId="77777777" w:rsidR="00DE2860" w:rsidRPr="008902F2" w:rsidDel="000E59C1"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2.023,00</w:t>
            </w:r>
          </w:p>
        </w:tc>
        <w:tc>
          <w:tcPr>
            <w:tcW w:w="3747" w:type="dxa"/>
            <w:tcBorders>
              <w:top w:val="nil"/>
              <w:left w:val="nil"/>
              <w:bottom w:val="single" w:sz="4" w:space="0" w:color="D3D3D3"/>
              <w:right w:val="single" w:sz="4" w:space="0" w:color="D3D3D3"/>
            </w:tcBorders>
            <w:shd w:val="clear" w:color="auto" w:fill="auto"/>
            <w:noWrap/>
          </w:tcPr>
          <w:p w14:paraId="6316BF9C" w14:textId="77777777" w:rsidR="00DE2860" w:rsidRPr="008902F2" w:rsidDel="000E59C1"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0,27</w:t>
            </w:r>
          </w:p>
        </w:tc>
      </w:tr>
      <w:tr w:rsidR="00DE2860" w:rsidRPr="008902F2" w14:paraId="50DE238C"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D276906"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KIRIKKALE</w:t>
            </w:r>
          </w:p>
        </w:tc>
        <w:tc>
          <w:tcPr>
            <w:tcW w:w="2130" w:type="dxa"/>
            <w:tcBorders>
              <w:top w:val="nil"/>
              <w:left w:val="nil"/>
              <w:bottom w:val="single" w:sz="4" w:space="0" w:color="D3D3D3"/>
              <w:right w:val="single" w:sz="4" w:space="0" w:color="D3D3D3"/>
            </w:tcBorders>
            <w:shd w:val="clear" w:color="auto" w:fill="auto"/>
            <w:noWrap/>
          </w:tcPr>
          <w:p w14:paraId="54601950"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10.509,00</w:t>
            </w:r>
          </w:p>
        </w:tc>
        <w:tc>
          <w:tcPr>
            <w:tcW w:w="3747" w:type="dxa"/>
            <w:tcBorders>
              <w:top w:val="nil"/>
              <w:left w:val="nil"/>
              <w:bottom w:val="single" w:sz="4" w:space="0" w:color="D3D3D3"/>
              <w:right w:val="single" w:sz="4" w:space="0" w:color="D3D3D3"/>
            </w:tcBorders>
            <w:shd w:val="clear" w:color="auto" w:fill="auto"/>
            <w:noWrap/>
          </w:tcPr>
          <w:p w14:paraId="407B87B4"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1,38</w:t>
            </w:r>
          </w:p>
        </w:tc>
      </w:tr>
      <w:tr w:rsidR="00DE2860" w:rsidRPr="008902F2" w14:paraId="6C44E2A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51C48242" w14:textId="0F002B05" w:rsidR="00DE2860" w:rsidRPr="008902F2" w:rsidRDefault="063EA492" w:rsidP="00FF24CA">
            <w:pPr>
              <w:spacing w:after="0" w:line="240" w:lineRule="auto"/>
              <w:rPr>
                <w:rFonts w:ascii="Times New Roman" w:hAnsi="Times New Roman"/>
                <w:color w:val="000000"/>
                <w:sz w:val="20"/>
                <w:szCs w:val="20"/>
              </w:rPr>
            </w:pPr>
            <w:r w:rsidRPr="008902F2">
              <w:rPr>
                <w:rFonts w:ascii="Times New Roman" w:hAnsi="Times New Roman"/>
                <w:color w:val="000000" w:themeColor="text1"/>
                <w:sz w:val="20"/>
                <w:szCs w:val="20"/>
              </w:rPr>
              <w:t>KILIS</w:t>
            </w:r>
          </w:p>
        </w:tc>
        <w:tc>
          <w:tcPr>
            <w:tcW w:w="2130" w:type="dxa"/>
            <w:tcBorders>
              <w:top w:val="nil"/>
              <w:left w:val="nil"/>
              <w:bottom w:val="single" w:sz="4" w:space="0" w:color="D3D3D3"/>
              <w:right w:val="single" w:sz="4" w:space="0" w:color="D3D3D3"/>
            </w:tcBorders>
            <w:shd w:val="clear" w:color="auto" w:fill="auto"/>
            <w:noWrap/>
          </w:tcPr>
          <w:p w14:paraId="1D6970BB" w14:textId="77777777" w:rsidR="00DE2860" w:rsidRPr="008902F2" w:rsidDel="000E59C1"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165,00</w:t>
            </w:r>
          </w:p>
        </w:tc>
        <w:tc>
          <w:tcPr>
            <w:tcW w:w="3747" w:type="dxa"/>
            <w:tcBorders>
              <w:top w:val="nil"/>
              <w:left w:val="nil"/>
              <w:bottom w:val="single" w:sz="4" w:space="0" w:color="D3D3D3"/>
              <w:right w:val="single" w:sz="4" w:space="0" w:color="D3D3D3"/>
            </w:tcBorders>
            <w:shd w:val="clear" w:color="auto" w:fill="auto"/>
            <w:noWrap/>
          </w:tcPr>
          <w:p w14:paraId="3776E3BB" w14:textId="77777777" w:rsidR="00DE2860" w:rsidRPr="008902F2" w:rsidDel="000E59C1"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0,02</w:t>
            </w:r>
          </w:p>
        </w:tc>
      </w:tr>
      <w:tr w:rsidR="00DE2860" w:rsidRPr="008902F2" w14:paraId="41E73544"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433D7D4" w14:textId="0E292CAA" w:rsidR="00DE2860" w:rsidRPr="008902F2" w:rsidRDefault="2CE3FFB3" w:rsidP="6F691FB8">
            <w:pPr>
              <w:spacing w:after="0" w:line="240" w:lineRule="auto"/>
              <w:rPr>
                <w:rFonts w:ascii="Times New Roman" w:eastAsia="Times New Roman" w:hAnsi="Times New Roman"/>
                <w:color w:val="000000"/>
                <w:lang w:eastAsia="tr-TR"/>
              </w:rPr>
            </w:pPr>
            <w:r w:rsidRPr="008902F2">
              <w:rPr>
                <w:rFonts w:ascii="Times New Roman" w:hAnsi="Times New Roman"/>
                <w:color w:val="000000" w:themeColor="text1"/>
                <w:sz w:val="20"/>
                <w:szCs w:val="20"/>
              </w:rPr>
              <w:t>KOCAELI</w:t>
            </w:r>
          </w:p>
        </w:tc>
        <w:tc>
          <w:tcPr>
            <w:tcW w:w="2130" w:type="dxa"/>
            <w:tcBorders>
              <w:top w:val="nil"/>
              <w:left w:val="nil"/>
              <w:bottom w:val="single" w:sz="4" w:space="0" w:color="D3D3D3"/>
              <w:right w:val="single" w:sz="4" w:space="0" w:color="D3D3D3"/>
            </w:tcBorders>
            <w:shd w:val="clear" w:color="auto" w:fill="auto"/>
            <w:noWrap/>
          </w:tcPr>
          <w:p w14:paraId="6A0A8B2A"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190.178,00</w:t>
            </w:r>
          </w:p>
        </w:tc>
        <w:tc>
          <w:tcPr>
            <w:tcW w:w="3747" w:type="dxa"/>
            <w:tcBorders>
              <w:top w:val="nil"/>
              <w:left w:val="nil"/>
              <w:bottom w:val="single" w:sz="4" w:space="0" w:color="D3D3D3"/>
              <w:right w:val="single" w:sz="4" w:space="0" w:color="D3D3D3"/>
            </w:tcBorders>
            <w:shd w:val="clear" w:color="auto" w:fill="auto"/>
            <w:noWrap/>
          </w:tcPr>
          <w:p w14:paraId="5EB24493"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25,02</w:t>
            </w:r>
          </w:p>
        </w:tc>
      </w:tr>
      <w:tr w:rsidR="00DE2860" w:rsidRPr="008902F2" w14:paraId="08BC2AA4"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4294A5F"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KONYA</w:t>
            </w:r>
          </w:p>
        </w:tc>
        <w:tc>
          <w:tcPr>
            <w:tcW w:w="2130" w:type="dxa"/>
            <w:tcBorders>
              <w:top w:val="nil"/>
              <w:left w:val="nil"/>
              <w:bottom w:val="single" w:sz="4" w:space="0" w:color="D3D3D3"/>
              <w:right w:val="single" w:sz="4" w:space="0" w:color="D3D3D3"/>
            </w:tcBorders>
            <w:shd w:val="clear" w:color="auto" w:fill="auto"/>
            <w:noWrap/>
          </w:tcPr>
          <w:p w14:paraId="54D51301"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3.228,00</w:t>
            </w:r>
          </w:p>
        </w:tc>
        <w:tc>
          <w:tcPr>
            <w:tcW w:w="3747" w:type="dxa"/>
            <w:tcBorders>
              <w:top w:val="nil"/>
              <w:left w:val="nil"/>
              <w:bottom w:val="single" w:sz="4" w:space="0" w:color="D3D3D3"/>
              <w:right w:val="single" w:sz="4" w:space="0" w:color="D3D3D3"/>
            </w:tcBorders>
            <w:shd w:val="clear" w:color="auto" w:fill="auto"/>
            <w:noWrap/>
          </w:tcPr>
          <w:p w14:paraId="5C45610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0,42</w:t>
            </w:r>
          </w:p>
        </w:tc>
      </w:tr>
      <w:tr w:rsidR="00DE2860" w:rsidRPr="008902F2" w14:paraId="67D3DC89"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C4DC592"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MALATYA</w:t>
            </w:r>
          </w:p>
        </w:tc>
        <w:tc>
          <w:tcPr>
            <w:tcW w:w="2130" w:type="dxa"/>
            <w:tcBorders>
              <w:top w:val="nil"/>
              <w:left w:val="nil"/>
              <w:bottom w:val="single" w:sz="4" w:space="0" w:color="D3D3D3"/>
              <w:right w:val="single" w:sz="4" w:space="0" w:color="D3D3D3"/>
            </w:tcBorders>
            <w:shd w:val="clear" w:color="auto" w:fill="auto"/>
            <w:noWrap/>
          </w:tcPr>
          <w:p w14:paraId="40C10760"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1.985,00</w:t>
            </w:r>
          </w:p>
        </w:tc>
        <w:tc>
          <w:tcPr>
            <w:tcW w:w="3747" w:type="dxa"/>
            <w:tcBorders>
              <w:top w:val="nil"/>
              <w:left w:val="nil"/>
              <w:bottom w:val="single" w:sz="4" w:space="0" w:color="D3D3D3"/>
              <w:right w:val="single" w:sz="4" w:space="0" w:color="D3D3D3"/>
            </w:tcBorders>
            <w:shd w:val="clear" w:color="auto" w:fill="auto"/>
            <w:noWrap/>
          </w:tcPr>
          <w:p w14:paraId="243F3D50"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0,26</w:t>
            </w:r>
          </w:p>
        </w:tc>
      </w:tr>
      <w:tr w:rsidR="00DE2860" w:rsidRPr="008902F2" w14:paraId="0399AF6B"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C3F5D3D" w14:textId="3A66876D" w:rsidR="00DE2860" w:rsidRPr="008902F2" w:rsidRDefault="2CE3FFB3"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MARD</w:t>
            </w:r>
            <w:r w:rsidR="10EE0205" w:rsidRPr="008902F2">
              <w:rPr>
                <w:rFonts w:ascii="Times New Roman" w:hAnsi="Times New Roman"/>
                <w:color w:val="000000" w:themeColor="text1"/>
                <w:sz w:val="20"/>
                <w:szCs w:val="20"/>
              </w:rPr>
              <w:t>IN</w:t>
            </w:r>
          </w:p>
        </w:tc>
        <w:tc>
          <w:tcPr>
            <w:tcW w:w="2130" w:type="dxa"/>
            <w:tcBorders>
              <w:top w:val="nil"/>
              <w:left w:val="nil"/>
              <w:bottom w:val="single" w:sz="4" w:space="0" w:color="D3D3D3"/>
              <w:right w:val="single" w:sz="4" w:space="0" w:color="D3D3D3"/>
            </w:tcBorders>
            <w:shd w:val="clear" w:color="auto" w:fill="auto"/>
            <w:noWrap/>
          </w:tcPr>
          <w:p w14:paraId="79E115A8"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1.595,00</w:t>
            </w:r>
          </w:p>
        </w:tc>
        <w:tc>
          <w:tcPr>
            <w:tcW w:w="3747" w:type="dxa"/>
            <w:tcBorders>
              <w:top w:val="nil"/>
              <w:left w:val="nil"/>
              <w:bottom w:val="single" w:sz="4" w:space="0" w:color="D3D3D3"/>
              <w:right w:val="single" w:sz="4" w:space="0" w:color="D3D3D3"/>
            </w:tcBorders>
            <w:shd w:val="clear" w:color="auto" w:fill="auto"/>
            <w:noWrap/>
          </w:tcPr>
          <w:p w14:paraId="652E19F7"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0,21</w:t>
            </w:r>
          </w:p>
        </w:tc>
      </w:tr>
      <w:tr w:rsidR="00DE2860" w:rsidRPr="008902F2" w14:paraId="6EF020D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D8BBAA8" w14:textId="2C0EAA62" w:rsidR="00DE2860" w:rsidRPr="008902F2" w:rsidRDefault="2CE3FFB3"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M</w:t>
            </w:r>
            <w:r w:rsidR="6A39562B" w:rsidRPr="008902F2">
              <w:rPr>
                <w:rFonts w:ascii="Times New Roman" w:hAnsi="Times New Roman"/>
                <w:color w:val="000000" w:themeColor="text1"/>
                <w:sz w:val="20"/>
                <w:szCs w:val="20"/>
              </w:rPr>
              <w:t>ERSIN</w:t>
            </w:r>
          </w:p>
        </w:tc>
        <w:tc>
          <w:tcPr>
            <w:tcW w:w="2130" w:type="dxa"/>
            <w:tcBorders>
              <w:top w:val="nil"/>
              <w:left w:val="nil"/>
              <w:bottom w:val="single" w:sz="4" w:space="0" w:color="D3D3D3"/>
              <w:right w:val="single" w:sz="4" w:space="0" w:color="D3D3D3"/>
            </w:tcBorders>
            <w:shd w:val="clear" w:color="auto" w:fill="auto"/>
            <w:noWrap/>
          </w:tcPr>
          <w:p w14:paraId="7EEABA73"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1.115,00</w:t>
            </w:r>
          </w:p>
        </w:tc>
        <w:tc>
          <w:tcPr>
            <w:tcW w:w="3747" w:type="dxa"/>
            <w:tcBorders>
              <w:top w:val="nil"/>
              <w:left w:val="nil"/>
              <w:bottom w:val="single" w:sz="4" w:space="0" w:color="D3D3D3"/>
              <w:right w:val="single" w:sz="4" w:space="0" w:color="D3D3D3"/>
            </w:tcBorders>
            <w:shd w:val="clear" w:color="auto" w:fill="auto"/>
            <w:noWrap/>
          </w:tcPr>
          <w:p w14:paraId="01E9BE1E"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0,15</w:t>
            </w:r>
          </w:p>
        </w:tc>
      </w:tr>
      <w:tr w:rsidR="00DE2860" w:rsidRPr="008902F2" w14:paraId="25FA9B5A"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5D9CDED"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NEVSEHIR</w:t>
            </w:r>
          </w:p>
        </w:tc>
        <w:tc>
          <w:tcPr>
            <w:tcW w:w="2130" w:type="dxa"/>
            <w:tcBorders>
              <w:top w:val="nil"/>
              <w:left w:val="nil"/>
              <w:bottom w:val="single" w:sz="4" w:space="0" w:color="D3D3D3"/>
              <w:right w:val="single" w:sz="4" w:space="0" w:color="D3D3D3"/>
            </w:tcBorders>
            <w:shd w:val="clear" w:color="auto" w:fill="auto"/>
            <w:noWrap/>
          </w:tcPr>
          <w:p w14:paraId="29CACF7B"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230,00</w:t>
            </w:r>
          </w:p>
        </w:tc>
        <w:tc>
          <w:tcPr>
            <w:tcW w:w="3747" w:type="dxa"/>
            <w:tcBorders>
              <w:top w:val="nil"/>
              <w:left w:val="nil"/>
              <w:bottom w:val="single" w:sz="4" w:space="0" w:color="D3D3D3"/>
              <w:right w:val="single" w:sz="4" w:space="0" w:color="D3D3D3"/>
            </w:tcBorders>
            <w:shd w:val="clear" w:color="auto" w:fill="auto"/>
            <w:noWrap/>
          </w:tcPr>
          <w:p w14:paraId="194750B8"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0,03</w:t>
            </w:r>
          </w:p>
        </w:tc>
      </w:tr>
      <w:tr w:rsidR="00DE2860" w:rsidRPr="008902F2" w14:paraId="279E1250"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C8EA352"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NIGDE</w:t>
            </w:r>
          </w:p>
        </w:tc>
        <w:tc>
          <w:tcPr>
            <w:tcW w:w="2130" w:type="dxa"/>
            <w:tcBorders>
              <w:top w:val="nil"/>
              <w:left w:val="nil"/>
              <w:bottom w:val="single" w:sz="4" w:space="0" w:color="D3D3D3"/>
              <w:right w:val="single" w:sz="4" w:space="0" w:color="D3D3D3"/>
            </w:tcBorders>
            <w:shd w:val="clear" w:color="auto" w:fill="auto"/>
            <w:noWrap/>
          </w:tcPr>
          <w:p w14:paraId="43D666C8"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1.148,00</w:t>
            </w:r>
          </w:p>
        </w:tc>
        <w:tc>
          <w:tcPr>
            <w:tcW w:w="3747" w:type="dxa"/>
            <w:tcBorders>
              <w:top w:val="nil"/>
              <w:left w:val="nil"/>
              <w:bottom w:val="single" w:sz="4" w:space="0" w:color="D3D3D3"/>
              <w:right w:val="single" w:sz="4" w:space="0" w:color="D3D3D3"/>
            </w:tcBorders>
            <w:shd w:val="clear" w:color="auto" w:fill="auto"/>
            <w:noWrap/>
          </w:tcPr>
          <w:p w14:paraId="12DEE39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0,15</w:t>
            </w:r>
          </w:p>
        </w:tc>
      </w:tr>
      <w:tr w:rsidR="00DE2860" w:rsidRPr="008902F2" w14:paraId="29506D3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D0B2EE1" w14:textId="4D50CCB8" w:rsidR="00DE2860" w:rsidRPr="008902F2" w:rsidRDefault="2CDC1694"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ORDU</w:t>
            </w:r>
          </w:p>
        </w:tc>
        <w:tc>
          <w:tcPr>
            <w:tcW w:w="2130" w:type="dxa"/>
            <w:tcBorders>
              <w:top w:val="nil"/>
              <w:left w:val="nil"/>
              <w:bottom w:val="single" w:sz="4" w:space="0" w:color="D3D3D3"/>
              <w:right w:val="single" w:sz="4" w:space="0" w:color="D3D3D3"/>
            </w:tcBorders>
            <w:shd w:val="clear" w:color="auto" w:fill="auto"/>
            <w:noWrap/>
          </w:tcPr>
          <w:p w14:paraId="2616B17B"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345,00</w:t>
            </w:r>
          </w:p>
        </w:tc>
        <w:tc>
          <w:tcPr>
            <w:tcW w:w="3747" w:type="dxa"/>
            <w:tcBorders>
              <w:top w:val="nil"/>
              <w:left w:val="nil"/>
              <w:bottom w:val="single" w:sz="4" w:space="0" w:color="D3D3D3"/>
              <w:right w:val="single" w:sz="4" w:space="0" w:color="D3D3D3"/>
            </w:tcBorders>
            <w:shd w:val="clear" w:color="auto" w:fill="auto"/>
            <w:noWrap/>
          </w:tcPr>
          <w:p w14:paraId="550B323E"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0,05</w:t>
            </w:r>
          </w:p>
        </w:tc>
      </w:tr>
      <w:tr w:rsidR="00DE2860" w:rsidRPr="008902F2" w14:paraId="68338C4F"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57D879CE" w14:textId="77777777" w:rsidR="00DE2860" w:rsidRPr="008902F2" w:rsidRDefault="00DE2860" w:rsidP="00FF24CA">
            <w:pPr>
              <w:spacing w:after="0" w:line="240" w:lineRule="auto"/>
              <w:rPr>
                <w:rFonts w:ascii="Times New Roman" w:hAnsi="Times New Roman"/>
                <w:color w:val="000000"/>
                <w:sz w:val="20"/>
                <w:szCs w:val="20"/>
              </w:rPr>
            </w:pPr>
            <w:r w:rsidRPr="008902F2">
              <w:rPr>
                <w:rFonts w:ascii="Times New Roman" w:hAnsi="Times New Roman"/>
                <w:color w:val="000000"/>
                <w:sz w:val="20"/>
                <w:szCs w:val="20"/>
              </w:rPr>
              <w:t>OSMANIYE</w:t>
            </w:r>
          </w:p>
        </w:tc>
        <w:tc>
          <w:tcPr>
            <w:tcW w:w="2130" w:type="dxa"/>
            <w:tcBorders>
              <w:top w:val="nil"/>
              <w:left w:val="nil"/>
              <w:bottom w:val="single" w:sz="4" w:space="0" w:color="D3D3D3"/>
              <w:right w:val="single" w:sz="4" w:space="0" w:color="D3D3D3"/>
            </w:tcBorders>
            <w:shd w:val="clear" w:color="auto" w:fill="auto"/>
            <w:noWrap/>
          </w:tcPr>
          <w:p w14:paraId="4E988D1E" w14:textId="77777777" w:rsidR="00DE2860" w:rsidRPr="008902F2" w:rsidDel="000E59C1"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5.491,00</w:t>
            </w:r>
          </w:p>
        </w:tc>
        <w:tc>
          <w:tcPr>
            <w:tcW w:w="3747" w:type="dxa"/>
            <w:tcBorders>
              <w:top w:val="nil"/>
              <w:left w:val="nil"/>
              <w:bottom w:val="single" w:sz="4" w:space="0" w:color="D3D3D3"/>
              <w:right w:val="single" w:sz="4" w:space="0" w:color="D3D3D3"/>
            </w:tcBorders>
            <w:shd w:val="clear" w:color="auto" w:fill="auto"/>
            <w:noWrap/>
          </w:tcPr>
          <w:p w14:paraId="13FEDB54" w14:textId="77777777" w:rsidR="00DE2860" w:rsidRPr="008902F2" w:rsidDel="000E59C1"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0,72</w:t>
            </w:r>
          </w:p>
        </w:tc>
      </w:tr>
      <w:tr w:rsidR="00DE2860" w:rsidRPr="008902F2" w14:paraId="72E92211"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90FBEB5"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SAMSUN</w:t>
            </w:r>
          </w:p>
        </w:tc>
        <w:tc>
          <w:tcPr>
            <w:tcW w:w="2130" w:type="dxa"/>
            <w:tcBorders>
              <w:top w:val="nil"/>
              <w:left w:val="nil"/>
              <w:bottom w:val="single" w:sz="4" w:space="0" w:color="D3D3D3"/>
              <w:right w:val="single" w:sz="4" w:space="0" w:color="D3D3D3"/>
            </w:tcBorders>
            <w:shd w:val="clear" w:color="auto" w:fill="auto"/>
            <w:noWrap/>
          </w:tcPr>
          <w:p w14:paraId="535A44C7"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28,351,00</w:t>
            </w:r>
          </w:p>
        </w:tc>
        <w:tc>
          <w:tcPr>
            <w:tcW w:w="3747" w:type="dxa"/>
            <w:tcBorders>
              <w:top w:val="nil"/>
              <w:left w:val="nil"/>
              <w:bottom w:val="single" w:sz="4" w:space="0" w:color="D3D3D3"/>
              <w:right w:val="single" w:sz="4" w:space="0" w:color="D3D3D3"/>
            </w:tcBorders>
            <w:shd w:val="clear" w:color="auto" w:fill="auto"/>
            <w:noWrap/>
          </w:tcPr>
          <w:p w14:paraId="7E1B062D"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3,73</w:t>
            </w:r>
          </w:p>
        </w:tc>
      </w:tr>
      <w:tr w:rsidR="00DE2860" w:rsidRPr="008902F2" w14:paraId="0D8B39D4"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CFBF151"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TEKIRDAG</w:t>
            </w:r>
          </w:p>
        </w:tc>
        <w:tc>
          <w:tcPr>
            <w:tcW w:w="2130" w:type="dxa"/>
            <w:tcBorders>
              <w:top w:val="nil"/>
              <w:left w:val="nil"/>
              <w:bottom w:val="single" w:sz="4" w:space="0" w:color="D3D3D3"/>
              <w:right w:val="single" w:sz="4" w:space="0" w:color="D3D3D3"/>
            </w:tcBorders>
            <w:shd w:val="clear" w:color="auto" w:fill="auto"/>
            <w:noWrap/>
          </w:tcPr>
          <w:p w14:paraId="41E51B8A"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53.864,00</w:t>
            </w:r>
          </w:p>
        </w:tc>
        <w:tc>
          <w:tcPr>
            <w:tcW w:w="3747" w:type="dxa"/>
            <w:tcBorders>
              <w:top w:val="nil"/>
              <w:left w:val="nil"/>
              <w:bottom w:val="single" w:sz="4" w:space="0" w:color="D3D3D3"/>
              <w:right w:val="single" w:sz="4" w:space="0" w:color="D3D3D3"/>
            </w:tcBorders>
            <w:shd w:val="clear" w:color="auto" w:fill="auto"/>
            <w:noWrap/>
          </w:tcPr>
          <w:p w14:paraId="7C606474"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7,09</w:t>
            </w:r>
          </w:p>
        </w:tc>
      </w:tr>
      <w:tr w:rsidR="00DE2860" w:rsidRPr="008902F2" w14:paraId="27596BF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C9AF3FB" w14:textId="24E18B87" w:rsidR="00DE2860" w:rsidRPr="008902F2" w:rsidRDefault="7A0E576E" w:rsidP="6F691FB8">
            <w:pPr>
              <w:spacing w:after="0" w:line="240" w:lineRule="auto"/>
              <w:rPr>
                <w:rFonts w:ascii="Times New Roman" w:hAnsi="Times New Roman"/>
                <w:color w:val="000000"/>
                <w:sz w:val="20"/>
                <w:szCs w:val="20"/>
                <w:lang w:eastAsia="tr-TR"/>
              </w:rPr>
            </w:pPr>
            <w:r w:rsidRPr="008902F2">
              <w:rPr>
                <w:rFonts w:ascii="Times New Roman" w:hAnsi="Times New Roman"/>
                <w:color w:val="000000" w:themeColor="text1"/>
                <w:sz w:val="20"/>
                <w:szCs w:val="20"/>
              </w:rPr>
              <w:t>TOKAT</w:t>
            </w:r>
          </w:p>
        </w:tc>
        <w:tc>
          <w:tcPr>
            <w:tcW w:w="2130" w:type="dxa"/>
            <w:tcBorders>
              <w:top w:val="nil"/>
              <w:left w:val="nil"/>
              <w:bottom w:val="single" w:sz="4" w:space="0" w:color="D3D3D3"/>
              <w:right w:val="single" w:sz="4" w:space="0" w:color="D3D3D3"/>
            </w:tcBorders>
            <w:shd w:val="clear" w:color="auto" w:fill="auto"/>
            <w:noWrap/>
          </w:tcPr>
          <w:p w14:paraId="44B37B09"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935,00</w:t>
            </w:r>
          </w:p>
        </w:tc>
        <w:tc>
          <w:tcPr>
            <w:tcW w:w="3747" w:type="dxa"/>
            <w:tcBorders>
              <w:top w:val="nil"/>
              <w:left w:val="nil"/>
              <w:bottom w:val="single" w:sz="4" w:space="0" w:color="D3D3D3"/>
              <w:right w:val="single" w:sz="4" w:space="0" w:color="D3D3D3"/>
            </w:tcBorders>
            <w:shd w:val="clear" w:color="auto" w:fill="auto"/>
            <w:noWrap/>
          </w:tcPr>
          <w:p w14:paraId="3AAFD6CE"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0,12</w:t>
            </w:r>
          </w:p>
        </w:tc>
      </w:tr>
      <w:tr w:rsidR="00DE2860" w:rsidRPr="008902F2" w14:paraId="2663203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A1A0295"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color w:val="000000"/>
                <w:sz w:val="20"/>
                <w:szCs w:val="20"/>
              </w:rPr>
              <w:t>TRABZON</w:t>
            </w:r>
          </w:p>
        </w:tc>
        <w:tc>
          <w:tcPr>
            <w:tcW w:w="2130" w:type="dxa"/>
            <w:tcBorders>
              <w:top w:val="nil"/>
              <w:left w:val="nil"/>
              <w:bottom w:val="single" w:sz="4" w:space="0" w:color="D3D3D3"/>
              <w:right w:val="single" w:sz="4" w:space="0" w:color="D3D3D3"/>
            </w:tcBorders>
            <w:shd w:val="clear" w:color="auto" w:fill="auto"/>
            <w:noWrap/>
          </w:tcPr>
          <w:p w14:paraId="7A508900" w14:textId="77777777" w:rsidR="00DE2860" w:rsidRPr="008902F2" w:rsidRDefault="00DE2860" w:rsidP="00FF24CA">
            <w:pPr>
              <w:spacing w:after="0" w:line="240" w:lineRule="auto"/>
              <w:jc w:val="right"/>
              <w:rPr>
                <w:rFonts w:ascii="Times New Roman" w:eastAsia="Times New Roman" w:hAnsi="Times New Roman"/>
                <w:color w:val="000000"/>
                <w:lang w:eastAsia="tr-TR"/>
              </w:rPr>
            </w:pPr>
            <w:r w:rsidRPr="008902F2">
              <w:rPr>
                <w:rFonts w:ascii="Times New Roman" w:hAnsi="Times New Roman"/>
                <w:color w:val="000000"/>
                <w:sz w:val="20"/>
                <w:szCs w:val="20"/>
              </w:rPr>
              <w:t>21.633,00</w:t>
            </w:r>
          </w:p>
        </w:tc>
        <w:tc>
          <w:tcPr>
            <w:tcW w:w="3747" w:type="dxa"/>
            <w:tcBorders>
              <w:top w:val="nil"/>
              <w:left w:val="nil"/>
              <w:bottom w:val="single" w:sz="4" w:space="0" w:color="D3D3D3"/>
              <w:right w:val="single" w:sz="4" w:space="0" w:color="D3D3D3"/>
            </w:tcBorders>
            <w:shd w:val="clear" w:color="auto" w:fill="auto"/>
            <w:noWrap/>
          </w:tcPr>
          <w:p w14:paraId="498CB8DF"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color w:val="000000"/>
                <w:sz w:val="20"/>
                <w:szCs w:val="20"/>
              </w:rPr>
              <w:t>2,85</w:t>
            </w:r>
          </w:p>
        </w:tc>
      </w:tr>
      <w:tr w:rsidR="00DE2860" w:rsidRPr="008902F2" w14:paraId="432B998A"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11C6C1C3" w14:textId="40EB2328" w:rsidR="00DE2860" w:rsidRPr="008902F2" w:rsidRDefault="0C8E37C2" w:rsidP="6F691FB8">
            <w:pPr>
              <w:spacing w:after="0" w:line="240" w:lineRule="auto"/>
              <w:rPr>
                <w:rFonts w:ascii="Times New Roman" w:hAnsi="Times New Roman"/>
                <w:color w:val="000000"/>
                <w:sz w:val="20"/>
                <w:szCs w:val="20"/>
              </w:rPr>
            </w:pPr>
            <w:r w:rsidRPr="008902F2">
              <w:rPr>
                <w:rFonts w:ascii="Times New Roman" w:hAnsi="Times New Roman"/>
                <w:color w:val="000000" w:themeColor="text1"/>
                <w:sz w:val="20"/>
                <w:szCs w:val="20"/>
              </w:rPr>
              <w:t>VAN</w:t>
            </w:r>
          </w:p>
        </w:tc>
        <w:tc>
          <w:tcPr>
            <w:tcW w:w="2130" w:type="dxa"/>
            <w:tcBorders>
              <w:top w:val="nil"/>
              <w:left w:val="nil"/>
              <w:bottom w:val="single" w:sz="4" w:space="0" w:color="D3D3D3"/>
              <w:right w:val="single" w:sz="4" w:space="0" w:color="D3D3D3"/>
            </w:tcBorders>
            <w:shd w:val="clear" w:color="auto" w:fill="auto"/>
            <w:noWrap/>
          </w:tcPr>
          <w:p w14:paraId="4C10C1AD" w14:textId="77777777" w:rsidR="00DE2860" w:rsidRPr="008902F2" w:rsidRDefault="00DE2860" w:rsidP="00FF24CA">
            <w:pPr>
              <w:spacing w:after="0" w:line="240" w:lineRule="auto"/>
              <w:jc w:val="right"/>
              <w:rPr>
                <w:rFonts w:ascii="Times New Roman" w:hAnsi="Times New Roman"/>
                <w:color w:val="000000"/>
              </w:rPr>
            </w:pPr>
            <w:r w:rsidRPr="008902F2">
              <w:rPr>
                <w:rFonts w:ascii="Times New Roman" w:hAnsi="Times New Roman"/>
                <w:color w:val="000000"/>
                <w:sz w:val="20"/>
                <w:szCs w:val="20"/>
              </w:rPr>
              <w:t>575,00</w:t>
            </w:r>
          </w:p>
        </w:tc>
        <w:tc>
          <w:tcPr>
            <w:tcW w:w="3747" w:type="dxa"/>
            <w:tcBorders>
              <w:top w:val="nil"/>
              <w:left w:val="nil"/>
              <w:bottom w:val="single" w:sz="4" w:space="0" w:color="D3D3D3"/>
              <w:right w:val="single" w:sz="4" w:space="0" w:color="D3D3D3"/>
            </w:tcBorders>
            <w:shd w:val="clear" w:color="auto" w:fill="auto"/>
            <w:noWrap/>
          </w:tcPr>
          <w:p w14:paraId="4A9AB13F" w14:textId="77777777" w:rsidR="00DE2860" w:rsidRPr="008902F2" w:rsidRDefault="00DE2860" w:rsidP="00FF24CA">
            <w:pPr>
              <w:spacing w:after="0" w:line="240" w:lineRule="auto"/>
              <w:jc w:val="center"/>
              <w:rPr>
                <w:rFonts w:ascii="Times New Roman" w:hAnsi="Times New Roman"/>
                <w:color w:val="000000"/>
              </w:rPr>
            </w:pPr>
            <w:r w:rsidRPr="008902F2">
              <w:rPr>
                <w:rFonts w:ascii="Times New Roman" w:hAnsi="Times New Roman"/>
                <w:color w:val="000000"/>
                <w:sz w:val="20"/>
                <w:szCs w:val="20"/>
              </w:rPr>
              <w:t>0,08</w:t>
            </w:r>
          </w:p>
        </w:tc>
      </w:tr>
      <w:tr w:rsidR="00DE2860" w:rsidRPr="008902F2" w14:paraId="1B879015"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7616797D" w14:textId="417403A0" w:rsidR="00DE2860" w:rsidRPr="008902F2" w:rsidRDefault="2CE3FFB3" w:rsidP="00FF24CA">
            <w:pPr>
              <w:spacing w:after="0" w:line="240" w:lineRule="auto"/>
              <w:rPr>
                <w:rFonts w:ascii="Times New Roman" w:hAnsi="Times New Roman"/>
                <w:color w:val="000000"/>
              </w:rPr>
            </w:pPr>
            <w:r w:rsidRPr="008902F2">
              <w:rPr>
                <w:rFonts w:ascii="Times New Roman" w:hAnsi="Times New Roman"/>
                <w:color w:val="000000" w:themeColor="text1"/>
                <w:sz w:val="20"/>
                <w:szCs w:val="20"/>
              </w:rPr>
              <w:t>YOZGAT</w:t>
            </w:r>
          </w:p>
        </w:tc>
        <w:tc>
          <w:tcPr>
            <w:tcW w:w="2130" w:type="dxa"/>
            <w:tcBorders>
              <w:top w:val="nil"/>
              <w:left w:val="nil"/>
              <w:bottom w:val="single" w:sz="4" w:space="0" w:color="D3D3D3"/>
              <w:right w:val="single" w:sz="4" w:space="0" w:color="D3D3D3"/>
            </w:tcBorders>
            <w:shd w:val="clear" w:color="auto" w:fill="auto"/>
            <w:noWrap/>
          </w:tcPr>
          <w:p w14:paraId="061A99B3" w14:textId="77777777" w:rsidR="00DE2860" w:rsidRPr="008902F2" w:rsidRDefault="00DE2860" w:rsidP="00FF24CA">
            <w:pPr>
              <w:spacing w:after="0" w:line="240" w:lineRule="auto"/>
              <w:jc w:val="right"/>
              <w:rPr>
                <w:rFonts w:ascii="Times New Roman" w:hAnsi="Times New Roman"/>
                <w:color w:val="000000"/>
              </w:rPr>
            </w:pPr>
            <w:r w:rsidRPr="008902F2">
              <w:rPr>
                <w:rFonts w:ascii="Times New Roman" w:hAnsi="Times New Roman"/>
                <w:color w:val="000000"/>
                <w:sz w:val="20"/>
                <w:szCs w:val="20"/>
              </w:rPr>
              <w:t>645,00</w:t>
            </w:r>
          </w:p>
        </w:tc>
        <w:tc>
          <w:tcPr>
            <w:tcW w:w="3747" w:type="dxa"/>
            <w:tcBorders>
              <w:top w:val="nil"/>
              <w:left w:val="nil"/>
              <w:bottom w:val="single" w:sz="4" w:space="0" w:color="D3D3D3"/>
              <w:right w:val="single" w:sz="4" w:space="0" w:color="D3D3D3"/>
            </w:tcBorders>
            <w:shd w:val="clear" w:color="auto" w:fill="auto"/>
            <w:noWrap/>
          </w:tcPr>
          <w:p w14:paraId="37A9D3D0" w14:textId="77777777" w:rsidR="00DE2860" w:rsidRPr="008902F2" w:rsidRDefault="00DE2860" w:rsidP="00FF24CA">
            <w:pPr>
              <w:spacing w:after="0" w:line="240" w:lineRule="auto"/>
              <w:jc w:val="center"/>
              <w:rPr>
                <w:rFonts w:ascii="Times New Roman" w:hAnsi="Times New Roman"/>
                <w:color w:val="000000"/>
              </w:rPr>
            </w:pPr>
            <w:r w:rsidRPr="008902F2">
              <w:rPr>
                <w:rFonts w:ascii="Times New Roman" w:hAnsi="Times New Roman"/>
                <w:color w:val="000000"/>
                <w:sz w:val="20"/>
                <w:szCs w:val="20"/>
              </w:rPr>
              <w:t>0,08</w:t>
            </w:r>
          </w:p>
        </w:tc>
      </w:tr>
      <w:tr w:rsidR="00DE2860" w:rsidRPr="008902F2" w14:paraId="4A0F68F1"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162D5C77" w14:textId="77777777" w:rsidR="00DE2860" w:rsidRPr="008902F2" w:rsidRDefault="00DE2860" w:rsidP="00FF24CA">
            <w:pPr>
              <w:spacing w:after="0" w:line="240" w:lineRule="auto"/>
              <w:rPr>
                <w:rFonts w:ascii="Times New Roman" w:hAnsi="Times New Roman"/>
                <w:color w:val="000000"/>
                <w:sz w:val="20"/>
                <w:szCs w:val="20"/>
              </w:rPr>
            </w:pPr>
            <w:r w:rsidRPr="008902F2">
              <w:rPr>
                <w:rFonts w:ascii="Times New Roman" w:hAnsi="Times New Roman"/>
                <w:color w:val="000000"/>
                <w:sz w:val="20"/>
                <w:szCs w:val="20"/>
              </w:rPr>
              <w:t>ZONGULDAK</w:t>
            </w:r>
          </w:p>
        </w:tc>
        <w:tc>
          <w:tcPr>
            <w:tcW w:w="2130" w:type="dxa"/>
            <w:tcBorders>
              <w:top w:val="nil"/>
              <w:left w:val="nil"/>
              <w:bottom w:val="single" w:sz="4" w:space="0" w:color="D3D3D3"/>
              <w:right w:val="single" w:sz="4" w:space="0" w:color="D3D3D3"/>
            </w:tcBorders>
            <w:shd w:val="clear" w:color="auto" w:fill="auto"/>
            <w:noWrap/>
          </w:tcPr>
          <w:p w14:paraId="557D3B08" w14:textId="77777777" w:rsidR="00DE2860" w:rsidRPr="008902F2" w:rsidRDefault="00DE2860" w:rsidP="00FF24CA">
            <w:pPr>
              <w:spacing w:after="0" w:line="240" w:lineRule="auto"/>
              <w:jc w:val="right"/>
              <w:rPr>
                <w:rFonts w:ascii="Times New Roman" w:hAnsi="Times New Roman"/>
                <w:color w:val="000000"/>
                <w:sz w:val="20"/>
                <w:szCs w:val="20"/>
              </w:rPr>
            </w:pPr>
            <w:r w:rsidRPr="008902F2">
              <w:rPr>
                <w:rFonts w:ascii="Times New Roman" w:hAnsi="Times New Roman"/>
                <w:color w:val="000000"/>
                <w:sz w:val="20"/>
                <w:szCs w:val="20"/>
              </w:rPr>
              <w:t>365,00</w:t>
            </w:r>
          </w:p>
        </w:tc>
        <w:tc>
          <w:tcPr>
            <w:tcW w:w="3747" w:type="dxa"/>
            <w:tcBorders>
              <w:top w:val="nil"/>
              <w:left w:val="nil"/>
              <w:bottom w:val="single" w:sz="4" w:space="0" w:color="D3D3D3"/>
              <w:right w:val="single" w:sz="4" w:space="0" w:color="D3D3D3"/>
            </w:tcBorders>
            <w:shd w:val="clear" w:color="auto" w:fill="auto"/>
            <w:noWrap/>
          </w:tcPr>
          <w:p w14:paraId="64465B06" w14:textId="77777777" w:rsidR="00DE2860" w:rsidRPr="008902F2" w:rsidRDefault="00DE2860" w:rsidP="00FF24CA">
            <w:pPr>
              <w:spacing w:after="0" w:line="240" w:lineRule="auto"/>
              <w:jc w:val="center"/>
              <w:rPr>
                <w:rFonts w:ascii="Times New Roman" w:hAnsi="Times New Roman"/>
                <w:color w:val="000000"/>
                <w:sz w:val="20"/>
                <w:szCs w:val="20"/>
              </w:rPr>
            </w:pPr>
            <w:r w:rsidRPr="008902F2">
              <w:rPr>
                <w:rFonts w:ascii="Times New Roman" w:hAnsi="Times New Roman"/>
                <w:color w:val="000000"/>
                <w:sz w:val="20"/>
                <w:szCs w:val="20"/>
              </w:rPr>
              <w:t>0,05</w:t>
            </w:r>
          </w:p>
        </w:tc>
      </w:tr>
      <w:tr w:rsidR="00DE2860" w:rsidRPr="008902F2" w14:paraId="6628CEC1" w14:textId="77777777" w:rsidTr="6F691FB8">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0281F2B" w14:textId="77777777" w:rsidR="00DE2860" w:rsidRPr="008902F2" w:rsidRDefault="00DE2860" w:rsidP="00FF24CA">
            <w:pPr>
              <w:spacing w:after="0" w:line="240" w:lineRule="auto"/>
              <w:rPr>
                <w:rFonts w:ascii="Times New Roman" w:eastAsia="Times New Roman" w:hAnsi="Times New Roman"/>
                <w:color w:val="000000"/>
                <w:lang w:eastAsia="tr-TR"/>
              </w:rPr>
            </w:pPr>
            <w:r w:rsidRPr="008902F2">
              <w:rPr>
                <w:rFonts w:ascii="Times New Roman" w:hAnsi="Times New Roman"/>
                <w:b/>
                <w:bCs/>
                <w:color w:val="000000"/>
              </w:rPr>
              <w:t>Sum</w:t>
            </w:r>
          </w:p>
        </w:tc>
        <w:tc>
          <w:tcPr>
            <w:tcW w:w="2130" w:type="dxa"/>
            <w:tcBorders>
              <w:top w:val="nil"/>
              <w:left w:val="nil"/>
              <w:bottom w:val="single" w:sz="4" w:space="0" w:color="D3D3D3"/>
              <w:right w:val="single" w:sz="4" w:space="0" w:color="D3D3D3"/>
            </w:tcBorders>
            <w:shd w:val="clear" w:color="auto" w:fill="auto"/>
            <w:noWrap/>
          </w:tcPr>
          <w:p w14:paraId="3A9083AD" w14:textId="77777777" w:rsidR="00DE2860" w:rsidRPr="008902F2" w:rsidRDefault="00DE2860" w:rsidP="00FF24CA">
            <w:pPr>
              <w:spacing w:after="0" w:line="240" w:lineRule="auto"/>
              <w:jc w:val="right"/>
              <w:rPr>
                <w:rFonts w:ascii="Times New Roman" w:eastAsia="Times New Roman" w:hAnsi="Times New Roman"/>
                <w:b/>
                <w:color w:val="000000"/>
                <w:lang w:eastAsia="tr-TR"/>
              </w:rPr>
            </w:pPr>
            <w:r w:rsidRPr="008902F2">
              <w:rPr>
                <w:rFonts w:ascii="Times New Roman" w:hAnsi="Times New Roman"/>
                <w:b/>
                <w:color w:val="000000"/>
              </w:rPr>
              <w:t>760.247,190</w:t>
            </w:r>
          </w:p>
        </w:tc>
        <w:tc>
          <w:tcPr>
            <w:tcW w:w="3747" w:type="dxa"/>
            <w:tcBorders>
              <w:top w:val="nil"/>
              <w:left w:val="nil"/>
              <w:bottom w:val="single" w:sz="4" w:space="0" w:color="D3D3D3"/>
              <w:right w:val="single" w:sz="4" w:space="0" w:color="D3D3D3"/>
            </w:tcBorders>
            <w:shd w:val="clear" w:color="auto" w:fill="auto"/>
            <w:noWrap/>
          </w:tcPr>
          <w:p w14:paraId="07DDE0E2" w14:textId="77777777" w:rsidR="00DE2860" w:rsidRPr="008902F2" w:rsidRDefault="00DE2860" w:rsidP="00FF24CA">
            <w:pPr>
              <w:spacing w:after="0" w:line="240" w:lineRule="auto"/>
              <w:jc w:val="center"/>
              <w:rPr>
                <w:rFonts w:ascii="Times New Roman" w:eastAsia="Times New Roman" w:hAnsi="Times New Roman"/>
                <w:color w:val="000000"/>
                <w:lang w:eastAsia="tr-TR"/>
              </w:rPr>
            </w:pPr>
            <w:r w:rsidRPr="008902F2">
              <w:rPr>
                <w:rFonts w:ascii="Times New Roman" w:hAnsi="Times New Roman"/>
                <w:b/>
                <w:bCs/>
                <w:color w:val="000000"/>
              </w:rPr>
              <w:t>100</w:t>
            </w:r>
          </w:p>
        </w:tc>
      </w:tr>
      <w:bookmarkEnd w:id="134"/>
    </w:tbl>
    <w:p w14:paraId="6311A337" w14:textId="77777777" w:rsidR="00DE2860" w:rsidRPr="008902F2" w:rsidRDefault="00DE2860" w:rsidP="0017770B">
      <w:pPr>
        <w:rPr>
          <w:rFonts w:ascii="Times New Roman" w:hAnsi="Times New Roman"/>
        </w:rPr>
      </w:pPr>
    </w:p>
    <w:p w14:paraId="31CE603A" w14:textId="5E303217" w:rsidR="002C3099" w:rsidRPr="008902F2" w:rsidRDefault="002C3099" w:rsidP="6F691FB8">
      <w:pPr>
        <w:spacing w:after="240"/>
        <w:rPr>
          <w:rFonts w:ascii="Times New Roman" w:hAnsi="Times New Roman"/>
        </w:rPr>
      </w:pPr>
    </w:p>
    <w:p w14:paraId="79FE85ED" w14:textId="7C4C6527" w:rsidR="00B86522" w:rsidRPr="008902F2" w:rsidRDefault="00B86522" w:rsidP="6F691FB8">
      <w:pPr>
        <w:spacing w:after="240"/>
        <w:rPr>
          <w:rFonts w:ascii="Times New Roman" w:hAnsi="Times New Roman"/>
        </w:rPr>
      </w:pPr>
    </w:p>
    <w:p w14:paraId="19D19703" w14:textId="7E6B913F" w:rsidR="00B86522" w:rsidRPr="008902F2" w:rsidRDefault="00B86522" w:rsidP="6F691FB8">
      <w:pPr>
        <w:spacing w:after="240"/>
        <w:rPr>
          <w:rFonts w:ascii="Times New Roman" w:hAnsi="Times New Roman"/>
        </w:rPr>
      </w:pPr>
    </w:p>
    <w:p w14:paraId="7FB01B9D" w14:textId="77777777" w:rsidR="00B86522" w:rsidRPr="008902F2" w:rsidRDefault="00B86522" w:rsidP="6F691FB8">
      <w:pPr>
        <w:spacing w:after="240"/>
        <w:rPr>
          <w:rFonts w:ascii="Times New Roman" w:hAnsi="Times New Roman"/>
        </w:rPr>
      </w:pPr>
    </w:p>
    <w:p w14:paraId="3CB5083B" w14:textId="6DAB84B8" w:rsidR="002C3099" w:rsidRPr="008902F2" w:rsidRDefault="6BA9880E" w:rsidP="00A86526">
      <w:pPr>
        <w:pStyle w:val="Balk1"/>
        <w:numPr>
          <w:ilvl w:val="0"/>
          <w:numId w:val="27"/>
        </w:numPr>
        <w:rPr>
          <w:rFonts w:ascii="Times New Roman" w:eastAsia="Calibri" w:hAnsi="Times New Roman" w:cs="Times New Roman"/>
          <w:szCs w:val="22"/>
        </w:rPr>
      </w:pPr>
      <w:bookmarkStart w:id="135" w:name="_Toc143113418"/>
      <w:r w:rsidRPr="008902F2">
        <w:rPr>
          <w:rFonts w:ascii="Times New Roman" w:eastAsia="Calibri" w:hAnsi="Times New Roman" w:cs="Times New Roman"/>
          <w:szCs w:val="22"/>
        </w:rPr>
        <w:t>PRICE FORMATION AND TARIFFING ACTIVITIES</w:t>
      </w:r>
      <w:bookmarkEnd w:id="135"/>
    </w:p>
    <w:p w14:paraId="157AA5C2" w14:textId="33241343" w:rsidR="002C3099" w:rsidRPr="008902F2" w:rsidRDefault="002C3099" w:rsidP="6F691FB8">
      <w:pPr>
        <w:rPr>
          <w:rFonts w:ascii="Times New Roman" w:hAnsi="Times New Roman"/>
          <w:color w:val="000000" w:themeColor="text1"/>
        </w:rPr>
      </w:pPr>
    </w:p>
    <w:p w14:paraId="11B615D1" w14:textId="3D564C54"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In this section, activities related to pricing and price formation for the electricity, natural gas, oil, and LPG markets conducted within the year 2022 are included.</w:t>
      </w:r>
    </w:p>
    <w:p w14:paraId="48949E03" w14:textId="748E95C8" w:rsidR="002C3099" w:rsidRPr="008902F2" w:rsidRDefault="002C3099" w:rsidP="6F691FB8">
      <w:pPr>
        <w:rPr>
          <w:rFonts w:ascii="Times New Roman" w:hAnsi="Times New Roman"/>
          <w:color w:val="000000" w:themeColor="text1"/>
        </w:rPr>
      </w:pPr>
    </w:p>
    <w:p w14:paraId="6975BE9B" w14:textId="1AF8631F" w:rsidR="002C3099" w:rsidRPr="008902F2" w:rsidRDefault="40D56937" w:rsidP="6F691FB8">
      <w:pPr>
        <w:pStyle w:val="Balk2"/>
        <w:spacing w:after="240"/>
        <w:rPr>
          <w:rFonts w:ascii="Times New Roman" w:eastAsia="Calibri" w:hAnsi="Times New Roman" w:cs="Times New Roman"/>
          <w:szCs w:val="22"/>
        </w:rPr>
      </w:pPr>
      <w:bookmarkStart w:id="136" w:name="_Toc143113419"/>
      <w:r w:rsidRPr="008902F2">
        <w:rPr>
          <w:rFonts w:ascii="Times New Roman" w:eastAsia="Calibri" w:hAnsi="Times New Roman" w:cs="Times New Roman"/>
          <w:szCs w:val="22"/>
        </w:rPr>
        <w:lastRenderedPageBreak/>
        <w:t>4.</w:t>
      </w:r>
      <w:r w:rsidR="5736661C" w:rsidRPr="008902F2">
        <w:rPr>
          <w:rFonts w:ascii="Times New Roman" w:eastAsia="Calibri" w:hAnsi="Times New Roman" w:cs="Times New Roman"/>
          <w:szCs w:val="22"/>
        </w:rPr>
        <w:t xml:space="preserve">1. </w:t>
      </w:r>
      <w:r w:rsidR="6BA9880E" w:rsidRPr="008902F2">
        <w:rPr>
          <w:rFonts w:ascii="Times New Roman" w:eastAsia="Calibri" w:hAnsi="Times New Roman" w:cs="Times New Roman"/>
          <w:szCs w:val="22"/>
        </w:rPr>
        <w:t>Electricity Market Tariffication</w:t>
      </w:r>
      <w:bookmarkEnd w:id="136"/>
    </w:p>
    <w:p w14:paraId="3E80A95B" w14:textId="0FCC6C12"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The preparation, examination, evaluation, modification and approval of tariffs subject to regulation in the electricity market are regulated by the Electricity Market Tariffs Regulation and related communiqués. Important information regarding the tariff applications for 2022 and the transactions carried out are given below.</w:t>
      </w:r>
    </w:p>
    <w:p w14:paraId="3645D6E3" w14:textId="706BE2C4" w:rsidR="002C3099" w:rsidRPr="008902F2" w:rsidRDefault="6F691FB8" w:rsidP="6F691FB8">
      <w:pPr>
        <w:pStyle w:val="Balk3"/>
        <w:spacing w:after="240"/>
        <w:rPr>
          <w:rFonts w:ascii="Times New Roman" w:eastAsia="Calibri" w:hAnsi="Times New Roman" w:cs="Times New Roman"/>
        </w:rPr>
      </w:pPr>
      <w:bookmarkStart w:id="137" w:name="_Toc143113420"/>
      <w:r w:rsidRPr="008902F2">
        <w:rPr>
          <w:rFonts w:ascii="Times New Roman" w:eastAsia="Calibri" w:hAnsi="Times New Roman" w:cs="Times New Roman"/>
        </w:rPr>
        <w:t>4.</w:t>
      </w:r>
      <w:r w:rsidR="6127D778" w:rsidRPr="008902F2">
        <w:rPr>
          <w:rFonts w:ascii="Times New Roman" w:eastAsia="Calibri" w:hAnsi="Times New Roman" w:cs="Times New Roman"/>
        </w:rPr>
        <w:t>1.1.</w:t>
      </w:r>
      <w:r w:rsidR="6BA9880E" w:rsidRPr="008902F2">
        <w:rPr>
          <w:rFonts w:ascii="Times New Roman" w:eastAsia="Calibri" w:hAnsi="Times New Roman" w:cs="Times New Roman"/>
        </w:rPr>
        <w:t>Transmission Tariffication</w:t>
      </w:r>
      <w:bookmarkEnd w:id="137"/>
    </w:p>
    <w:p w14:paraId="0447F205" w14:textId="5066D3AD"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December 30, 2022, with the decision of the Energy Market Regulatory Authority (EPDK) published in the Official Gazette number 32059 (2nd Duplicate) on December 29, 2022, TEİAŞ's (Turkish Electricity Transmission Corporation) 2023 system usage and system operation revenue caps were approved as presented in Table 4.1.</w:t>
      </w:r>
    </w:p>
    <w:p w14:paraId="08E9F43F" w14:textId="1758A692" w:rsidR="002C3099" w:rsidRPr="008902F2" w:rsidRDefault="002C3099" w:rsidP="6F691FB8">
      <w:pPr>
        <w:rPr>
          <w:rFonts w:ascii="Times New Roman" w:hAnsi="Times New Roman"/>
        </w:rPr>
      </w:pPr>
    </w:p>
    <w:p w14:paraId="6EADC090" w14:textId="62F7AA9F"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w:t>
      </w:r>
      <w:r w:rsidR="00D239FA" w:rsidRPr="008902F2">
        <w:rPr>
          <w:rStyle w:val="Gl"/>
          <w:rFonts w:ascii="Times New Roman" w:eastAsia="Cambria" w:hAnsi="Times New Roman"/>
        </w:rPr>
        <w:t>ble</w:t>
      </w:r>
      <w:r w:rsidRPr="008902F2">
        <w:rPr>
          <w:rStyle w:val="Gl"/>
          <w:rFonts w:ascii="Times New Roman" w:eastAsia="Cambria" w:hAnsi="Times New Roman"/>
        </w:rPr>
        <w:t xml:space="preserve"> 4.1: TEİAŞ's System Usage and System Operation Revenue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90"/>
        <w:gridCol w:w="2790"/>
        <w:gridCol w:w="2790"/>
      </w:tblGrid>
      <w:tr w:rsidR="6F691FB8" w:rsidRPr="008902F2" w14:paraId="16E21D93" w14:textId="77777777" w:rsidTr="6F691FB8">
        <w:trPr>
          <w:trHeight w:val="15"/>
        </w:trPr>
        <w:tc>
          <w:tcPr>
            <w:tcW w:w="2790" w:type="dxa"/>
            <w:tcBorders>
              <w:top w:val="nil"/>
              <w:left w:val="nil"/>
              <w:bottom w:val="single" w:sz="6" w:space="0" w:color="D9D9D9" w:themeColor="background1" w:themeShade="D9"/>
              <w:right w:val="single" w:sz="6" w:space="0" w:color="D9D9D9" w:themeColor="background1" w:themeShade="D9"/>
            </w:tcBorders>
            <w:tcMar>
              <w:left w:w="60" w:type="dxa"/>
              <w:right w:w="60" w:type="dxa"/>
            </w:tcMar>
            <w:vAlign w:val="center"/>
          </w:tcPr>
          <w:p w14:paraId="3AC6ACFC" w14:textId="0987D676" w:rsidR="6F691FB8" w:rsidRPr="008902F2" w:rsidRDefault="6F691FB8" w:rsidP="6F691FB8">
            <w:pPr>
              <w:spacing w:after="0" w:line="240" w:lineRule="auto"/>
              <w:rPr>
                <w:rFonts w:ascii="Times New Roman" w:hAnsi="Times New Roman"/>
              </w:rPr>
            </w:pPr>
          </w:p>
        </w:tc>
        <w:tc>
          <w:tcPr>
            <w:tcW w:w="279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5550153D" w14:textId="51641CD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System Usage</w:t>
            </w:r>
          </w:p>
        </w:tc>
        <w:tc>
          <w:tcPr>
            <w:tcW w:w="279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320B0CEB" w14:textId="0B70A00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System Operation</w:t>
            </w:r>
          </w:p>
        </w:tc>
      </w:tr>
      <w:tr w:rsidR="6F691FB8" w:rsidRPr="008902F2" w14:paraId="5278980B" w14:textId="77777777" w:rsidTr="6F691FB8">
        <w:trPr>
          <w:trHeight w:val="15"/>
        </w:trPr>
        <w:tc>
          <w:tcPr>
            <w:tcW w:w="279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B372D4B" w14:textId="2CC366DC"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2023 Income Ceiling</w:t>
            </w:r>
            <w:r w:rsidRPr="008902F2">
              <w:rPr>
                <w:rFonts w:ascii="Times New Roman" w:hAnsi="Times New Roman"/>
              </w:rPr>
              <w:br/>
            </w:r>
            <w:r w:rsidRPr="008902F2">
              <w:rPr>
                <w:rFonts w:ascii="Times New Roman" w:hAnsi="Times New Roman"/>
                <w:b/>
                <w:bCs/>
              </w:rPr>
              <w:t>(TÜFE=1353,61 TL)</w:t>
            </w:r>
          </w:p>
        </w:tc>
        <w:tc>
          <w:tcPr>
            <w:tcW w:w="279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5896100" w14:textId="007F59B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53.788.127.863</w:t>
            </w:r>
          </w:p>
        </w:tc>
        <w:tc>
          <w:tcPr>
            <w:tcW w:w="279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172DF55" w14:textId="3E866C3F"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17.857.951.227</w:t>
            </w:r>
          </w:p>
        </w:tc>
      </w:tr>
    </w:tbl>
    <w:p w14:paraId="238CECC0" w14:textId="0205B103"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 xml:space="preserve">    </w:t>
      </w:r>
    </w:p>
    <w:p w14:paraId="101F86F3" w14:textId="23D38B6A"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On December 30, 2022, with the decision of the Energy Market Regulatory Authority (EPDK) published in the Official Gazette number 32059 (2nd Duplicate) on December 29, 2022, the Transmission System Usage and System Operation Tariffs of TEİAŞ (Turkish Electricity Transmission Corporation) have been determined as presented in Table 4.2, for producers and consumers on a regional basis, in accordance with the Transmission System Usage and System Operation Tariff Calculation and Application Method Notification. These tariffs will be effective starting from January 1, 2023.</w:t>
      </w:r>
    </w:p>
    <w:p w14:paraId="2001ACA4" w14:textId="4CE18FB1"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4.2: Transmission System Usage and System Operation Tariffication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45"/>
        <w:gridCol w:w="1800"/>
        <w:gridCol w:w="1080"/>
        <w:gridCol w:w="1395"/>
        <w:gridCol w:w="1665"/>
        <w:gridCol w:w="1185"/>
        <w:gridCol w:w="1470"/>
      </w:tblGrid>
      <w:tr w:rsidR="6F691FB8" w:rsidRPr="008902F2" w14:paraId="753C05AC" w14:textId="77777777" w:rsidTr="6F691FB8">
        <w:trPr>
          <w:trHeight w:val="15"/>
        </w:trPr>
        <w:tc>
          <w:tcPr>
            <w:tcW w:w="1245"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1441D5B" w14:textId="03FA9158"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 xml:space="preserve">Tariffication </w:t>
            </w:r>
          </w:p>
          <w:p w14:paraId="0E5D5BA1" w14:textId="50264B58"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Zone</w:t>
            </w:r>
          </w:p>
        </w:tc>
        <w:tc>
          <w:tcPr>
            <w:tcW w:w="4275" w:type="dxa"/>
            <w:gridSpan w:val="3"/>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468991F" w14:textId="7FE4194F" w:rsidR="6F691FB8" w:rsidRPr="008902F2" w:rsidRDefault="6F691FB8" w:rsidP="6F691FB8">
            <w:pPr>
              <w:spacing w:after="0" w:line="240" w:lineRule="auto"/>
              <w:jc w:val="center"/>
              <w:rPr>
                <w:rFonts w:ascii="Times New Roman" w:hAnsi="Times New Roman"/>
                <w:color w:val="FFFFFF" w:themeColor="background1"/>
                <w:sz w:val="17"/>
                <w:szCs w:val="17"/>
              </w:rPr>
            </w:pPr>
            <w:r w:rsidRPr="008902F2">
              <w:rPr>
                <w:rFonts w:ascii="Times New Roman" w:hAnsi="Times New Roman"/>
                <w:b/>
                <w:bCs/>
                <w:color w:val="FFFFFF" w:themeColor="background1"/>
                <w:vertAlign w:val="superscript"/>
              </w:rPr>
              <w:t xml:space="preserve"> Production (1)</w:t>
            </w:r>
          </w:p>
        </w:tc>
        <w:tc>
          <w:tcPr>
            <w:tcW w:w="4320" w:type="dxa"/>
            <w:gridSpan w:val="3"/>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611F2AD" w14:textId="232F665A" w:rsidR="6F691FB8" w:rsidRPr="008902F2" w:rsidRDefault="6F691FB8" w:rsidP="6F691FB8">
            <w:pPr>
              <w:spacing w:after="0" w:line="240" w:lineRule="auto"/>
              <w:jc w:val="center"/>
              <w:rPr>
                <w:rFonts w:ascii="Times New Roman" w:hAnsi="Times New Roman"/>
                <w:color w:val="FFFFFF" w:themeColor="background1"/>
                <w:sz w:val="17"/>
                <w:szCs w:val="17"/>
              </w:rPr>
            </w:pPr>
            <w:r w:rsidRPr="008902F2">
              <w:rPr>
                <w:rFonts w:ascii="Times New Roman" w:hAnsi="Times New Roman"/>
                <w:b/>
                <w:bCs/>
                <w:color w:val="FFFFFF" w:themeColor="background1"/>
                <w:vertAlign w:val="superscript"/>
              </w:rPr>
              <w:t>Consumption (1)</w:t>
            </w:r>
          </w:p>
        </w:tc>
      </w:tr>
      <w:tr w:rsidR="6F691FB8" w:rsidRPr="008902F2" w14:paraId="15B05BA1" w14:textId="77777777" w:rsidTr="6F691FB8">
        <w:trPr>
          <w:trHeight w:val="15"/>
        </w:trPr>
        <w:tc>
          <w:tcPr>
            <w:tcW w:w="1245" w:type="dxa"/>
            <w:vMerge/>
            <w:tcBorders>
              <w:left w:val="single" w:sz="0" w:space="0" w:color="BFBFBF" w:themeColor="background1" w:themeShade="BF"/>
              <w:right w:val="single" w:sz="0" w:space="0" w:color="BFBFBF" w:themeColor="background1" w:themeShade="BF"/>
            </w:tcBorders>
            <w:vAlign w:val="center"/>
          </w:tcPr>
          <w:p w14:paraId="2F01B79A" w14:textId="77777777" w:rsidR="00A660AB" w:rsidRPr="008902F2" w:rsidRDefault="00A660AB">
            <w:pPr>
              <w:rPr>
                <w:rFonts w:ascii="Times New Roman" w:hAnsi="Times New Roman"/>
              </w:rPr>
            </w:pPr>
          </w:p>
        </w:tc>
        <w:tc>
          <w:tcPr>
            <w:tcW w:w="2880" w:type="dxa"/>
            <w:gridSpan w:val="2"/>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74710E1" w14:textId="6B98B2A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System Usage</w:t>
            </w:r>
          </w:p>
        </w:tc>
        <w:tc>
          <w:tcPr>
            <w:tcW w:w="1395" w:type="dxa"/>
            <w:tcBorders>
              <w:top w:val="nil"/>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0A58429" w14:textId="0B49AAB5"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 xml:space="preserve">System </w:t>
            </w:r>
          </w:p>
          <w:p w14:paraId="1641ABE0" w14:textId="4BC538E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Operation</w:t>
            </w:r>
          </w:p>
        </w:tc>
        <w:tc>
          <w:tcPr>
            <w:tcW w:w="285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B55413F" w14:textId="49056C9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System Usage</w:t>
            </w:r>
          </w:p>
        </w:tc>
        <w:tc>
          <w:tcPr>
            <w:tcW w:w="1470" w:type="dxa"/>
            <w:tcBorders>
              <w:top w:val="nil"/>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ED47C1B" w14:textId="305B01F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 xml:space="preserve">System </w:t>
            </w:r>
          </w:p>
          <w:p w14:paraId="7221FD80" w14:textId="021A7C14"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Usage</w:t>
            </w:r>
          </w:p>
        </w:tc>
      </w:tr>
      <w:tr w:rsidR="6F691FB8" w:rsidRPr="008902F2" w14:paraId="4C7CB95A" w14:textId="77777777" w:rsidTr="6F691FB8">
        <w:trPr>
          <w:trHeight w:val="15"/>
        </w:trPr>
        <w:tc>
          <w:tcPr>
            <w:tcW w:w="1245"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23F00358" w14:textId="77777777" w:rsidR="00A660AB" w:rsidRPr="008902F2" w:rsidRDefault="00A660AB">
            <w:pPr>
              <w:rPr>
                <w:rFonts w:ascii="Times New Roman" w:hAnsi="Times New Roman"/>
              </w:rPr>
            </w:pPr>
          </w:p>
        </w:tc>
        <w:tc>
          <w:tcPr>
            <w:tcW w:w="1800" w:type="dxa"/>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66BC9ED" w14:textId="4FCA699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(TL/MW-Year)</w:t>
            </w:r>
          </w:p>
        </w:tc>
        <w:tc>
          <w:tcPr>
            <w:tcW w:w="1080"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382EE91" w14:textId="3A454A9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(TL/MWh)</w:t>
            </w:r>
          </w:p>
        </w:tc>
        <w:tc>
          <w:tcPr>
            <w:tcW w:w="13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2B8B8E2" w14:textId="0ED2890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(TL/MWh)</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C904450" w14:textId="77C90286"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(TL/MW-Year)</w:t>
            </w:r>
          </w:p>
        </w:tc>
        <w:tc>
          <w:tcPr>
            <w:tcW w:w="118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5755C61" w14:textId="0406C1A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(TL/MWh)</w:t>
            </w:r>
          </w:p>
        </w:tc>
        <w:tc>
          <w:tcPr>
            <w:tcW w:w="14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C18E7A5" w14:textId="4B833CFA"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(TL/MWh)</w:t>
            </w:r>
          </w:p>
        </w:tc>
      </w:tr>
      <w:tr w:rsidR="6F691FB8" w:rsidRPr="008902F2" w14:paraId="0D4393AA" w14:textId="77777777" w:rsidTr="6F691FB8">
        <w:trPr>
          <w:trHeight w:val="15"/>
        </w:trPr>
        <w:tc>
          <w:tcPr>
            <w:tcW w:w="1245" w:type="dxa"/>
            <w:tcBorders>
              <w:top w:val="single" w:sz="6" w:space="0" w:color="BFBFBF" w:themeColor="background1" w:themeShade="BF"/>
              <w:left w:val="single" w:sz="6" w:space="0" w:color="BFBFBF" w:themeColor="background1" w:themeShade="BF"/>
              <w:bottom w:val="single" w:sz="6" w:space="0" w:color="auto"/>
              <w:right w:val="single" w:sz="6" w:space="0" w:color="BFBFBF" w:themeColor="background1" w:themeShade="BF"/>
            </w:tcBorders>
            <w:tcMar>
              <w:left w:w="60" w:type="dxa"/>
              <w:right w:w="60" w:type="dxa"/>
            </w:tcMar>
            <w:vAlign w:val="center"/>
          </w:tcPr>
          <w:p w14:paraId="26FFB338" w14:textId="5DDADAA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6966A7" w14:textId="111807E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85.198,34</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CA4B4A" w14:textId="5D277EB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F3CDFE" w14:textId="3204BC6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9D95CC" w14:textId="0BDBF6C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185.597,28</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CB5AAF" w14:textId="6CCBD37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3A2484" w14:textId="2913CB8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113509A0" w14:textId="77777777" w:rsidTr="6F691FB8">
        <w:trPr>
          <w:trHeight w:val="15"/>
        </w:trPr>
        <w:tc>
          <w:tcPr>
            <w:tcW w:w="1245" w:type="dxa"/>
            <w:tcBorders>
              <w:top w:val="single" w:sz="6" w:space="0" w:color="auto"/>
              <w:left w:val="single" w:sz="6" w:space="0" w:color="BFBFBF" w:themeColor="background1" w:themeShade="BF"/>
              <w:bottom w:val="single" w:sz="6" w:space="0" w:color="auto"/>
              <w:right w:val="single" w:sz="6" w:space="0" w:color="BFBFBF" w:themeColor="background1" w:themeShade="BF"/>
            </w:tcBorders>
            <w:tcMar>
              <w:left w:w="60" w:type="dxa"/>
              <w:right w:w="60" w:type="dxa"/>
            </w:tcMar>
            <w:vAlign w:val="center"/>
          </w:tcPr>
          <w:p w14:paraId="020A7961" w14:textId="7237800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2387B9" w14:textId="0E28CC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105.272,27</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760EB6" w14:textId="74B5B77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C4ECAB" w14:textId="2A1313C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8A6C59" w14:textId="323FAA3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163.958.,92</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3D70EE" w14:textId="21FF38A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E8FFEE" w14:textId="17669A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689646E9" w14:textId="77777777" w:rsidTr="6F691FB8">
        <w:trPr>
          <w:trHeight w:val="15"/>
        </w:trPr>
        <w:tc>
          <w:tcPr>
            <w:tcW w:w="1245" w:type="dxa"/>
            <w:tcBorders>
              <w:top w:val="single" w:sz="6" w:space="0" w:color="auto"/>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8A65F5" w14:textId="2E33307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3</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2EBD30" w14:textId="33ECDF3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99.715,10</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27BF09" w14:textId="389E3DD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B39196" w14:textId="2518963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9A082D" w14:textId="05E362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172.646,97</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9C15D4" w14:textId="28CC62D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0A1C3A" w14:textId="4A02001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16DC8ADF"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2B96D2" w14:textId="1571EBB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4</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56F3E9" w14:textId="0B93AE1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103.454,60</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CC6223" w14:textId="4E0CD6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401FE9" w14:textId="3F233A4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4B48A2" w14:textId="0382B8B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164.601,05</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80C850" w14:textId="49DFA26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1ACB51" w14:textId="6A44105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67FF8C33"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2F2F0C" w14:textId="79635B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5</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5E2C2A" w14:textId="79511B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108.868,93</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DCE176" w14:textId="2B3F82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CB00F5" w14:textId="6956DD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3E7BF1" w14:textId="4AE1DAB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161.209,78</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5D0F9B" w14:textId="5884854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A43D28" w14:textId="73034DB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0242D0E7"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0A2AE6" w14:textId="084CBBB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6</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04F129" w14:textId="4E52716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111.437,09</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FA381A" w14:textId="37B0D4A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6191B8" w14:textId="5CBF7F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D9B87D" w14:textId="4825E78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165.867,50</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DE4C37" w14:textId="539B932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64EEAD" w14:textId="1603827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4C124753"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74149D" w14:textId="4ED9C2D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7</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FA903F" w14:textId="52A1791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120.191,34</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8B560D" w14:textId="756821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5D50DF" w14:textId="1BEFCD3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BCD68C" w14:textId="3688304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149.754,80</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AF60ED" w14:textId="06A2D55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14682F" w14:textId="6804B66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49DDBC0F"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14BAD1" w14:textId="447A232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8</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90FFD5" w14:textId="1003C73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124.874,37</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CF78D3" w14:textId="178A5C5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4ABF4A" w14:textId="1C0DC6C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0BE111" w14:textId="6DF524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151.032,02</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5FE536" w14:textId="010E46A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0E95B0" w14:textId="1B8A94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44A26183"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486682" w14:textId="50F7B09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9</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7D25AB" w14:textId="23FDA20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129.126,18</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116FEE" w14:textId="48D392E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7F8A3F" w14:textId="0697B0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3CDC81" w14:textId="2FB4987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149.207,23</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8C80D9" w14:textId="2308195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2299DD" w14:textId="6EE07B3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3133AB79"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09BD21" w14:textId="2E8824F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772F15" w14:textId="50FCF79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157.427,48</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AF0CCF" w14:textId="4D84A0D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B77081" w14:textId="45F9E2C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5DAB54" w14:textId="332401B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126.180,67</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9287DC" w14:textId="0D92383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64C3D7" w14:textId="003C9B3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3BC3429D"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7A73FB" w14:textId="7FFDA7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11</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2CAB9F" w14:textId="40DC7D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160.463,64</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EA9B9E" w14:textId="35904F3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C89EB5" w14:textId="5098D44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5252B6" w14:textId="78FA42C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130.244,16</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B11CC8" w14:textId="67CD649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D7759C" w14:textId="7A1FCF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41E3E296"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10221F" w14:textId="4AA96FB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12</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A2A78E" w14:textId="55F1CDA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163.200,02</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32A821" w14:textId="35FA2C0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C987F0" w14:textId="2699E54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EEA8DC" w14:textId="6B65BF1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126.271,85</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B17206" w14:textId="494D55C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058139" w14:textId="66C85CE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53DF5F54"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D19BD2" w14:textId="707CB64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13</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1046D8" w14:textId="7DE3C7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163.934,29</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E55243" w14:textId="4C78A0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8F1152" w14:textId="7169B94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319E19" w14:textId="47A9ACC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129.493,08</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5B14F3" w14:textId="69B0FBE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2BBCEA" w14:textId="216999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40D780A6"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B99E3F" w14:textId="3570BC2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14</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F92F63" w14:textId="0AC5293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177.575,83</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6B1D6F" w14:textId="3EDF10C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1BDB28" w14:textId="47E23CC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1E065F" w14:textId="64BBDC7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114.564,77</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B7B491" w14:textId="61578ED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B9B0C9" w14:textId="6660156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r w:rsidR="6F691FB8" w:rsidRPr="008902F2" w14:paraId="7F7DE8D8" w14:textId="77777777" w:rsidTr="6F691FB8">
        <w:trPr>
          <w:trHeight w:val="15"/>
        </w:trPr>
        <w:tc>
          <w:tcPr>
            <w:tcW w:w="12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9DB781" w14:textId="07C85A0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15</w:t>
            </w:r>
          </w:p>
        </w:tc>
        <w:tc>
          <w:tcPr>
            <w:tcW w:w="18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9C2708" w14:textId="1C233B7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186.759,42</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37B928" w14:textId="2261463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59,92</w:t>
            </w:r>
          </w:p>
        </w:tc>
        <w:tc>
          <w:tcPr>
            <w:tcW w:w="13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DC8D04" w14:textId="5ACEBF0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33,33</w:t>
            </w:r>
          </w:p>
        </w:tc>
        <w:tc>
          <w:tcPr>
            <w:tcW w:w="16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EB0AFB" w14:textId="75F898C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110.738,28</w:t>
            </w:r>
          </w:p>
        </w:tc>
        <w:tc>
          <w:tcPr>
            <w:tcW w:w="11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42ABC6" w14:textId="727D1E6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58,22</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F6ADD9" w14:textId="5060830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34,06</w:t>
            </w:r>
          </w:p>
        </w:tc>
      </w:tr>
    </w:tbl>
    <w:p w14:paraId="2B435C53" w14:textId="59566386" w:rsidR="002C3099" w:rsidRPr="008902F2" w:rsidRDefault="6BA9880E" w:rsidP="6F691FB8">
      <w:pPr>
        <w:spacing w:after="0"/>
        <w:rPr>
          <w:rFonts w:ascii="Times New Roman" w:hAnsi="Times New Roman"/>
          <w:color w:val="000000" w:themeColor="text1"/>
          <w:sz w:val="16"/>
          <w:szCs w:val="16"/>
        </w:rPr>
      </w:pPr>
      <w:r w:rsidRPr="008902F2">
        <w:rPr>
          <w:rFonts w:ascii="Times New Roman" w:hAnsi="Times New Roman"/>
          <w:color w:val="000000" w:themeColor="text1"/>
          <w:sz w:val="16"/>
          <w:szCs w:val="16"/>
        </w:rPr>
        <w:t>1) Transmission surcharge is not included.</w:t>
      </w:r>
    </w:p>
    <w:p w14:paraId="3C2B167B" w14:textId="2ADF36BF" w:rsidR="002C3099" w:rsidRPr="008902F2" w:rsidRDefault="0D1D2BA0" w:rsidP="6F691FB8">
      <w:pPr>
        <w:pStyle w:val="Balk4"/>
        <w:spacing w:after="240"/>
        <w:rPr>
          <w:rFonts w:ascii="Times New Roman" w:eastAsia="Calibri" w:hAnsi="Times New Roman" w:cs="Times New Roman"/>
          <w:color w:val="000000" w:themeColor="text1"/>
        </w:rPr>
      </w:pPr>
      <w:bookmarkStart w:id="138" w:name="_Toc143113421"/>
      <w:r w:rsidRPr="008902F2">
        <w:rPr>
          <w:rFonts w:ascii="Times New Roman" w:eastAsia="Calibri" w:hAnsi="Times New Roman" w:cs="Times New Roman"/>
          <w:i w:val="0"/>
          <w:iCs w:val="0"/>
          <w:color w:val="000000" w:themeColor="text1"/>
        </w:rPr>
        <w:lastRenderedPageBreak/>
        <w:t xml:space="preserve">4.1.1.1. </w:t>
      </w:r>
      <w:r w:rsidR="6BA9880E" w:rsidRPr="008902F2">
        <w:rPr>
          <w:rFonts w:ascii="Times New Roman" w:eastAsia="Calibri" w:hAnsi="Times New Roman" w:cs="Times New Roman"/>
          <w:i w:val="0"/>
          <w:iCs w:val="0"/>
          <w:color w:val="000000" w:themeColor="text1"/>
        </w:rPr>
        <w:t>Transmission Surcharge</w:t>
      </w:r>
      <w:bookmarkEnd w:id="138"/>
    </w:p>
    <w:p w14:paraId="360F8065" w14:textId="7ABB3BA5"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September 17, 2022, with the decision of the Energy Market Regulatory Authority (E</w:t>
      </w:r>
      <w:r w:rsidR="00B574A2" w:rsidRPr="008902F2">
        <w:rPr>
          <w:rFonts w:ascii="Times New Roman" w:hAnsi="Times New Roman"/>
          <w:color w:val="000000" w:themeColor="text1"/>
        </w:rPr>
        <w:t>MRA</w:t>
      </w:r>
      <w:r w:rsidRPr="008902F2">
        <w:rPr>
          <w:rFonts w:ascii="Times New Roman" w:hAnsi="Times New Roman"/>
          <w:color w:val="000000" w:themeColor="text1"/>
        </w:rPr>
        <w:t>) published in the Official Gazette number 31956 on September 15, 2022, the transmission additional fee to be applied in 2023 was determined as 0.5% (five per thousand) of TEİAŞ's (Turkish Electricity Transmission Corporation) transmission tariff in accordance with the seventh paragraph of Article 5(h) and the (e) subparagraph of Article 10(1-A) of Law No. 4628.</w:t>
      </w:r>
    </w:p>
    <w:p w14:paraId="09322EA1" w14:textId="2705C1E3" w:rsidR="002C3099" w:rsidRPr="008902F2" w:rsidRDefault="6F691FB8" w:rsidP="6F691FB8">
      <w:pPr>
        <w:pStyle w:val="Balk3"/>
        <w:spacing w:before="0" w:after="240"/>
        <w:rPr>
          <w:rFonts w:ascii="Times New Roman" w:eastAsia="Calibri" w:hAnsi="Times New Roman" w:cs="Times New Roman"/>
          <w:color w:val="000000" w:themeColor="text1"/>
        </w:rPr>
      </w:pPr>
      <w:bookmarkStart w:id="139" w:name="_Toc143113422"/>
      <w:r w:rsidRPr="008902F2">
        <w:rPr>
          <w:rFonts w:ascii="Times New Roman" w:eastAsia="Calibri" w:hAnsi="Times New Roman" w:cs="Times New Roman"/>
          <w:color w:val="000000" w:themeColor="text1"/>
        </w:rPr>
        <w:t>4.</w:t>
      </w:r>
      <w:r w:rsidR="1FCCBCAA" w:rsidRPr="008902F2">
        <w:rPr>
          <w:rFonts w:ascii="Times New Roman" w:eastAsia="Calibri" w:hAnsi="Times New Roman" w:cs="Times New Roman"/>
          <w:color w:val="000000" w:themeColor="text1"/>
        </w:rPr>
        <w:t>1.2.</w:t>
      </w:r>
      <w:r w:rsidR="00555B23" w:rsidRPr="008902F2">
        <w:rPr>
          <w:rFonts w:ascii="Times New Roman" w:eastAsia="Calibri" w:hAnsi="Times New Roman" w:cs="Times New Roman"/>
          <w:color w:val="000000" w:themeColor="text1"/>
        </w:rPr>
        <w:t xml:space="preserve"> </w:t>
      </w:r>
      <w:r w:rsidR="6BA9880E" w:rsidRPr="008902F2">
        <w:rPr>
          <w:rFonts w:ascii="Times New Roman" w:eastAsia="Calibri" w:hAnsi="Times New Roman" w:cs="Times New Roman"/>
          <w:color w:val="000000" w:themeColor="text1"/>
        </w:rPr>
        <w:t>Distribution and Retail Tariffication</w:t>
      </w:r>
      <w:bookmarkEnd w:id="139"/>
    </w:p>
    <w:p w14:paraId="5FD8278C" w14:textId="624B7415"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July 27, 2019, with the decision of the Energy Market Regulatory Authority (EMRA) published in the Official Gazette number 30844 on July 25, 2019, it was determined that the parameters governing the revenue/tariff regulations of distribution companies and authorized supply companies operating in the electricity market will be valid for the fourth implementation period from January 1, 2021 (inclusive) to December 31, 2025 (inclusive).</w:t>
      </w:r>
    </w:p>
    <w:p w14:paraId="23FC27B9" w14:textId="3353A707"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The decisions of the Regulatory Board approving the tariff tables applied by distribution companies to distribution system users and consumers in the general lighting low voltage consumer group, and by authorized supply companies to non-liberalized consumers and low-consumption consumers defined within the scope of the regulation of the Last Resort Supply Tariff published in the Official Gazette with the number 30307 on January 20, 2018, who did not select their supplier despite being eligible as liberalized consumers, for the entire year of 2022 and the first tariff period of 2023, are shown in Table 4.3.</w:t>
      </w:r>
    </w:p>
    <w:p w14:paraId="681A5CB7" w14:textId="27670B87"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4.3: Board Decisions on Tariff Tables of Distribution and </w:t>
      </w:r>
      <w:r w:rsidR="00555B23" w:rsidRPr="008902F2">
        <w:rPr>
          <w:rStyle w:val="Gl"/>
          <w:rFonts w:ascii="Times New Roman" w:eastAsia="Cambria" w:hAnsi="Times New Roman"/>
          <w:color w:val="000000" w:themeColor="text1"/>
        </w:rPr>
        <w:t>I</w:t>
      </w:r>
      <w:r w:rsidRPr="008902F2">
        <w:rPr>
          <w:rStyle w:val="Gl"/>
          <w:rFonts w:ascii="Times New Roman" w:eastAsia="Cambria" w:hAnsi="Times New Roman"/>
          <w:color w:val="000000" w:themeColor="text1"/>
        </w:rPr>
        <w:t>ncumbent Supply Companies</w:t>
      </w:r>
    </w:p>
    <w:tbl>
      <w:tblPr>
        <w:tblStyle w:val="TabloKlavuzu"/>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685"/>
        <w:gridCol w:w="1515"/>
        <w:gridCol w:w="1905"/>
        <w:gridCol w:w="2820"/>
      </w:tblGrid>
      <w:tr w:rsidR="6F691FB8" w:rsidRPr="008902F2" w14:paraId="3B065D4F" w14:textId="77777777" w:rsidTr="6F691FB8">
        <w:trPr>
          <w:trHeight w:val="615"/>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6A791279" w14:textId="45FF8541" w:rsidR="6F691FB8" w:rsidRPr="008902F2" w:rsidRDefault="6F691FB8" w:rsidP="6F691FB8">
            <w:pPr>
              <w:widowControl w:val="0"/>
              <w:spacing w:before="2"/>
              <w:jc w:val="left"/>
              <w:rPr>
                <w:rFonts w:ascii="Times New Roman" w:hAnsi="Times New Roman"/>
              </w:rPr>
            </w:pPr>
          </w:p>
          <w:p w14:paraId="44B5D9E9" w14:textId="38240424" w:rsidR="6F691FB8" w:rsidRPr="008902F2" w:rsidRDefault="6F691FB8" w:rsidP="6F691FB8">
            <w:pPr>
              <w:spacing w:after="200" w:line="276" w:lineRule="auto"/>
              <w:jc w:val="center"/>
              <w:rPr>
                <w:rFonts w:ascii="Times New Roman" w:hAnsi="Times New Roman"/>
                <w:color w:val="FFFFFF" w:themeColor="background1"/>
              </w:rPr>
            </w:pPr>
            <w:r w:rsidRPr="008902F2">
              <w:rPr>
                <w:rFonts w:ascii="Times New Roman" w:hAnsi="Times New Roman"/>
                <w:b/>
                <w:bCs/>
                <w:color w:val="FFFFFF" w:themeColor="background1"/>
              </w:rPr>
              <w:t>Board Decision Date</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5B7DAEC4" w14:textId="6B5E999C" w:rsidR="6F691FB8" w:rsidRPr="008902F2" w:rsidRDefault="6F691FB8" w:rsidP="008A7F7C">
            <w:pPr>
              <w:spacing w:after="200" w:line="276"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w:t>
            </w:r>
            <w:r w:rsidR="008A7F7C" w:rsidRPr="008902F2">
              <w:rPr>
                <w:rFonts w:ascii="Times New Roman" w:hAnsi="Times New Roman"/>
                <w:b/>
                <w:bCs/>
                <w:color w:val="FFFFFF" w:themeColor="background1"/>
              </w:rPr>
              <w:t xml:space="preserve"> </w:t>
            </w:r>
            <w:r w:rsidRPr="008902F2">
              <w:rPr>
                <w:rFonts w:ascii="Times New Roman" w:hAnsi="Times New Roman"/>
                <w:b/>
                <w:bCs/>
                <w:color w:val="FFFFFF" w:themeColor="background1"/>
              </w:rPr>
              <w:t>Board Decisions</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1675FC89" w14:textId="5D4486D0" w:rsidR="6F691FB8" w:rsidRPr="008902F2" w:rsidRDefault="6F691FB8" w:rsidP="6F691FB8">
            <w:pPr>
              <w:widowControl w:val="0"/>
              <w:spacing w:before="2"/>
              <w:jc w:val="left"/>
              <w:rPr>
                <w:rFonts w:ascii="Times New Roman" w:hAnsi="Times New Roman"/>
                <w:color w:val="FFFFFF" w:themeColor="background1"/>
              </w:rPr>
            </w:pPr>
          </w:p>
          <w:p w14:paraId="7DCC4C74" w14:textId="76B67469" w:rsidR="6F691FB8" w:rsidRPr="008902F2" w:rsidRDefault="6F691FB8" w:rsidP="6F691FB8">
            <w:pPr>
              <w:pStyle w:val="TableParagraph"/>
              <w:ind w:left="353"/>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lang w:val="tr-TR"/>
              </w:rPr>
              <w:t>Effective date</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5DC0A6B7" w14:textId="051C0BD5" w:rsidR="6F691FB8" w:rsidRPr="008902F2" w:rsidRDefault="6F691FB8" w:rsidP="6F691FB8">
            <w:pPr>
              <w:pStyle w:val="TableParagraph"/>
              <w:ind w:left="139"/>
              <w:jc w:val="center"/>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lang w:val="tr-TR"/>
              </w:rPr>
              <w:t xml:space="preserve">Date and Number of the </w:t>
            </w:r>
          </w:p>
          <w:p w14:paraId="7986D348" w14:textId="49C76929" w:rsidR="6F691FB8" w:rsidRPr="008902F2" w:rsidRDefault="6F691FB8" w:rsidP="6F691FB8">
            <w:pPr>
              <w:pStyle w:val="TableParagraph"/>
              <w:ind w:left="139"/>
              <w:jc w:val="center"/>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lang w:val="tr-TR"/>
              </w:rPr>
              <w:t>Official Gazette Published</w:t>
            </w:r>
          </w:p>
        </w:tc>
      </w:tr>
      <w:tr w:rsidR="6F691FB8" w:rsidRPr="008902F2" w14:paraId="61C34DDD"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6A1CDBD" w14:textId="6146FF2E"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31.12.2021</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7F8E8F6" w14:textId="1A605077"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10708</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B5828DA" w14:textId="68A8511F"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01.01.2022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F50D346" w14:textId="6995D3C3"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31.12.2021-31706</w:t>
            </w:r>
          </w:p>
        </w:tc>
      </w:tr>
      <w:tr w:rsidR="6F691FB8" w:rsidRPr="008902F2" w14:paraId="002FECB6"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E120CC5" w14:textId="309D9E0B"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31.01.2022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988AEFF" w14:textId="3784FE43"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10757</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744511F" w14:textId="6F52CB1C"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01.02.2022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9C1735D" w14:textId="40AFBDFD"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01.02.2022-31737</w:t>
            </w:r>
          </w:p>
        </w:tc>
      </w:tr>
      <w:tr w:rsidR="6F691FB8" w:rsidRPr="008902F2" w14:paraId="077218CE"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897F24A" w14:textId="342C80B8"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31.03.2022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2097ECDA" w14:textId="3D6E01CF"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10909</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259B1941" w14:textId="657982BA"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01.04.2022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8FF7E6C" w14:textId="6901DDDC"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01.04.2022-31796</w:t>
            </w:r>
          </w:p>
        </w:tc>
      </w:tr>
      <w:tr w:rsidR="6F691FB8" w:rsidRPr="008902F2" w14:paraId="1E16F933"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2E813FD" w14:textId="575EA22C"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31.05.2022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F0D31BF" w14:textId="6042008B"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10997</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6CAFBF6" w14:textId="0D40779A"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01.06.2022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F153FA8" w14:textId="3D6515D1"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01.06.2022-31853</w:t>
            </w:r>
          </w:p>
        </w:tc>
      </w:tr>
      <w:tr w:rsidR="6F691FB8" w:rsidRPr="008902F2" w14:paraId="3F3E074D"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BD722AA" w14:textId="715AB4B7"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31.08.2022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042F86D9" w14:textId="398B6AB5"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11158</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E18BE78" w14:textId="66073711"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01.09.2022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AF7F9E8" w14:textId="3EA0EEA7"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01.09.2022-31940</w:t>
            </w:r>
          </w:p>
        </w:tc>
      </w:tr>
      <w:tr w:rsidR="6F691FB8" w:rsidRPr="008902F2" w14:paraId="65937389"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9B364EF" w14:textId="09FCFE65"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29.09.2022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1C6F34B4" w14:textId="5F94AF73"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11272</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2DFA134" w14:textId="326A06BB"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01.10.2022</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02F0F31" w14:textId="25295DA4"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30.09.2022-31969</w:t>
            </w:r>
          </w:p>
        </w:tc>
      </w:tr>
      <w:tr w:rsidR="6F691FB8" w:rsidRPr="008902F2" w14:paraId="53614213" w14:textId="77777777" w:rsidTr="6F691FB8">
        <w:trPr>
          <w:trHeight w:val="360"/>
        </w:trPr>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332F3000" w14:textId="4707FC2F"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29.12.2022</w:t>
            </w:r>
          </w:p>
        </w:tc>
        <w:tc>
          <w:tcPr>
            <w:tcW w:w="15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692745D2" w14:textId="7FA37FC7"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11537</w:t>
            </w:r>
          </w:p>
        </w:tc>
        <w:tc>
          <w:tcPr>
            <w:tcW w:w="19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05977BF" w14:textId="7214B0B5"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01.01.2023</w:t>
            </w:r>
          </w:p>
        </w:tc>
        <w:tc>
          <w:tcPr>
            <w:tcW w:w="282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CA36D71" w14:textId="65D8AA53" w:rsidR="6F691FB8" w:rsidRPr="008902F2" w:rsidRDefault="6F691FB8" w:rsidP="6F691FB8">
            <w:pPr>
              <w:spacing w:after="200" w:line="276" w:lineRule="auto"/>
              <w:jc w:val="center"/>
              <w:rPr>
                <w:rFonts w:ascii="Times New Roman" w:hAnsi="Times New Roman"/>
              </w:rPr>
            </w:pPr>
            <w:r w:rsidRPr="008902F2">
              <w:rPr>
                <w:rFonts w:ascii="Times New Roman" w:hAnsi="Times New Roman"/>
              </w:rPr>
              <w:t>30.12.2022-32059</w:t>
            </w:r>
          </w:p>
        </w:tc>
      </w:tr>
    </w:tbl>
    <w:p w14:paraId="1173997A" w14:textId="198A88D3" w:rsidR="002C3099" w:rsidRPr="008902F2" w:rsidRDefault="002C3099" w:rsidP="6F691FB8">
      <w:pPr>
        <w:spacing w:after="120"/>
        <w:rPr>
          <w:rFonts w:ascii="Times New Roman" w:hAnsi="Times New Roman"/>
          <w:color w:val="000000" w:themeColor="text1"/>
        </w:rPr>
      </w:pPr>
    </w:p>
    <w:p w14:paraId="3D14AF6E" w14:textId="025468C6" w:rsidR="004B4DC4"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The decisions of the Regulatory Board specified in Table 4.4 have approved the distribution companies' 2023 system operation revenue caps.</w:t>
      </w:r>
    </w:p>
    <w:p w14:paraId="6BC24E6A" w14:textId="1DF65796" w:rsidR="002C3099" w:rsidRPr="008902F2" w:rsidRDefault="6BA9880E" w:rsidP="004B4DC4">
      <w:pPr>
        <w:keepNext/>
        <w:keepLines/>
        <w:spacing w:before="200" w:after="0" w:line="269" w:lineRule="auto"/>
        <w:jc w:val="center"/>
        <w:rPr>
          <w:rFonts w:ascii="Times New Roman" w:eastAsia="Cambria" w:hAnsi="Times New Roman"/>
          <w:b/>
          <w:bCs/>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4.4: </w:t>
      </w:r>
      <w:r w:rsidR="004B4DC4" w:rsidRPr="008902F2">
        <w:rPr>
          <w:rStyle w:val="Gl"/>
          <w:rFonts w:ascii="Times New Roman" w:eastAsia="Cambria" w:hAnsi="Times New Roman"/>
        </w:rPr>
        <w:t>Board Decisions on Approval of 2023 System Operation Revenue Caps of Distribution Companies</w:t>
      </w:r>
    </w:p>
    <w:tbl>
      <w:tblPr>
        <w:tblStyle w:val="TabloKlavuzu"/>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25"/>
        <w:gridCol w:w="2475"/>
        <w:gridCol w:w="2850"/>
      </w:tblGrid>
      <w:tr w:rsidR="6F691FB8" w:rsidRPr="008902F2" w14:paraId="4C0EDCFA" w14:textId="77777777" w:rsidTr="6F691FB8">
        <w:trPr>
          <w:trHeight w:val="69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011C5DCC" w14:textId="794C9D27" w:rsidR="6F691FB8" w:rsidRPr="008902F2" w:rsidRDefault="6F691FB8" w:rsidP="6F691FB8">
            <w:pPr>
              <w:pStyle w:val="TableParagraph"/>
              <w:spacing w:before="152"/>
              <w:rPr>
                <w:rFonts w:ascii="Times New Roman" w:eastAsia="Calibri" w:hAnsi="Times New Roman" w:cs="Times New Roman"/>
                <w:color w:val="FFFFFF" w:themeColor="background1"/>
              </w:rPr>
            </w:pPr>
            <w:r w:rsidRPr="008902F2">
              <w:rPr>
                <w:rFonts w:ascii="Times New Roman" w:eastAsia="Calibri" w:hAnsi="Times New Roman" w:cs="Times New Roman"/>
              </w:rPr>
              <w:t xml:space="preserve">               </w:t>
            </w:r>
            <w:r w:rsidRPr="008902F2">
              <w:rPr>
                <w:rFonts w:ascii="Times New Roman" w:eastAsia="Calibri" w:hAnsi="Times New Roman" w:cs="Times New Roman"/>
                <w:b/>
                <w:bCs/>
                <w:color w:val="FFFFFF" w:themeColor="background1"/>
              </w:rPr>
              <w:t>Distribution Company Title</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4388C580" w14:textId="449DC1DE" w:rsidR="6F691FB8" w:rsidRPr="008902F2" w:rsidRDefault="6F691FB8" w:rsidP="6F691FB8">
            <w:pPr>
              <w:pStyle w:val="TableParagraph"/>
              <w:spacing w:before="152"/>
              <w:ind w:left="379"/>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rPr>
              <w:t>Board Decision Date</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Pr>
          <w:p w14:paraId="3CC42CA4" w14:textId="06F31958" w:rsidR="6F691FB8" w:rsidRPr="008902F2" w:rsidRDefault="6F691FB8" w:rsidP="6F691FB8">
            <w:pPr>
              <w:pStyle w:val="TableParagraph"/>
              <w:spacing w:before="152"/>
              <w:rPr>
                <w:rFonts w:ascii="Times New Roman" w:eastAsia="Calibri" w:hAnsi="Times New Roman" w:cs="Times New Roman"/>
                <w:color w:val="FFFFFF" w:themeColor="background1"/>
              </w:rPr>
            </w:pPr>
            <w:r w:rsidRPr="008902F2">
              <w:rPr>
                <w:rFonts w:ascii="Times New Roman" w:eastAsia="Calibri" w:hAnsi="Times New Roman" w:cs="Times New Roman"/>
              </w:rPr>
              <w:t xml:space="preserve">  </w:t>
            </w:r>
            <w:r w:rsidRPr="008902F2">
              <w:rPr>
                <w:rFonts w:ascii="Times New Roman" w:eastAsia="Calibri" w:hAnsi="Times New Roman" w:cs="Times New Roman"/>
                <w:b/>
                <w:bCs/>
                <w:color w:val="FFFFFF" w:themeColor="background1"/>
              </w:rPr>
              <w:t>Number of Board Decisions</w:t>
            </w:r>
          </w:p>
        </w:tc>
      </w:tr>
      <w:tr w:rsidR="6F691FB8" w:rsidRPr="008902F2" w14:paraId="1A6B8901"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7D75EE5" w14:textId="6AB26776"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ADM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C86B829" w14:textId="34A88C31" w:rsidR="6F691FB8" w:rsidRPr="008902F2" w:rsidRDefault="6F691FB8" w:rsidP="6F691FB8">
            <w:pPr>
              <w:pStyle w:val="TableParagraph"/>
              <w:spacing w:before="40"/>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8052BCF" w14:textId="1C63B5EC"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w:t>
            </w:r>
          </w:p>
        </w:tc>
      </w:tr>
      <w:tr w:rsidR="6F691FB8" w:rsidRPr="008902F2" w14:paraId="4AF41639"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0EE7454" w14:textId="1BD34EE4"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lastRenderedPageBreak/>
              <w:t>Akdeniz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3A3F1B0" w14:textId="7CB1905D"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00C6BA5" w14:textId="5924A801"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11536-2</w:t>
            </w:r>
          </w:p>
        </w:tc>
      </w:tr>
      <w:tr w:rsidR="6F691FB8" w:rsidRPr="008902F2" w14:paraId="203F2CE2"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C55C73A" w14:textId="3C4BAD56"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Akedaş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87632F" w14:textId="5EDD5F2F"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3F404EA" w14:textId="671BFAB4"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11536-3</w:t>
            </w:r>
          </w:p>
        </w:tc>
      </w:tr>
      <w:tr w:rsidR="6F691FB8" w:rsidRPr="008902F2" w14:paraId="7A6B3421"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D18F7F1" w14:textId="527CFCA2"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Aras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2210AB8" w14:textId="4A973F20"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DA273D4" w14:textId="5C49BF02"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11536-4</w:t>
            </w:r>
          </w:p>
        </w:tc>
      </w:tr>
      <w:tr w:rsidR="6F691FB8" w:rsidRPr="008902F2" w14:paraId="7A910E41"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559838" w14:textId="1F52CBE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Başkent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5A47FEE" w14:textId="05098AF9"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D3ED668" w14:textId="468BA3EE"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11536-5</w:t>
            </w:r>
          </w:p>
        </w:tc>
      </w:tr>
      <w:tr w:rsidR="6F691FB8" w:rsidRPr="008902F2" w14:paraId="1BE33B36"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A2B8CCC" w14:textId="6B8EDFFB"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Boğaziçi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DA7DEEA" w14:textId="4088799E"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0A86EFA" w14:textId="0386D8F3"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11536-6</w:t>
            </w:r>
          </w:p>
        </w:tc>
      </w:tr>
      <w:tr w:rsidR="6F691FB8" w:rsidRPr="008902F2" w14:paraId="7E5ECA3E"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AD413CD" w14:textId="1B4ED9E4"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Çamlıbel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4463E0" w14:textId="6B65A99B"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819B377" w14:textId="2B67E626"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11536-7</w:t>
            </w:r>
          </w:p>
        </w:tc>
      </w:tr>
      <w:tr w:rsidR="6F691FB8" w:rsidRPr="008902F2" w14:paraId="60C2860B"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7C7199A" w14:textId="376A4F69"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Çoruh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DCD33E1" w14:textId="34AF7D92"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E32327B" w14:textId="01010982"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11536-8</w:t>
            </w:r>
          </w:p>
        </w:tc>
      </w:tr>
      <w:tr w:rsidR="6F691FB8" w:rsidRPr="008902F2" w14:paraId="0354613C"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06E77FF" w14:textId="33B203F4"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Dicle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43FA03E" w14:textId="69CA5282"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336A8E3" w14:textId="4064BE83"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11536-9</w:t>
            </w:r>
          </w:p>
        </w:tc>
      </w:tr>
      <w:tr w:rsidR="6F691FB8" w:rsidRPr="008902F2" w14:paraId="1A3043F4"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87C96A9" w14:textId="362B6013"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Fırat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64E83F2" w14:textId="3B5A0380"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22CF1A7" w14:textId="49949D2B"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11536-10</w:t>
            </w:r>
          </w:p>
        </w:tc>
      </w:tr>
      <w:tr w:rsidR="6F691FB8" w:rsidRPr="008902F2" w14:paraId="38E62E43"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F1B513B" w14:textId="748D2752"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GDZ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47E9128" w14:textId="67701E57"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898E2E0" w14:textId="4C06E19B"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11536-11</w:t>
            </w:r>
          </w:p>
        </w:tc>
      </w:tr>
      <w:tr w:rsidR="6F691FB8" w:rsidRPr="008902F2" w14:paraId="1EF7D979"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971094C" w14:textId="0D3EC969"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İstanbul Anadolu Yakası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2BD4041" w14:textId="4B3BEDC4"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72A5A36" w14:textId="35443688"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11536-12</w:t>
            </w:r>
          </w:p>
        </w:tc>
      </w:tr>
      <w:tr w:rsidR="6F691FB8" w:rsidRPr="008902F2" w14:paraId="63A2978B"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7809431" w14:textId="4E4FF34E"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Kayseri ve Civarı Elektrik Türk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D445460" w14:textId="7262F5FA"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23BBAF9" w14:textId="419895E5"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11536-13</w:t>
            </w:r>
          </w:p>
        </w:tc>
      </w:tr>
      <w:tr w:rsidR="6F691FB8" w:rsidRPr="008902F2" w14:paraId="02CD4500"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2BA0553" w14:textId="6FCB60F3"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Meram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C49597F" w14:textId="6A8ADDDF"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7F025C8" w14:textId="7F4806C6"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11536-14</w:t>
            </w:r>
          </w:p>
        </w:tc>
      </w:tr>
      <w:tr w:rsidR="6F691FB8" w:rsidRPr="008902F2" w14:paraId="2D04BC99"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46CA630" w14:textId="035340A4"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Osmangazi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5D58B97" w14:textId="6A186B5A"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3F065A" w14:textId="5BC2C82B"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11536-15</w:t>
            </w:r>
          </w:p>
        </w:tc>
      </w:tr>
      <w:tr w:rsidR="6F691FB8" w:rsidRPr="008902F2" w14:paraId="5AA8F1EB"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AE8EA39" w14:textId="7C90A7A1"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Sakarya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C00A689" w14:textId="6E114733"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9C5C69C" w14:textId="430C5C7D"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11536-16</w:t>
            </w:r>
          </w:p>
        </w:tc>
      </w:tr>
      <w:tr w:rsidR="6F691FB8" w:rsidRPr="008902F2" w14:paraId="7C560517"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4B6A963" w14:textId="09CF0AE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Toroslar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AEDF952" w14:textId="495C4E80"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80400A3" w14:textId="221ED4CC"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11536-17</w:t>
            </w:r>
          </w:p>
        </w:tc>
      </w:tr>
      <w:tr w:rsidR="6F691FB8" w:rsidRPr="008902F2" w14:paraId="70CAEDAC"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176BF32" w14:textId="1518388F"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Trakya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E44E8AF" w14:textId="5A2DE4CC"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D0C0C37" w14:textId="0C8F53A7"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11536-18</w:t>
            </w:r>
          </w:p>
        </w:tc>
      </w:tr>
      <w:tr w:rsidR="6F691FB8" w:rsidRPr="008902F2" w14:paraId="53B5B0BE"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ED71686" w14:textId="7E20801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Uludağ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EC1E75D" w14:textId="03F8C831"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223D82A" w14:textId="283CCAF2"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11536-19</w:t>
            </w:r>
          </w:p>
        </w:tc>
      </w:tr>
      <w:tr w:rsidR="6F691FB8" w:rsidRPr="008902F2" w14:paraId="69482094"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0243ECA" w14:textId="6F3BB3C2"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Vangölü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A19582E" w14:textId="41D2B92C"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FD79656" w14:textId="0A0DBDCC"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11536-20</w:t>
            </w:r>
          </w:p>
        </w:tc>
      </w:tr>
      <w:tr w:rsidR="6F691FB8" w:rsidRPr="008902F2" w14:paraId="7CBC088C" w14:textId="77777777" w:rsidTr="6F691FB8">
        <w:trPr>
          <w:trHeight w:val="450"/>
        </w:trPr>
        <w:tc>
          <w:tcPr>
            <w:tcW w:w="44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0AB61E7" w14:textId="739E9341"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Yeşilırmak Elektrik Dağıtım A.Ş.</w:t>
            </w:r>
          </w:p>
        </w:tc>
        <w:tc>
          <w:tcPr>
            <w:tcW w:w="24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46F551C" w14:textId="562B52E1" w:rsidR="6F691FB8" w:rsidRPr="008902F2" w:rsidRDefault="6F691FB8" w:rsidP="6F691FB8">
            <w:pPr>
              <w:pStyle w:val="TableParagraph"/>
              <w:ind w:left="653"/>
              <w:rPr>
                <w:rFonts w:ascii="Times New Roman" w:eastAsia="Calibri" w:hAnsi="Times New Roman" w:cs="Times New Roman"/>
              </w:rPr>
            </w:pPr>
            <w:r w:rsidRPr="008902F2">
              <w:rPr>
                <w:rFonts w:ascii="Times New Roman" w:eastAsia="Calibri" w:hAnsi="Times New Roman" w:cs="Times New Roman"/>
                <w:lang w:val="tr-TR"/>
              </w:rPr>
              <w:t>29.12.2022</w:t>
            </w:r>
          </w:p>
        </w:tc>
        <w:tc>
          <w:tcPr>
            <w:tcW w:w="28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AC383F3" w14:textId="64C18BD4" w:rsidR="6F691FB8" w:rsidRPr="008902F2" w:rsidRDefault="6F691FB8" w:rsidP="6F691FB8">
            <w:pPr>
              <w:pStyle w:val="TableParagraph"/>
              <w:spacing w:before="40"/>
              <w:ind w:left="560"/>
              <w:rPr>
                <w:rFonts w:ascii="Times New Roman" w:eastAsia="Calibri" w:hAnsi="Times New Roman" w:cs="Times New Roman"/>
              </w:rPr>
            </w:pPr>
            <w:r w:rsidRPr="008902F2">
              <w:rPr>
                <w:rFonts w:ascii="Times New Roman" w:eastAsia="Calibri" w:hAnsi="Times New Roman" w:cs="Times New Roman"/>
                <w:lang w:val="tr-TR"/>
              </w:rPr>
              <w:t>11536-21</w:t>
            </w:r>
          </w:p>
        </w:tc>
      </w:tr>
    </w:tbl>
    <w:p w14:paraId="7D83B6AA" w14:textId="77777777" w:rsidR="008A7F7C" w:rsidRPr="008902F2" w:rsidRDefault="008A7F7C" w:rsidP="6F691FB8">
      <w:pPr>
        <w:spacing w:before="120" w:after="0"/>
        <w:rPr>
          <w:rFonts w:ascii="Times New Roman" w:hAnsi="Times New Roman"/>
          <w:color w:val="000000" w:themeColor="text1"/>
        </w:rPr>
      </w:pPr>
    </w:p>
    <w:p w14:paraId="64B6D785" w14:textId="17B0263B" w:rsidR="002C3099" w:rsidRPr="008902F2" w:rsidRDefault="6BA9880E" w:rsidP="6F691FB8">
      <w:pPr>
        <w:spacing w:before="120" w:after="0"/>
        <w:rPr>
          <w:rFonts w:ascii="Times New Roman" w:hAnsi="Times New Roman"/>
          <w:color w:val="000000" w:themeColor="text1"/>
        </w:rPr>
      </w:pPr>
      <w:r w:rsidRPr="008902F2">
        <w:rPr>
          <w:rFonts w:ascii="Times New Roman" w:hAnsi="Times New Roman"/>
          <w:color w:val="000000" w:themeColor="text1"/>
        </w:rPr>
        <w:t xml:space="preserve">The decisions of the Regulatory Board specified in Table 4.5 have approved the </w:t>
      </w:r>
      <w:r w:rsidR="00BD3B95" w:rsidRPr="008902F2">
        <w:rPr>
          <w:rFonts w:ascii="Times New Roman" w:hAnsi="Times New Roman"/>
          <w:color w:val="000000" w:themeColor="text1"/>
        </w:rPr>
        <w:t>incumbent</w:t>
      </w:r>
      <w:r w:rsidRPr="008902F2">
        <w:rPr>
          <w:rFonts w:ascii="Times New Roman" w:hAnsi="Times New Roman"/>
          <w:color w:val="000000" w:themeColor="text1"/>
        </w:rPr>
        <w:t xml:space="preserve"> supply companies' 2023 retail sales revenue caps.</w:t>
      </w:r>
    </w:p>
    <w:p w14:paraId="185B74DE" w14:textId="2149728E" w:rsidR="002C3099" w:rsidRPr="008902F2" w:rsidRDefault="002C3099" w:rsidP="6F691FB8">
      <w:pPr>
        <w:spacing w:after="0" w:line="240" w:lineRule="auto"/>
        <w:rPr>
          <w:rFonts w:ascii="Times New Roman" w:hAnsi="Times New Roman"/>
          <w:color w:val="000000" w:themeColor="text1"/>
        </w:rPr>
      </w:pPr>
    </w:p>
    <w:p w14:paraId="44815D01" w14:textId="3BB67E4B" w:rsidR="00555B23" w:rsidRPr="008902F2" w:rsidRDefault="6BA9880E" w:rsidP="00BD3B95">
      <w:pPr>
        <w:keepNext/>
        <w:keepLines/>
        <w:spacing w:before="200" w:after="0" w:line="269" w:lineRule="auto"/>
        <w:jc w:val="center"/>
        <w:rPr>
          <w:rFonts w:ascii="Times New Roman" w:eastAsia="Cambria" w:hAnsi="Times New Roman"/>
          <w:b/>
          <w:bCs/>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4.5: </w:t>
      </w:r>
      <w:r w:rsidR="00BD3B95" w:rsidRPr="008902F2">
        <w:rPr>
          <w:rStyle w:val="Gl"/>
          <w:rFonts w:ascii="Times New Roman" w:eastAsia="Cambria" w:hAnsi="Times New Roman"/>
        </w:rPr>
        <w:t>Board Decisions on Approval of 2023 Retail Sales Revenue Caps of Incumbent Supply Companies</w:t>
      </w:r>
    </w:p>
    <w:tbl>
      <w:tblPr>
        <w:tblW w:w="9912"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5844"/>
        <w:gridCol w:w="2111"/>
        <w:gridCol w:w="1957"/>
      </w:tblGrid>
      <w:tr w:rsidR="6F691FB8" w:rsidRPr="008902F2" w14:paraId="7BC07018" w14:textId="77777777" w:rsidTr="00BD3B95">
        <w:trPr>
          <w:trHeight w:val="705"/>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2F7D6E39" w14:textId="4100BF7A" w:rsidR="6F691FB8" w:rsidRPr="008902F2" w:rsidRDefault="6F691FB8" w:rsidP="6F691FB8">
            <w:pPr>
              <w:pStyle w:val="TableParagraph"/>
              <w:spacing w:before="48"/>
              <w:ind w:left="22"/>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rPr>
              <w:t xml:space="preserve">  </w:t>
            </w:r>
            <w:r w:rsidRPr="008902F2">
              <w:rPr>
                <w:rFonts w:ascii="Times New Roman" w:eastAsia="Calibri" w:hAnsi="Times New Roman" w:cs="Times New Roman"/>
                <w:color w:val="FFFFFF" w:themeColor="background1"/>
              </w:rPr>
              <w:t xml:space="preserve">                      </w:t>
            </w:r>
            <w:r w:rsidR="00BD3B95" w:rsidRPr="008902F2">
              <w:rPr>
                <w:rFonts w:ascii="Times New Roman" w:eastAsia="Calibri" w:hAnsi="Times New Roman" w:cs="Times New Roman"/>
                <w:b/>
                <w:bCs/>
                <w:color w:val="FFFFFF" w:themeColor="background1"/>
              </w:rPr>
              <w:t>Incumbent Supply</w:t>
            </w:r>
            <w:r w:rsidRPr="008902F2">
              <w:rPr>
                <w:rFonts w:ascii="Times New Roman" w:eastAsia="Calibri" w:hAnsi="Times New Roman" w:cs="Times New Roman"/>
                <w:b/>
                <w:bCs/>
                <w:color w:val="FFFFFF" w:themeColor="background1"/>
              </w:rPr>
              <w:t xml:space="preserve"> Company</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2829514E" w14:textId="50E9BE75" w:rsidR="6F691FB8" w:rsidRPr="008902F2" w:rsidRDefault="6F691FB8" w:rsidP="6F691FB8">
            <w:pPr>
              <w:pStyle w:val="TableParagraph"/>
              <w:spacing w:before="48"/>
              <w:ind w:left="11"/>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rPr>
              <w:t>Board Decision Date</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4DD9B747" w14:textId="4A165A79" w:rsidR="6F691FB8" w:rsidRPr="008902F2" w:rsidRDefault="6F691FB8" w:rsidP="00BD3B95">
            <w:pPr>
              <w:pStyle w:val="TableParagraph"/>
              <w:spacing w:before="48"/>
              <w:ind w:left="124"/>
              <w:jc w:val="center"/>
              <w:rPr>
                <w:rFonts w:ascii="Times New Roman" w:eastAsia="Calibri" w:hAnsi="Times New Roman" w:cs="Times New Roman"/>
                <w:color w:val="FFFFFF" w:themeColor="background1"/>
              </w:rPr>
            </w:pPr>
            <w:r w:rsidRPr="008902F2">
              <w:rPr>
                <w:rFonts w:ascii="Times New Roman" w:eastAsia="Calibri" w:hAnsi="Times New Roman" w:cs="Times New Roman"/>
                <w:b/>
                <w:bCs/>
                <w:color w:val="FFFFFF" w:themeColor="background1"/>
              </w:rPr>
              <w:t>Number of Board</w:t>
            </w:r>
            <w:r w:rsidR="00BD3B95" w:rsidRPr="008902F2">
              <w:rPr>
                <w:rFonts w:ascii="Times New Roman" w:eastAsia="Calibri" w:hAnsi="Times New Roman" w:cs="Times New Roman"/>
                <w:b/>
                <w:bCs/>
                <w:color w:val="FFFFFF" w:themeColor="background1"/>
              </w:rPr>
              <w:t xml:space="preserve"> Decisions</w:t>
            </w:r>
          </w:p>
        </w:tc>
      </w:tr>
      <w:tr w:rsidR="6F691FB8" w:rsidRPr="008902F2" w14:paraId="0207EBEE"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67C6CFD" w14:textId="342F6EBB"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Akedaş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69F3972" w14:textId="671CA0FA"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FD5A2B8" w14:textId="38636992"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w:t>
            </w:r>
          </w:p>
        </w:tc>
      </w:tr>
      <w:tr w:rsidR="6F691FB8" w:rsidRPr="008902F2" w14:paraId="2F39F7AE"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BE1242C" w14:textId="0F64C437"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Aksa Çoruh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8C61B89" w14:textId="0EE2017D"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801C4F3" w14:textId="046FCC51"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11534-2</w:t>
            </w:r>
          </w:p>
        </w:tc>
      </w:tr>
      <w:tr w:rsidR="6F691FB8" w:rsidRPr="008902F2" w14:paraId="0AFC7850"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14B88BD" w14:textId="0D42B932"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Aksa Fırat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A593386" w14:textId="0BA492C8"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F3D49E9" w14:textId="636CCAFF"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11534-3</w:t>
            </w:r>
          </w:p>
        </w:tc>
      </w:tr>
      <w:tr w:rsidR="6F691FB8" w:rsidRPr="008902F2" w14:paraId="715C90A9"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E1DC2B8" w14:textId="0DCD60A4"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lastRenderedPageBreak/>
              <w:t>Aras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C262E47" w14:textId="4FEA26F5"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90C8BEF" w14:textId="7829B372"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11534-4</w:t>
            </w:r>
          </w:p>
        </w:tc>
      </w:tr>
      <w:tr w:rsidR="6F691FB8" w:rsidRPr="008902F2" w14:paraId="2D76B2AE"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E6F3D85" w14:textId="197DF07F"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Aydem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D19D9DB" w14:textId="64348EF9"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66E2787" w14:textId="083933D2"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11534-5</w:t>
            </w:r>
          </w:p>
        </w:tc>
      </w:tr>
      <w:tr w:rsidR="6F691FB8" w:rsidRPr="008902F2" w14:paraId="3532F6D2"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9246383" w14:textId="57A65B4D"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CK Akdeniz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79A0F7B" w14:textId="530EB692"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1FDE9A3" w14:textId="234A4C0B"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11534-6</w:t>
            </w:r>
          </w:p>
        </w:tc>
      </w:tr>
      <w:tr w:rsidR="6F691FB8" w:rsidRPr="008902F2" w14:paraId="6441FFF8"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B3FC54A" w14:textId="2A9CC48B"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CK Boğaziçi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0C1D85C" w14:textId="1B9C47F4"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9E28FFC" w14:textId="31A025FC"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11534-7</w:t>
            </w:r>
          </w:p>
        </w:tc>
      </w:tr>
      <w:tr w:rsidR="6F691FB8" w:rsidRPr="008902F2" w14:paraId="0CEFB1BC"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B14DEF5" w14:textId="016EF390"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CK Çamlıbel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BAAF738" w14:textId="212B69CF"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3FFFC23" w14:textId="2279150F"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11534-8</w:t>
            </w:r>
          </w:p>
        </w:tc>
      </w:tr>
      <w:tr w:rsidR="6F691FB8" w:rsidRPr="008902F2" w14:paraId="52AC4E74"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C879B39" w14:textId="6357EB23"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Dicle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3E53077" w14:textId="6B1FB22F"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F6B60E2" w14:textId="4855E17B"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11534-9</w:t>
            </w:r>
          </w:p>
        </w:tc>
      </w:tr>
      <w:tr w:rsidR="6F691FB8" w:rsidRPr="008902F2" w14:paraId="22A1A3FA"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67FC805" w14:textId="37C10592"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Enerjisa Başkent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170C74D" w14:textId="1D882EF8"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FD91889" w14:textId="101D87EF"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11534-10</w:t>
            </w:r>
          </w:p>
        </w:tc>
      </w:tr>
      <w:tr w:rsidR="6F691FB8" w:rsidRPr="008902F2" w14:paraId="4E51667D"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60B684B" w14:textId="49652E4B"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Enerjisa İstanbul Anadolu Yakası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CD3F4D5" w14:textId="0FB095D0"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548EC15" w14:textId="02D12B6A"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11534-11</w:t>
            </w:r>
          </w:p>
        </w:tc>
      </w:tr>
      <w:tr w:rsidR="6F691FB8" w:rsidRPr="008902F2" w14:paraId="50364479"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F952C8C" w14:textId="4679CD6B"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Enerjisa Toroslar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9989E44" w14:textId="49B27FC2"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2A4C740" w14:textId="2854E82B"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11534-12</w:t>
            </w:r>
          </w:p>
        </w:tc>
      </w:tr>
      <w:tr w:rsidR="6F691FB8" w:rsidRPr="008902F2" w14:paraId="295A696F"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B86F264" w14:textId="79C4C4D0"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Gediz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D9044CF" w14:textId="0327FA22"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5AB5745" w14:textId="5994FFE6"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11534-13</w:t>
            </w:r>
          </w:p>
        </w:tc>
      </w:tr>
      <w:tr w:rsidR="6F691FB8" w:rsidRPr="008902F2" w14:paraId="228E05B8"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3D83F3B" w14:textId="39A1FF2E"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Kayseri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098914F" w14:textId="59AA93D1"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88878C2" w14:textId="5B0E6E48"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11534-14</w:t>
            </w:r>
          </w:p>
        </w:tc>
      </w:tr>
      <w:tr w:rsidR="6F691FB8" w:rsidRPr="008902F2" w14:paraId="00577718"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217648E" w14:textId="1A8365A9"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Meram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CCE56D5" w14:textId="392D27E3"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A39435F" w14:textId="64309271"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11534-15</w:t>
            </w:r>
          </w:p>
        </w:tc>
      </w:tr>
      <w:tr w:rsidR="6F691FB8" w:rsidRPr="008902F2" w14:paraId="217EF408"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55DA9B3" w14:textId="016794E6"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Osmangazi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D4C9A2B" w14:textId="75A6A2B7"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4DE0833" w14:textId="4634B7B6"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11534-16</w:t>
            </w:r>
          </w:p>
        </w:tc>
      </w:tr>
      <w:tr w:rsidR="6F691FB8" w:rsidRPr="008902F2" w14:paraId="4F5C87DD"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3BCBDA4" w14:textId="5A59818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Sakarya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4681CB4" w14:textId="38B591F0"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853CEE9" w14:textId="4FA1188F"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11534-17</w:t>
            </w:r>
          </w:p>
        </w:tc>
      </w:tr>
      <w:tr w:rsidR="6F691FB8" w:rsidRPr="008902F2" w14:paraId="18C3A1EE"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42ABEC9" w14:textId="7B0732E6"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Trakya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03B9755" w14:textId="2B4CCA5A"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738691B" w14:textId="3E5CEA02"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11534-18</w:t>
            </w:r>
          </w:p>
        </w:tc>
      </w:tr>
      <w:tr w:rsidR="6F691FB8" w:rsidRPr="008902F2" w14:paraId="14A17687"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1BD49D7" w14:textId="38151BC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Türkerler Vangölü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D552BB1" w14:textId="5B860FAE"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F4F858E" w14:textId="0E760495"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11534-19</w:t>
            </w:r>
          </w:p>
        </w:tc>
      </w:tr>
      <w:tr w:rsidR="6F691FB8" w:rsidRPr="008902F2" w14:paraId="113B763B"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E441EA4" w14:textId="71C77489"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Uludağ Perakende Elektrik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35D2461" w14:textId="46326464"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9040E07" w14:textId="7E111F44"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11534-20</w:t>
            </w:r>
          </w:p>
        </w:tc>
      </w:tr>
      <w:tr w:rsidR="6F691FB8" w:rsidRPr="008902F2" w14:paraId="612D2DC9" w14:textId="77777777" w:rsidTr="00BD3B95">
        <w:trPr>
          <w:trHeight w:val="426"/>
        </w:trPr>
        <w:tc>
          <w:tcPr>
            <w:tcW w:w="58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480CC83" w14:textId="53DFEEF8" w:rsidR="6F691FB8" w:rsidRPr="008902F2" w:rsidRDefault="6F691FB8" w:rsidP="6F691FB8">
            <w:pPr>
              <w:pStyle w:val="TableParagraph"/>
              <w:spacing w:before="20"/>
              <w:ind w:left="65"/>
              <w:rPr>
                <w:rFonts w:ascii="Times New Roman" w:eastAsia="Calibri" w:hAnsi="Times New Roman" w:cs="Times New Roman"/>
              </w:rPr>
            </w:pPr>
            <w:r w:rsidRPr="008902F2">
              <w:rPr>
                <w:rFonts w:ascii="Times New Roman" w:eastAsia="Calibri" w:hAnsi="Times New Roman" w:cs="Times New Roman"/>
                <w:lang w:val="tr-TR"/>
              </w:rPr>
              <w:t>Yeşilırmak Elektrik Perakende Satış A.Ş.</w:t>
            </w:r>
          </w:p>
        </w:tc>
        <w:tc>
          <w:tcPr>
            <w:tcW w:w="2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1978267" w14:textId="65CFE3F0" w:rsidR="6F691FB8" w:rsidRPr="008902F2" w:rsidRDefault="6F691FB8" w:rsidP="6F691FB8">
            <w:pPr>
              <w:pStyle w:val="TableParagraph"/>
              <w:spacing w:before="20"/>
              <w:ind w:left="153"/>
              <w:jc w:val="center"/>
              <w:rPr>
                <w:rFonts w:ascii="Times New Roman" w:eastAsia="Calibri" w:hAnsi="Times New Roman" w:cs="Times New Roman"/>
              </w:rPr>
            </w:pPr>
            <w:r w:rsidRPr="008902F2">
              <w:rPr>
                <w:rFonts w:ascii="Times New Roman" w:eastAsia="Calibri" w:hAnsi="Times New Roman" w:cs="Times New Roman"/>
                <w:lang w:val="tr-TR"/>
              </w:rPr>
              <w:t>29.12.2022</w:t>
            </w:r>
          </w:p>
        </w:tc>
        <w:tc>
          <w:tcPr>
            <w:tcW w:w="195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5A84ECE" w14:textId="221E82D6" w:rsidR="6F691FB8" w:rsidRPr="008902F2" w:rsidRDefault="6F691FB8" w:rsidP="6F691FB8">
            <w:pPr>
              <w:pStyle w:val="TableParagraph"/>
              <w:spacing w:before="20"/>
              <w:jc w:val="center"/>
              <w:rPr>
                <w:rFonts w:ascii="Times New Roman" w:eastAsia="Calibri" w:hAnsi="Times New Roman" w:cs="Times New Roman"/>
              </w:rPr>
            </w:pPr>
            <w:r w:rsidRPr="008902F2">
              <w:rPr>
                <w:rFonts w:ascii="Times New Roman" w:eastAsia="Calibri" w:hAnsi="Times New Roman" w:cs="Times New Roman"/>
                <w:lang w:val="tr-TR"/>
              </w:rPr>
              <w:t>11534-21</w:t>
            </w:r>
          </w:p>
        </w:tc>
      </w:tr>
    </w:tbl>
    <w:p w14:paraId="1E2F892A" w14:textId="5B428850" w:rsidR="002C3099" w:rsidRPr="008902F2" w:rsidRDefault="002C3099" w:rsidP="6F691FB8">
      <w:pPr>
        <w:widowControl w:val="0"/>
        <w:spacing w:before="55" w:after="0"/>
        <w:ind w:right="103"/>
        <w:rPr>
          <w:rFonts w:ascii="Times New Roman" w:eastAsia="Times New Roman" w:hAnsi="Times New Roman"/>
          <w:color w:val="000000" w:themeColor="text1"/>
        </w:rPr>
      </w:pPr>
    </w:p>
    <w:p w14:paraId="11B173CB" w14:textId="684F0A65" w:rsidR="002C3099" w:rsidRPr="008902F2" w:rsidRDefault="6BA9880E" w:rsidP="00555B23">
      <w:pPr>
        <w:rPr>
          <w:rFonts w:ascii="Times New Roman" w:hAnsi="Times New Roman"/>
          <w:color w:val="000000" w:themeColor="text1"/>
        </w:rPr>
      </w:pPr>
      <w:r w:rsidRPr="008902F2">
        <w:rPr>
          <w:rFonts w:ascii="Times New Roman" w:hAnsi="Times New Roman"/>
          <w:color w:val="000000" w:themeColor="text1"/>
        </w:rPr>
        <w:t>According to the decisions of the Regulatory Board dated 10/12/2020, as shown in Table 4.6, the investment plans of electricity distribution companies for the 2021-2025 period of the fourth implementation period, which started on 01/01/2021, were approved. Subsequently, with the decisions taken by the Regulatory Board, some electricity distribution companies' investment plans for the 2021-2025 period were revised.</w:t>
      </w:r>
    </w:p>
    <w:p w14:paraId="4EEE6264" w14:textId="232F00DB" w:rsidR="002C3099" w:rsidRPr="008902F2" w:rsidRDefault="002C3099" w:rsidP="6F691FB8">
      <w:pPr>
        <w:widowControl w:val="0"/>
        <w:spacing w:before="55" w:after="0" w:line="240" w:lineRule="auto"/>
        <w:ind w:left="123" w:right="103"/>
        <w:rPr>
          <w:rFonts w:ascii="Times New Roman" w:eastAsia="Times New Roman" w:hAnsi="Times New Roman"/>
          <w:color w:val="000000" w:themeColor="text1"/>
        </w:rPr>
      </w:pPr>
    </w:p>
    <w:p w14:paraId="45E41A45" w14:textId="7F0E58D7" w:rsidR="002C3099" w:rsidRPr="008902F2" w:rsidRDefault="002C3099" w:rsidP="6F691FB8">
      <w:pPr>
        <w:widowControl w:val="0"/>
        <w:spacing w:before="55" w:after="0"/>
        <w:ind w:right="103"/>
        <w:rPr>
          <w:rFonts w:ascii="Times New Roman" w:eastAsia="Times New Roman" w:hAnsi="Times New Roman"/>
        </w:rPr>
      </w:pPr>
    </w:p>
    <w:p w14:paraId="72E3DCF2" w14:textId="3CDCA719" w:rsidR="002C3099" w:rsidRPr="008902F2" w:rsidRDefault="6BA9880E" w:rsidP="00024118">
      <w:pPr>
        <w:keepNext/>
        <w:keepLines/>
        <w:spacing w:before="200" w:after="0" w:line="269" w:lineRule="auto"/>
        <w:jc w:val="center"/>
        <w:rPr>
          <w:rFonts w:ascii="Times New Roman" w:eastAsia="Cambria" w:hAnsi="Times New Roman"/>
          <w:b/>
          <w:bCs/>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4.6: </w:t>
      </w:r>
      <w:r w:rsidR="00024118" w:rsidRPr="008902F2">
        <w:rPr>
          <w:rStyle w:val="Gl"/>
          <w:rFonts w:ascii="Times New Roman" w:eastAsia="Cambria" w:hAnsi="Times New Roman"/>
        </w:rPr>
        <w:t>Board Decisions on Revision of Investment Plans for 2021-2025</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4380"/>
        <w:gridCol w:w="2580"/>
        <w:gridCol w:w="2370"/>
      </w:tblGrid>
      <w:tr w:rsidR="6F691FB8" w:rsidRPr="008902F2" w14:paraId="05A96577" w14:textId="77777777" w:rsidTr="6F691FB8">
        <w:trPr>
          <w:trHeight w:val="675"/>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6FE46377" w14:textId="4CB70456" w:rsidR="6F691FB8" w:rsidRPr="008902F2" w:rsidRDefault="6F691FB8" w:rsidP="6F691FB8">
            <w:pPr>
              <w:widowControl w:val="0"/>
              <w:spacing w:before="48" w:after="0" w:line="240" w:lineRule="auto"/>
              <w:ind w:left="164"/>
              <w:jc w:val="left"/>
              <w:rPr>
                <w:rFonts w:ascii="Times New Roman" w:hAnsi="Times New Roman"/>
                <w:color w:val="FFFFFF" w:themeColor="background1"/>
              </w:rPr>
            </w:pPr>
            <w:r w:rsidRPr="008902F2">
              <w:rPr>
                <w:rFonts w:ascii="Times New Roman" w:hAnsi="Times New Roman"/>
                <w:b/>
                <w:bCs/>
                <w:color w:val="FFFFFF" w:themeColor="background1"/>
                <w:lang w:val="en-US"/>
              </w:rPr>
              <w:t xml:space="preserve">         Distribution Company Title</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755EE7D9" w14:textId="78F2FCF9" w:rsidR="6F691FB8" w:rsidRPr="008902F2" w:rsidRDefault="6F691FB8" w:rsidP="6F691FB8">
            <w:pPr>
              <w:widowControl w:val="0"/>
              <w:spacing w:before="48" w:after="0" w:line="240" w:lineRule="auto"/>
              <w:ind w:left="512"/>
              <w:jc w:val="left"/>
              <w:rPr>
                <w:rFonts w:ascii="Times New Roman" w:hAnsi="Times New Roman"/>
                <w:color w:val="FFFFFF" w:themeColor="background1"/>
              </w:rPr>
            </w:pPr>
            <w:r w:rsidRPr="008902F2">
              <w:rPr>
                <w:rFonts w:ascii="Times New Roman" w:hAnsi="Times New Roman"/>
                <w:b/>
                <w:bCs/>
                <w:color w:val="FFFFFF" w:themeColor="background1"/>
                <w:lang w:val="en-US"/>
              </w:rPr>
              <w:t>Board Decision Date</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5930AAA7" w14:textId="06134955" w:rsidR="6F691FB8" w:rsidRPr="008902F2" w:rsidRDefault="6F691FB8" w:rsidP="6F691FB8">
            <w:pPr>
              <w:widowControl w:val="0"/>
              <w:spacing w:before="48" w:after="0" w:line="240" w:lineRule="auto"/>
              <w:ind w:left="-6"/>
              <w:jc w:val="center"/>
              <w:rPr>
                <w:rFonts w:ascii="Times New Roman" w:hAnsi="Times New Roman"/>
                <w:color w:val="FFFFFF" w:themeColor="background1"/>
              </w:rPr>
            </w:pPr>
            <w:r w:rsidRPr="008902F2">
              <w:rPr>
                <w:rFonts w:ascii="Times New Roman" w:hAnsi="Times New Roman"/>
                <w:b/>
                <w:bCs/>
                <w:color w:val="FFFFFF" w:themeColor="background1"/>
                <w:lang w:val="en-US"/>
              </w:rPr>
              <w:t>Number of Board Decisions</w:t>
            </w:r>
          </w:p>
        </w:tc>
      </w:tr>
      <w:tr w:rsidR="6F691FB8" w:rsidRPr="008902F2" w14:paraId="33B6323F"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EB996F4" w14:textId="03C5BBE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ADM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E039299" w14:textId="74A375EF"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A655FD5" w14:textId="1A32ED94"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9768</w:t>
            </w:r>
          </w:p>
        </w:tc>
      </w:tr>
      <w:tr w:rsidR="6F691FB8" w:rsidRPr="008902F2" w14:paraId="16D86642"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D1653A9" w14:textId="7EA373EE"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Akdeniz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1493C75" w14:textId="3437932F"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B46949F" w14:textId="7E3142BE"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9769</w:t>
            </w:r>
          </w:p>
        </w:tc>
      </w:tr>
      <w:tr w:rsidR="6F691FB8" w:rsidRPr="008902F2" w14:paraId="69D62D99"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0494935" w14:textId="0B3531C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Akedaş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668DFC8" w14:textId="04DBA6E0"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10.11.2022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4792375" w14:textId="39D3F278"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11378</w:t>
            </w:r>
          </w:p>
        </w:tc>
      </w:tr>
      <w:tr w:rsidR="6F691FB8" w:rsidRPr="008902F2" w14:paraId="1D6901C5"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40E64A5" w14:textId="6F9EA785"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Aras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9277B0C" w14:textId="12BFD1B6"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08.09.2022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682482A" w14:textId="76B7D492"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11193</w:t>
            </w:r>
          </w:p>
        </w:tc>
      </w:tr>
      <w:tr w:rsidR="6F691FB8" w:rsidRPr="008902F2" w14:paraId="2D9309B2"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D0CBB47" w14:textId="7BEFF945"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Başkent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C76DBAD" w14:textId="7B93B0B9"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29.09.2022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04BB1E0" w14:textId="66571640"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11258</w:t>
            </w:r>
          </w:p>
        </w:tc>
      </w:tr>
      <w:tr w:rsidR="6F691FB8" w:rsidRPr="008902F2" w14:paraId="2FC41B3F"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97419EA" w14:textId="2999C08E"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Boğaziçi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5D0151C" w14:textId="0008DD72"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553841E" w14:textId="55818605"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9776</w:t>
            </w:r>
          </w:p>
        </w:tc>
      </w:tr>
      <w:tr w:rsidR="6F691FB8" w:rsidRPr="008902F2" w14:paraId="28D92F55"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D9AD9FC" w14:textId="09D888E2"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lastRenderedPageBreak/>
              <w:t>Çamlıbel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BBD0361" w14:textId="4FA3051B"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D93FD8E" w14:textId="3E561B62"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9777</w:t>
            </w:r>
          </w:p>
        </w:tc>
      </w:tr>
      <w:tr w:rsidR="6F691FB8" w:rsidRPr="008902F2" w14:paraId="1FF33E32"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BB1983E" w14:textId="46D8995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Çoruh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A72B686" w14:textId="159D56CA"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22.12.2022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F842501" w14:textId="656ACCD7"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11484</w:t>
            </w:r>
          </w:p>
        </w:tc>
      </w:tr>
      <w:tr w:rsidR="6F691FB8" w:rsidRPr="008902F2" w14:paraId="7BB84599"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10388F6" w14:textId="70CDA0AF"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Dicle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505A449" w14:textId="622A34F8"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17.11.2022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8C692CF" w14:textId="505B8343"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11398</w:t>
            </w:r>
          </w:p>
        </w:tc>
      </w:tr>
      <w:tr w:rsidR="6F691FB8" w:rsidRPr="008902F2" w14:paraId="5ACCC37D"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EB282E4" w14:textId="24D4669A"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Fırat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6AB5897" w14:textId="4AB02B50"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22.12.2022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3486405" w14:textId="12C32966"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11487</w:t>
            </w:r>
          </w:p>
        </w:tc>
      </w:tr>
      <w:tr w:rsidR="6F691FB8" w:rsidRPr="008902F2" w14:paraId="686E5992"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DA3D6E0" w14:textId="13F43243"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GDZ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01E007F" w14:textId="7E85E88B"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CAB1640" w14:textId="493525F0"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9781</w:t>
            </w:r>
          </w:p>
        </w:tc>
      </w:tr>
      <w:tr w:rsidR="6F691FB8" w:rsidRPr="008902F2" w14:paraId="6F85C4BA"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656E6CD" w14:textId="7169D18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 xml:space="preserve">İstanbul Anadolu Yakası Elektrik Dağıtım A.Ş. </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CCD4460" w14:textId="24D7635F"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08.09.2022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5E8FC9A" w14:textId="1C1BB4FF"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11189</w:t>
            </w:r>
          </w:p>
        </w:tc>
      </w:tr>
      <w:tr w:rsidR="6F691FB8" w:rsidRPr="008902F2" w14:paraId="07A1BF01"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6283771" w14:textId="22E4B4CB"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Kayseri ve Civarı Elektrik Türk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6AD8897" w14:textId="79D9D8F1" w:rsidR="6F691FB8" w:rsidRPr="008902F2" w:rsidRDefault="6F691FB8" w:rsidP="6F691FB8">
            <w:pPr>
              <w:widowControl w:val="0"/>
              <w:spacing w:before="19"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CABDBFD" w14:textId="17DA0A47" w:rsidR="6F691FB8" w:rsidRPr="008902F2" w:rsidRDefault="6F691FB8" w:rsidP="6F691FB8">
            <w:pPr>
              <w:widowControl w:val="0"/>
              <w:spacing w:before="19" w:after="0" w:line="240" w:lineRule="auto"/>
              <w:jc w:val="center"/>
              <w:rPr>
                <w:rFonts w:ascii="Times New Roman" w:hAnsi="Times New Roman"/>
              </w:rPr>
            </w:pPr>
            <w:r w:rsidRPr="008902F2">
              <w:rPr>
                <w:rFonts w:ascii="Times New Roman" w:hAnsi="Times New Roman"/>
                <w:lang w:val="en-US"/>
              </w:rPr>
              <w:t>9785</w:t>
            </w:r>
          </w:p>
        </w:tc>
      </w:tr>
      <w:tr w:rsidR="6F691FB8" w:rsidRPr="008902F2" w14:paraId="027EF4D5"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F7D35B2" w14:textId="6A385721"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Meram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33E9F25" w14:textId="47A50C22"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10.11.2022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A957D0D" w14:textId="73105F18"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11379</w:t>
            </w:r>
          </w:p>
        </w:tc>
      </w:tr>
      <w:tr w:rsidR="6F691FB8" w:rsidRPr="008902F2" w14:paraId="6BEB03DC"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911E01C" w14:textId="0413241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Osmangazi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BCBF493" w14:textId="0A7F44CF"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08.09.2022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24F16DA" w14:textId="2E4AF526"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11190</w:t>
            </w:r>
          </w:p>
        </w:tc>
      </w:tr>
      <w:tr w:rsidR="6F691FB8" w:rsidRPr="008902F2" w14:paraId="6D808408"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8379524" w14:textId="002B239B"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Sakarya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5207668" w14:textId="40FA6DAC"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22.12.2022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A6B5EC0" w14:textId="46D6EA31"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11488</w:t>
            </w:r>
          </w:p>
        </w:tc>
      </w:tr>
      <w:tr w:rsidR="6F691FB8" w:rsidRPr="008902F2" w14:paraId="7C5EA7F4"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4AEAD5D" w14:textId="16385C70"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Toroslar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5EAADA8" w14:textId="4FA002AA"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08.09.2022</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0F30ACB" w14:textId="4B28B459"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11192</w:t>
            </w:r>
          </w:p>
        </w:tc>
      </w:tr>
      <w:tr w:rsidR="6F691FB8" w:rsidRPr="008902F2" w14:paraId="0FD6183C"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75851D8" w14:textId="69DAA988"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Trakya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FE815A8" w14:textId="647A9C61"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AFCC50E" w14:textId="7F3A856E"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9791</w:t>
            </w:r>
          </w:p>
        </w:tc>
      </w:tr>
      <w:tr w:rsidR="6F691FB8" w:rsidRPr="008902F2" w14:paraId="1157B6C6"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DBF7B0D" w14:textId="122D73F5"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Uludağ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614FE25" w14:textId="0A05482C"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494DD50" w14:textId="25D50B8D"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9792</w:t>
            </w:r>
          </w:p>
        </w:tc>
      </w:tr>
      <w:tr w:rsidR="6F691FB8" w:rsidRPr="008902F2" w14:paraId="74397BD5"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F7835CC" w14:textId="6D54F8F2"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Vangölü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96E075C" w14:textId="2C147EFA"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26.08.2021</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9FC8EEF" w14:textId="23A9307B"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10382</w:t>
            </w:r>
          </w:p>
        </w:tc>
      </w:tr>
      <w:tr w:rsidR="6F691FB8" w:rsidRPr="008902F2" w14:paraId="03B834CE" w14:textId="77777777" w:rsidTr="6F691FB8">
        <w:trPr>
          <w:trHeight w:val="390"/>
        </w:trPr>
        <w:tc>
          <w:tcPr>
            <w:tcW w:w="4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A4B90A3" w14:textId="01792346" w:rsidR="6F691FB8" w:rsidRPr="008902F2" w:rsidRDefault="6F691FB8" w:rsidP="6F691FB8">
            <w:pPr>
              <w:widowControl w:val="0"/>
              <w:spacing w:after="0" w:line="240" w:lineRule="auto"/>
              <w:ind w:left="103"/>
              <w:jc w:val="left"/>
              <w:rPr>
                <w:rFonts w:ascii="Times New Roman" w:hAnsi="Times New Roman"/>
              </w:rPr>
            </w:pPr>
            <w:r w:rsidRPr="008902F2">
              <w:rPr>
                <w:rFonts w:ascii="Times New Roman" w:hAnsi="Times New Roman"/>
                <w:lang w:val="en-US"/>
              </w:rPr>
              <w:t>Yeşilırmak Elektrik Dağıtım A.Ş.</w:t>
            </w:r>
          </w:p>
        </w:tc>
        <w:tc>
          <w:tcPr>
            <w:tcW w:w="25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E0DE2F3" w14:textId="5DB3F29C" w:rsidR="6F691FB8" w:rsidRPr="008902F2" w:rsidRDefault="6F691FB8" w:rsidP="6F691FB8">
            <w:pPr>
              <w:widowControl w:val="0"/>
              <w:spacing w:after="0" w:line="240" w:lineRule="auto"/>
              <w:ind w:left="786"/>
              <w:jc w:val="left"/>
              <w:rPr>
                <w:rFonts w:ascii="Times New Roman" w:hAnsi="Times New Roman"/>
              </w:rPr>
            </w:pPr>
            <w:r w:rsidRPr="008902F2">
              <w:rPr>
                <w:rFonts w:ascii="Times New Roman" w:hAnsi="Times New Roman"/>
                <w:lang w:val="en-US"/>
              </w:rPr>
              <w:t>10.12.2020</w:t>
            </w:r>
          </w:p>
        </w:tc>
        <w:tc>
          <w:tcPr>
            <w:tcW w:w="237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29944F6" w14:textId="0325F994" w:rsidR="6F691FB8" w:rsidRPr="008902F2" w:rsidRDefault="6F691FB8" w:rsidP="6F691FB8">
            <w:pPr>
              <w:widowControl w:val="0"/>
              <w:spacing w:after="0" w:line="240" w:lineRule="auto"/>
              <w:jc w:val="center"/>
              <w:rPr>
                <w:rFonts w:ascii="Times New Roman" w:hAnsi="Times New Roman"/>
              </w:rPr>
            </w:pPr>
            <w:r w:rsidRPr="008902F2">
              <w:rPr>
                <w:rFonts w:ascii="Times New Roman" w:hAnsi="Times New Roman"/>
                <w:lang w:val="en-US"/>
              </w:rPr>
              <w:t>9794</w:t>
            </w:r>
          </w:p>
        </w:tc>
      </w:tr>
    </w:tbl>
    <w:p w14:paraId="1F872629" w14:textId="0A325A2A" w:rsidR="002C3099" w:rsidRPr="008902F2" w:rsidRDefault="002C3099" w:rsidP="6F691FB8">
      <w:pPr>
        <w:spacing w:before="10"/>
        <w:rPr>
          <w:rFonts w:ascii="Times New Roman" w:hAnsi="Times New Roman"/>
          <w:color w:val="000000" w:themeColor="text1"/>
          <w:sz w:val="12"/>
          <w:szCs w:val="12"/>
        </w:rPr>
      </w:pPr>
    </w:p>
    <w:p w14:paraId="6633D962" w14:textId="19302461" w:rsidR="002C3099" w:rsidRPr="008902F2" w:rsidRDefault="6BA9880E" w:rsidP="00555B23">
      <w:pPr>
        <w:rPr>
          <w:rFonts w:ascii="Times New Roman" w:hAnsi="Times New Roman"/>
          <w:color w:val="000000" w:themeColor="text1"/>
        </w:rPr>
      </w:pPr>
      <w:r w:rsidRPr="008902F2">
        <w:rPr>
          <w:rFonts w:ascii="Times New Roman" w:hAnsi="Times New Roman"/>
          <w:color w:val="000000" w:themeColor="text1"/>
        </w:rPr>
        <w:t>Table 4.7 shows the electricity distribution investment amounts made on the basis of electricity distribution region in 2022.</w:t>
      </w:r>
    </w:p>
    <w:p w14:paraId="6D6061AB" w14:textId="6F82EDA6" w:rsidR="002C3099" w:rsidRPr="008902F2" w:rsidRDefault="6BA9880E" w:rsidP="6F691FB8">
      <w:pPr>
        <w:keepNext/>
        <w:keepLines/>
        <w:spacing w:after="0" w:line="269" w:lineRule="auto"/>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4.7: Investment Amounts Based on Distribution Region in 2022 (Current Prices-TL)</w:t>
      </w:r>
    </w:p>
    <w:tbl>
      <w:tblPr>
        <w:tblStyle w:val="TabloKlavuzu"/>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95"/>
        <w:gridCol w:w="2977"/>
      </w:tblGrid>
      <w:tr w:rsidR="6F691FB8" w:rsidRPr="008902F2" w14:paraId="55E031C4" w14:textId="77777777" w:rsidTr="00555B23">
        <w:trPr>
          <w:trHeight w:val="450"/>
          <w:tblHeader/>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vAlign w:val="center"/>
          </w:tcPr>
          <w:p w14:paraId="44628CB6" w14:textId="688B3EFF" w:rsidR="6F691FB8" w:rsidRPr="008902F2" w:rsidRDefault="6F691FB8" w:rsidP="6F691FB8">
            <w:pPr>
              <w:spacing w:after="200" w:line="276" w:lineRule="auto"/>
              <w:jc w:val="left"/>
              <w:rPr>
                <w:rFonts w:ascii="Times New Roman" w:hAnsi="Times New Roman"/>
                <w:color w:val="FFFFFF" w:themeColor="background1"/>
              </w:rPr>
            </w:pPr>
            <w:r w:rsidRPr="008902F2">
              <w:rPr>
                <w:rFonts w:ascii="Times New Roman" w:hAnsi="Times New Roman"/>
                <w:b/>
                <w:bCs/>
                <w:color w:val="FFFFFF" w:themeColor="background1"/>
              </w:rPr>
              <w:t xml:space="preserve">  Distribution Region</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vAlign w:val="center"/>
          </w:tcPr>
          <w:p w14:paraId="027A09C9" w14:textId="78AA5E70" w:rsidR="6F691FB8" w:rsidRPr="008902F2" w:rsidRDefault="6F691FB8" w:rsidP="6F691FB8">
            <w:pPr>
              <w:spacing w:after="200" w:line="276" w:lineRule="auto"/>
              <w:jc w:val="center"/>
              <w:rPr>
                <w:rFonts w:ascii="Times New Roman" w:hAnsi="Times New Roman"/>
                <w:color w:val="FFFFFF" w:themeColor="background1"/>
              </w:rPr>
            </w:pPr>
            <w:r w:rsidRPr="008902F2">
              <w:rPr>
                <w:rFonts w:ascii="Times New Roman" w:hAnsi="Times New Roman"/>
                <w:b/>
                <w:bCs/>
                <w:color w:val="FFFFFF" w:themeColor="background1"/>
              </w:rPr>
              <w:t>Investment Amount</w:t>
            </w:r>
          </w:p>
        </w:tc>
      </w:tr>
      <w:tr w:rsidR="6F691FB8" w:rsidRPr="008902F2" w14:paraId="3E288AA9"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18439395" w14:textId="1A1871BB"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Toroslar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16CC4CF" w14:textId="4C20B2D1"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2.605.884.598</w:t>
            </w:r>
          </w:p>
        </w:tc>
      </w:tr>
      <w:tr w:rsidR="6F691FB8" w:rsidRPr="008902F2" w14:paraId="276F769A"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409DE10" w14:textId="343FE712"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Boğaziçi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74333B1" w14:textId="72360588"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2.307.363.870</w:t>
            </w:r>
          </w:p>
        </w:tc>
      </w:tr>
      <w:tr w:rsidR="6F691FB8" w:rsidRPr="008902F2" w14:paraId="494510A0"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1A9708AB" w14:textId="633CAC66"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GDZ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704A694" w14:textId="1F122BB0"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2.304.620.096</w:t>
            </w:r>
          </w:p>
        </w:tc>
      </w:tr>
      <w:tr w:rsidR="6F691FB8" w:rsidRPr="008902F2" w14:paraId="2F8D8483"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2B95BA4C" w14:textId="4D9DB178"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Başkent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EF4F324" w14:textId="4D8A0DD7"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2.293.224.476</w:t>
            </w:r>
          </w:p>
        </w:tc>
      </w:tr>
      <w:tr w:rsidR="6F691FB8" w:rsidRPr="008902F2" w14:paraId="54BD1165"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2FF000A8" w14:textId="12E8896E"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Dicle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69C18A6" w14:textId="3A2BDA33"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2.052.532.585</w:t>
            </w:r>
          </w:p>
        </w:tc>
      </w:tr>
      <w:tr w:rsidR="6F691FB8" w:rsidRPr="008902F2" w14:paraId="4951D365"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13C4FBC8" w14:textId="74DDB48E"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Osmangazi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79F6A011" w14:textId="2D59E5C1"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1.848.134.689</w:t>
            </w:r>
          </w:p>
        </w:tc>
      </w:tr>
      <w:tr w:rsidR="6F691FB8" w:rsidRPr="008902F2" w14:paraId="49D8E2A8"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B4B5528" w14:textId="07789B26"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ADM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18C6E11C" w14:textId="4B42D094"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1.665.519.832</w:t>
            </w:r>
          </w:p>
        </w:tc>
      </w:tr>
      <w:tr w:rsidR="6F691FB8" w:rsidRPr="008902F2" w14:paraId="0E913E1D"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56DE5E2" w14:textId="00FA9B9F"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Meram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434D8D45" w14:textId="248DEABE"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1.460.028.975</w:t>
            </w:r>
          </w:p>
        </w:tc>
      </w:tr>
      <w:tr w:rsidR="6F691FB8" w:rsidRPr="008902F2" w14:paraId="2A785DDB"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EDB673A" w14:textId="06F5CD49"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Aras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24B8E251" w14:textId="4C8E3F66"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1.392.386.065</w:t>
            </w:r>
          </w:p>
        </w:tc>
      </w:tr>
      <w:tr w:rsidR="6F691FB8" w:rsidRPr="008902F2" w14:paraId="0C4DF952"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78B81950" w14:textId="1C5787A1"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Akdeniz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32BD581B" w14:textId="66145AD4"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1.230.037.546</w:t>
            </w:r>
          </w:p>
        </w:tc>
      </w:tr>
      <w:tr w:rsidR="6F691FB8" w:rsidRPr="008902F2" w14:paraId="36220620"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7ABEE89" w14:textId="67733292"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Sakarya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8B1BDC1" w14:textId="6899CFC7"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1.224.657.471</w:t>
            </w:r>
          </w:p>
        </w:tc>
      </w:tr>
      <w:tr w:rsidR="6F691FB8" w:rsidRPr="008902F2" w14:paraId="33E0A913"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49FFFC49" w14:textId="401FB2EE"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lastRenderedPageBreak/>
              <w:t>İstanbul Anadolu Yakası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27921217" w14:textId="2F388705"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975.819.740</w:t>
            </w:r>
          </w:p>
        </w:tc>
      </w:tr>
      <w:tr w:rsidR="6F691FB8" w:rsidRPr="008902F2" w14:paraId="5D3CB5B2"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2F16AE7" w14:textId="4C2376AA"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Vangölü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118B9A26" w14:textId="3732BCD6"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967.575.892</w:t>
            </w:r>
          </w:p>
        </w:tc>
      </w:tr>
      <w:tr w:rsidR="6F691FB8" w:rsidRPr="008902F2" w14:paraId="34A238B5"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322F4173" w14:textId="43DD7A26"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Yeşilırmak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BE92926" w14:textId="64A6B8F3"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920.596.344</w:t>
            </w:r>
          </w:p>
        </w:tc>
      </w:tr>
      <w:tr w:rsidR="6F691FB8" w:rsidRPr="008902F2" w14:paraId="6FF7840C"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AC6B0D0" w14:textId="0F0B6639"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Trakya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305D8A1" w14:textId="62EC191E"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782.096.645</w:t>
            </w:r>
          </w:p>
        </w:tc>
      </w:tr>
      <w:tr w:rsidR="6F691FB8" w:rsidRPr="008902F2" w14:paraId="6E030D6A"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2BA1C74" w14:textId="18D0641C"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Çoruh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71155AB3" w14:textId="27F081AB"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769.894.153</w:t>
            </w:r>
          </w:p>
        </w:tc>
      </w:tr>
      <w:tr w:rsidR="6F691FB8" w:rsidRPr="008902F2" w14:paraId="37E3886C"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B98E0B0" w14:textId="565562D6"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Fırat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4922D445" w14:textId="4674B4F9"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640.166.806</w:t>
            </w:r>
          </w:p>
        </w:tc>
      </w:tr>
      <w:tr w:rsidR="6F691FB8" w:rsidRPr="008902F2" w14:paraId="0340FBB6"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7C3C3F3" w14:textId="05E56297"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Çamlıbel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0D65DF4" w14:textId="03A644D4"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570.830.935</w:t>
            </w:r>
          </w:p>
        </w:tc>
      </w:tr>
      <w:tr w:rsidR="6F691FB8" w:rsidRPr="008902F2" w14:paraId="1844875A"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67AE6DB" w14:textId="75CB79D6"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Uludağ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116D46C" w14:textId="35484081"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483.828.096</w:t>
            </w:r>
          </w:p>
        </w:tc>
      </w:tr>
      <w:tr w:rsidR="6F691FB8" w:rsidRPr="008902F2" w14:paraId="01C36736"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E621E86" w14:textId="51BCD0CA"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AKEDAŞ Elektrik Dağıtım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354FDFB" w14:textId="7FFED56F"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436.319.672</w:t>
            </w:r>
          </w:p>
        </w:tc>
      </w:tr>
      <w:tr w:rsidR="6F691FB8" w:rsidRPr="008902F2" w14:paraId="03A5F335"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2058080" w14:textId="0246C634"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rPr>
              <w:t>Kayseri ve Civarı Elektrik Türk A.Ş.</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70F94F18" w14:textId="4E8C2E90" w:rsidR="6F691FB8" w:rsidRPr="008902F2" w:rsidRDefault="6F691FB8" w:rsidP="6F691FB8">
            <w:pPr>
              <w:spacing w:after="200" w:line="276" w:lineRule="auto"/>
              <w:ind w:left="786"/>
              <w:jc w:val="right"/>
              <w:rPr>
                <w:rFonts w:ascii="Times New Roman" w:hAnsi="Times New Roman"/>
              </w:rPr>
            </w:pPr>
            <w:r w:rsidRPr="008902F2">
              <w:rPr>
                <w:rFonts w:ascii="Times New Roman" w:hAnsi="Times New Roman"/>
              </w:rPr>
              <w:t>409.245.368</w:t>
            </w:r>
          </w:p>
        </w:tc>
      </w:tr>
      <w:tr w:rsidR="6F691FB8" w:rsidRPr="008902F2" w14:paraId="067D2E09" w14:textId="77777777" w:rsidTr="00555B23">
        <w:trPr>
          <w:trHeight w:val="390"/>
        </w:trPr>
        <w:tc>
          <w:tcPr>
            <w:tcW w:w="50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0039C7FE" w14:textId="6ACE9793" w:rsidR="6F691FB8" w:rsidRPr="008902F2" w:rsidRDefault="6F691FB8" w:rsidP="6F691FB8">
            <w:pPr>
              <w:spacing w:after="200" w:line="276" w:lineRule="auto"/>
              <w:ind w:left="65"/>
              <w:jc w:val="left"/>
              <w:rPr>
                <w:rFonts w:ascii="Times New Roman" w:hAnsi="Times New Roman"/>
              </w:rPr>
            </w:pPr>
            <w:r w:rsidRPr="008902F2">
              <w:rPr>
                <w:rFonts w:ascii="Times New Roman" w:hAnsi="Times New Roman"/>
                <w:b/>
                <w:bCs/>
              </w:rPr>
              <w:t>TOTAL</w:t>
            </w:r>
          </w:p>
        </w:tc>
        <w:tc>
          <w:tcPr>
            <w:tcW w:w="297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7EB1AFBC" w14:textId="08F7EF81" w:rsidR="6F691FB8" w:rsidRPr="008902F2" w:rsidRDefault="6F691FB8" w:rsidP="6F691FB8">
            <w:pPr>
              <w:spacing w:after="200" w:line="276" w:lineRule="auto"/>
              <w:ind w:left="567"/>
              <w:jc w:val="right"/>
              <w:rPr>
                <w:rFonts w:ascii="Times New Roman" w:hAnsi="Times New Roman"/>
              </w:rPr>
            </w:pPr>
            <w:r w:rsidRPr="008902F2">
              <w:rPr>
                <w:rFonts w:ascii="Times New Roman" w:hAnsi="Times New Roman"/>
              </w:rPr>
              <w:t>27.340.763.855</w:t>
            </w:r>
          </w:p>
        </w:tc>
      </w:tr>
    </w:tbl>
    <w:p w14:paraId="447ED466" w14:textId="4D8229AA" w:rsidR="002C3099" w:rsidRPr="008902F2" w:rsidRDefault="6BA9880E" w:rsidP="6F691FB8">
      <w:pPr>
        <w:ind w:left="118"/>
        <w:rPr>
          <w:rFonts w:ascii="Times New Roman" w:hAnsi="Times New Roman"/>
          <w:color w:val="000000" w:themeColor="text1"/>
          <w:sz w:val="20"/>
          <w:szCs w:val="20"/>
        </w:rPr>
      </w:pPr>
      <w:r w:rsidRPr="008902F2">
        <w:rPr>
          <w:rFonts w:ascii="Times New Roman" w:hAnsi="Times New Roman"/>
          <w:i/>
          <w:iCs/>
          <w:color w:val="000000" w:themeColor="text1"/>
          <w:sz w:val="20"/>
          <w:szCs w:val="20"/>
        </w:rPr>
        <w:t>Note: This report has been prepared taking into account the investment projection declarations for the year 2022 reported via the Electricity Distribution Companies Information System (EBIS) as of December 31, 2022. The actual amounts related to ongoing investments from the Third Implementation Period have also been included.</w:t>
      </w:r>
    </w:p>
    <w:p w14:paraId="78126C5E" w14:textId="3E3BE621" w:rsidR="002C3099" w:rsidRPr="008902F2" w:rsidRDefault="6F691FB8" w:rsidP="6F691FB8">
      <w:pPr>
        <w:pStyle w:val="Balk4"/>
        <w:spacing w:after="240"/>
        <w:rPr>
          <w:rFonts w:ascii="Times New Roman" w:eastAsia="Calibri" w:hAnsi="Times New Roman" w:cs="Times New Roman"/>
          <w:color w:val="000000" w:themeColor="text1"/>
        </w:rPr>
      </w:pPr>
      <w:bookmarkStart w:id="140" w:name="_Toc143113423"/>
      <w:r w:rsidRPr="008902F2">
        <w:rPr>
          <w:rFonts w:ascii="Times New Roman" w:eastAsia="Calibri" w:hAnsi="Times New Roman" w:cs="Times New Roman"/>
          <w:i w:val="0"/>
          <w:iCs w:val="0"/>
          <w:color w:val="000000" w:themeColor="text1"/>
        </w:rPr>
        <w:t>4.</w:t>
      </w:r>
      <w:r w:rsidR="46D871FD" w:rsidRPr="008902F2">
        <w:rPr>
          <w:rFonts w:ascii="Times New Roman" w:eastAsia="Calibri" w:hAnsi="Times New Roman" w:cs="Times New Roman"/>
          <w:i w:val="0"/>
          <w:iCs w:val="0"/>
          <w:color w:val="000000" w:themeColor="text1"/>
        </w:rPr>
        <w:t xml:space="preserve">1.2.1. </w:t>
      </w:r>
      <w:r w:rsidR="6BA9880E" w:rsidRPr="008902F2">
        <w:rPr>
          <w:rFonts w:ascii="Times New Roman" w:eastAsia="Calibri" w:hAnsi="Times New Roman" w:cs="Times New Roman"/>
          <w:i w:val="0"/>
          <w:iCs w:val="0"/>
          <w:color w:val="000000" w:themeColor="text1"/>
        </w:rPr>
        <w:t>Distribution System Connection Fee</w:t>
      </w:r>
      <w:bookmarkEnd w:id="140"/>
    </w:p>
    <w:p w14:paraId="29E06F8A" w14:textId="4A8B62AD"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The decision dated 29.12.2022 and numbered 11529-11, published in the Official Gazette dated 30.12.2022 and numbered 32059 (2nd Duplicate), states the following regarding the Distribution Connection Fee for the year 2023:</w:t>
      </w:r>
    </w:p>
    <w:p w14:paraId="49011B70" w14:textId="7171F520" w:rsidR="002C3099" w:rsidRPr="008902F2" w:rsidRDefault="002C3099" w:rsidP="6F691FB8">
      <w:pPr>
        <w:spacing w:after="0" w:line="240" w:lineRule="auto"/>
        <w:ind w:left="720"/>
        <w:rPr>
          <w:rFonts w:ascii="Times New Roman" w:hAnsi="Times New Roman"/>
          <w:color w:val="000000" w:themeColor="text1"/>
        </w:rPr>
      </w:pPr>
    </w:p>
    <w:p w14:paraId="373EE1D3" w14:textId="65EDB692"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In the case of using both overhead and underground cables in the connection line, the unit price is calculated by considering the length of each overhead and underground line separately.</w:t>
      </w:r>
    </w:p>
    <w:p w14:paraId="7D7CAA0B" w14:textId="6FE8FDCF" w:rsidR="002C3099" w:rsidRPr="008902F2" w:rsidRDefault="002C3099" w:rsidP="6F691FB8">
      <w:pPr>
        <w:spacing w:after="0" w:line="240" w:lineRule="auto"/>
        <w:ind w:left="720"/>
        <w:rPr>
          <w:rFonts w:ascii="Times New Roman" w:hAnsi="Times New Roman"/>
          <w:color w:val="000000" w:themeColor="text1"/>
        </w:rPr>
      </w:pPr>
    </w:p>
    <w:p w14:paraId="0EB324E6" w14:textId="4EBCA92D"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For connections with a capacity of over 100 kW, the connection fee is calculated by adding the amount obtained by multiplying each kW over 100 kW by 1.11 TL/m to the price of 275.20 TL/m for up to 100 kW.</w:t>
      </w:r>
    </w:p>
    <w:p w14:paraId="411CA2D2" w14:textId="4A19759A" w:rsidR="002C3099" w:rsidRPr="008902F2" w:rsidRDefault="002C3099" w:rsidP="6F691FB8">
      <w:pPr>
        <w:spacing w:after="0" w:line="240" w:lineRule="auto"/>
        <w:ind w:left="720"/>
        <w:rPr>
          <w:rFonts w:ascii="Times New Roman" w:hAnsi="Times New Roman"/>
          <w:color w:val="000000" w:themeColor="text1"/>
        </w:rPr>
      </w:pPr>
    </w:p>
    <w:p w14:paraId="37758810" w14:textId="29B98FF9"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No other fee shall be applied under any other title to the consumer receiving connection service from the Distribution Company, except for the TL/m-based fees listed below.</w:t>
      </w:r>
    </w:p>
    <w:p w14:paraId="42FD0360" w14:textId="5F6C40E0" w:rsidR="002C3099" w:rsidRPr="008902F2" w:rsidRDefault="002C3099" w:rsidP="6F691FB8">
      <w:pPr>
        <w:spacing w:after="0" w:line="240" w:lineRule="auto"/>
        <w:ind w:left="720"/>
        <w:rPr>
          <w:rFonts w:ascii="Times New Roman" w:hAnsi="Times New Roman"/>
          <w:color w:val="000000" w:themeColor="text1"/>
        </w:rPr>
      </w:pPr>
    </w:p>
    <w:p w14:paraId="2AE009CD" w14:textId="28E41DAD"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The power specified in the 1st paragraph of Article 3 of the Connection Agreement to the Distribution System, as per the relevant legislation, shall be considered as the basis for the connection fee.</w:t>
      </w:r>
    </w:p>
    <w:p w14:paraId="0EB5CFAB" w14:textId="7DB2B202" w:rsidR="002C3099" w:rsidRPr="008902F2" w:rsidRDefault="002C3099" w:rsidP="6F691FB8">
      <w:pPr>
        <w:spacing w:after="0" w:line="240" w:lineRule="auto"/>
        <w:ind w:left="720"/>
        <w:rPr>
          <w:rFonts w:ascii="Times New Roman" w:hAnsi="Times New Roman"/>
          <w:color w:val="000000" w:themeColor="text1"/>
        </w:rPr>
      </w:pPr>
    </w:p>
    <w:p w14:paraId="21A460D3" w14:textId="5017A21B" w:rsidR="002C3099" w:rsidRPr="008902F2" w:rsidRDefault="6BA9880E"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In this context, the fees in the table 4.8 below will be applied as the Distribution Connection Fee for the year 2023 as of the date of effect of the decision.</w:t>
      </w:r>
    </w:p>
    <w:p w14:paraId="5B52F1C8" w14:textId="1D446BE1"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4.8: Distribution System Connection Fees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65"/>
        <w:gridCol w:w="3165"/>
      </w:tblGrid>
      <w:tr w:rsidR="6F691FB8" w:rsidRPr="008902F2" w14:paraId="6D39376C"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1CAE14F8" w14:textId="7E07DA65" w:rsidR="6F691FB8" w:rsidRPr="008902F2" w:rsidRDefault="6F691FB8" w:rsidP="6F691FB8">
            <w:pPr>
              <w:spacing w:after="0"/>
              <w:rPr>
                <w:rFonts w:ascii="Times New Roman" w:hAnsi="Times New Roman"/>
                <w:color w:val="FFFFFF" w:themeColor="background1"/>
              </w:rPr>
            </w:pPr>
            <w:r w:rsidRPr="008902F2">
              <w:rPr>
                <w:rFonts w:ascii="Times New Roman" w:hAnsi="Times New Roman"/>
                <w:b/>
                <w:bCs/>
                <w:color w:val="FFFFFF" w:themeColor="background1"/>
              </w:rPr>
              <w:t xml:space="preserve">        Connection Fee</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35B57823" w14:textId="6CA0D447" w:rsidR="6F691FB8" w:rsidRPr="008902F2" w:rsidRDefault="6F691FB8" w:rsidP="6F691FB8">
            <w:pPr>
              <w:spacing w:after="0"/>
              <w:rPr>
                <w:rFonts w:ascii="Times New Roman" w:hAnsi="Times New Roman"/>
                <w:color w:val="FFFFFF" w:themeColor="background1"/>
              </w:rPr>
            </w:pPr>
            <w:r w:rsidRPr="008902F2">
              <w:rPr>
                <w:rFonts w:ascii="Times New Roman" w:hAnsi="Times New Roman"/>
                <w:b/>
                <w:bCs/>
                <w:color w:val="FFFFFF" w:themeColor="background1"/>
              </w:rPr>
              <w:t xml:space="preserve">                   TL/meter</w:t>
            </w:r>
          </w:p>
        </w:tc>
      </w:tr>
      <w:tr w:rsidR="6F691FB8" w:rsidRPr="008902F2" w14:paraId="2F2BEB4E"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D9D9D9" w:themeFill="background1" w:themeFillShade="D9"/>
            <w:tcMar>
              <w:left w:w="60" w:type="dxa"/>
              <w:right w:w="60" w:type="dxa"/>
            </w:tcMar>
            <w:vAlign w:val="center"/>
          </w:tcPr>
          <w:p w14:paraId="46C6423D" w14:textId="4B744246" w:rsidR="6F691FB8" w:rsidRPr="008902F2" w:rsidRDefault="6F691FB8" w:rsidP="6F691FB8">
            <w:pPr>
              <w:spacing w:after="0"/>
              <w:jc w:val="center"/>
              <w:rPr>
                <w:rFonts w:ascii="Times New Roman" w:hAnsi="Times New Roman"/>
              </w:rPr>
            </w:pPr>
            <w:r w:rsidRPr="008902F2">
              <w:rPr>
                <w:rFonts w:ascii="Times New Roman" w:hAnsi="Times New Roman"/>
                <w:b/>
                <w:bCs/>
              </w:rPr>
              <w:t>AG</w:t>
            </w:r>
          </w:p>
        </w:tc>
      </w:tr>
      <w:tr w:rsidR="6F691FB8" w:rsidRPr="008902F2" w14:paraId="323D2FE0"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9FFF9EA" w14:textId="3DEC22A1" w:rsidR="6F691FB8" w:rsidRPr="008902F2" w:rsidRDefault="6F691FB8" w:rsidP="6F691FB8">
            <w:pPr>
              <w:spacing w:after="0"/>
              <w:rPr>
                <w:rFonts w:ascii="Times New Roman" w:hAnsi="Times New Roman"/>
              </w:rPr>
            </w:pPr>
            <w:r w:rsidRPr="008902F2">
              <w:rPr>
                <w:rFonts w:ascii="Times New Roman" w:hAnsi="Times New Roman"/>
                <w:b/>
                <w:bCs/>
              </w:rPr>
              <w:t>0-15 kW (included)</w:t>
            </w:r>
          </w:p>
        </w:tc>
      </w:tr>
      <w:tr w:rsidR="6F691FB8" w:rsidRPr="008902F2" w14:paraId="735AE1DC"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6BD7C0E7" w14:textId="0B37CE40" w:rsidR="6F691FB8" w:rsidRPr="008902F2" w:rsidRDefault="6F691FB8" w:rsidP="6F691FB8">
            <w:pPr>
              <w:spacing w:after="0"/>
              <w:rPr>
                <w:rFonts w:ascii="Times New Roman" w:hAnsi="Times New Roman"/>
              </w:rPr>
            </w:pPr>
            <w:r w:rsidRPr="008902F2">
              <w:rPr>
                <w:rFonts w:ascii="Times New Roman" w:hAnsi="Times New Roman"/>
              </w:rPr>
              <w:lastRenderedPageBreak/>
              <w:t>Underground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05C1E731" w14:textId="577B9C07" w:rsidR="6F691FB8" w:rsidRPr="008902F2" w:rsidRDefault="6F691FB8" w:rsidP="6F691FB8">
            <w:pPr>
              <w:spacing w:after="0"/>
              <w:jc w:val="right"/>
              <w:rPr>
                <w:rFonts w:ascii="Times New Roman" w:hAnsi="Times New Roman"/>
              </w:rPr>
            </w:pPr>
            <w:r w:rsidRPr="008902F2">
              <w:rPr>
                <w:rFonts w:ascii="Times New Roman" w:hAnsi="Times New Roman"/>
              </w:rPr>
              <w:t>148,89</w:t>
            </w:r>
          </w:p>
        </w:tc>
      </w:tr>
      <w:tr w:rsidR="6F691FB8" w:rsidRPr="008902F2" w14:paraId="732D2F64"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78C8D934" w14:textId="0FA58781" w:rsidR="6F691FB8" w:rsidRPr="008902F2" w:rsidRDefault="6F691FB8" w:rsidP="6F691FB8">
            <w:pPr>
              <w:spacing w:after="0"/>
              <w:rPr>
                <w:rFonts w:ascii="Times New Roman" w:hAnsi="Times New Roman"/>
              </w:rPr>
            </w:pPr>
            <w:r w:rsidRPr="008902F2">
              <w:rPr>
                <w:rFonts w:ascii="Times New Roman" w:hAnsi="Times New Roman"/>
              </w:rPr>
              <w:t>Overhead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6873B9E4" w14:textId="01276124" w:rsidR="6F691FB8" w:rsidRPr="008902F2" w:rsidRDefault="6F691FB8" w:rsidP="6F691FB8">
            <w:pPr>
              <w:spacing w:after="0"/>
              <w:jc w:val="right"/>
              <w:rPr>
                <w:rFonts w:ascii="Times New Roman" w:hAnsi="Times New Roman"/>
              </w:rPr>
            </w:pPr>
            <w:r w:rsidRPr="008902F2">
              <w:rPr>
                <w:rFonts w:ascii="Times New Roman" w:hAnsi="Times New Roman"/>
              </w:rPr>
              <w:t>69,22</w:t>
            </w:r>
          </w:p>
        </w:tc>
      </w:tr>
      <w:tr w:rsidR="6F691FB8" w:rsidRPr="008902F2" w14:paraId="5D6BA6BA"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2C3F46A" w14:textId="1D7E5072" w:rsidR="6F691FB8" w:rsidRPr="008902F2" w:rsidRDefault="6F691FB8" w:rsidP="6F691FB8">
            <w:pPr>
              <w:spacing w:after="0"/>
              <w:rPr>
                <w:rFonts w:ascii="Times New Roman" w:hAnsi="Times New Roman"/>
              </w:rPr>
            </w:pPr>
            <w:r w:rsidRPr="008902F2">
              <w:rPr>
                <w:rFonts w:ascii="Times New Roman" w:hAnsi="Times New Roman"/>
                <w:b/>
                <w:bCs/>
              </w:rPr>
              <w:t>15-50 kW (included)</w:t>
            </w:r>
          </w:p>
        </w:tc>
      </w:tr>
      <w:tr w:rsidR="6F691FB8" w:rsidRPr="008902F2" w14:paraId="0E95D942"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56FBE9CD" w14:textId="3D91220B" w:rsidR="6F691FB8" w:rsidRPr="008902F2" w:rsidRDefault="6F691FB8" w:rsidP="6F691FB8">
            <w:pPr>
              <w:spacing w:after="0"/>
              <w:rPr>
                <w:rFonts w:ascii="Times New Roman" w:hAnsi="Times New Roman"/>
              </w:rPr>
            </w:pPr>
            <w:r w:rsidRPr="008902F2">
              <w:rPr>
                <w:rFonts w:ascii="Times New Roman" w:hAnsi="Times New Roman"/>
              </w:rPr>
              <w:t>Underground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181E6679" w14:textId="4F32EF92" w:rsidR="6F691FB8" w:rsidRPr="008902F2" w:rsidRDefault="6F691FB8" w:rsidP="6F691FB8">
            <w:pPr>
              <w:spacing w:after="0"/>
              <w:jc w:val="right"/>
              <w:rPr>
                <w:rFonts w:ascii="Times New Roman" w:hAnsi="Times New Roman"/>
              </w:rPr>
            </w:pPr>
            <w:r w:rsidRPr="008902F2">
              <w:rPr>
                <w:rFonts w:ascii="Times New Roman" w:hAnsi="Times New Roman"/>
              </w:rPr>
              <w:t>201,54</w:t>
            </w:r>
          </w:p>
        </w:tc>
      </w:tr>
      <w:tr w:rsidR="6F691FB8" w:rsidRPr="008902F2" w14:paraId="616AC365"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B1EA180" w14:textId="4F46790D" w:rsidR="6F691FB8" w:rsidRPr="008902F2" w:rsidRDefault="6F691FB8" w:rsidP="6F691FB8">
            <w:pPr>
              <w:spacing w:after="0"/>
              <w:rPr>
                <w:rFonts w:ascii="Times New Roman" w:hAnsi="Times New Roman"/>
              </w:rPr>
            </w:pPr>
            <w:r w:rsidRPr="008902F2">
              <w:rPr>
                <w:rFonts w:ascii="Times New Roman" w:hAnsi="Times New Roman"/>
              </w:rPr>
              <w:t>Overhead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7482F1E1" w14:textId="44974330" w:rsidR="6F691FB8" w:rsidRPr="008902F2" w:rsidRDefault="6F691FB8" w:rsidP="6F691FB8">
            <w:pPr>
              <w:spacing w:after="0"/>
              <w:jc w:val="right"/>
              <w:rPr>
                <w:rFonts w:ascii="Times New Roman" w:hAnsi="Times New Roman"/>
              </w:rPr>
            </w:pPr>
            <w:r w:rsidRPr="008902F2">
              <w:rPr>
                <w:rFonts w:ascii="Times New Roman" w:hAnsi="Times New Roman"/>
              </w:rPr>
              <w:t>117,47</w:t>
            </w:r>
          </w:p>
        </w:tc>
      </w:tr>
      <w:tr w:rsidR="6F691FB8" w:rsidRPr="008902F2" w14:paraId="34E177B6"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77F7E17B" w14:textId="41BC67A7" w:rsidR="6F691FB8" w:rsidRPr="008902F2" w:rsidRDefault="6F691FB8" w:rsidP="6F691FB8">
            <w:pPr>
              <w:spacing w:after="0"/>
              <w:rPr>
                <w:rFonts w:ascii="Times New Roman" w:hAnsi="Times New Roman"/>
              </w:rPr>
            </w:pPr>
            <w:r w:rsidRPr="008902F2">
              <w:rPr>
                <w:rFonts w:ascii="Times New Roman" w:hAnsi="Times New Roman"/>
                <w:b/>
                <w:bCs/>
              </w:rPr>
              <w:t>50-100 kW (included)</w:t>
            </w:r>
          </w:p>
        </w:tc>
      </w:tr>
      <w:tr w:rsidR="6F691FB8" w:rsidRPr="008902F2" w14:paraId="54E3D903"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4CD7076D" w14:textId="152B3E30" w:rsidR="6F691FB8" w:rsidRPr="008902F2" w:rsidRDefault="6F691FB8" w:rsidP="6F691FB8">
            <w:pPr>
              <w:spacing w:after="0"/>
              <w:rPr>
                <w:rFonts w:ascii="Times New Roman" w:hAnsi="Times New Roman"/>
              </w:rPr>
            </w:pPr>
            <w:r w:rsidRPr="008902F2">
              <w:rPr>
                <w:rFonts w:ascii="Times New Roman" w:hAnsi="Times New Roman"/>
              </w:rPr>
              <w:t>Underground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1968216A" w14:textId="54BDB32C" w:rsidR="6F691FB8" w:rsidRPr="008902F2" w:rsidRDefault="6F691FB8" w:rsidP="6F691FB8">
            <w:pPr>
              <w:spacing w:after="0"/>
              <w:jc w:val="right"/>
              <w:rPr>
                <w:rFonts w:ascii="Times New Roman" w:hAnsi="Times New Roman"/>
              </w:rPr>
            </w:pPr>
            <w:r w:rsidRPr="008902F2">
              <w:rPr>
                <w:rFonts w:ascii="Times New Roman" w:hAnsi="Times New Roman"/>
              </w:rPr>
              <w:t>275,20</w:t>
            </w:r>
          </w:p>
        </w:tc>
      </w:tr>
      <w:tr w:rsidR="6F691FB8" w:rsidRPr="008902F2" w14:paraId="053750CB"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0C26BEB9" w14:textId="21B9AF61" w:rsidR="6F691FB8" w:rsidRPr="008902F2" w:rsidRDefault="6F691FB8" w:rsidP="6F691FB8">
            <w:pPr>
              <w:spacing w:after="0"/>
              <w:rPr>
                <w:rFonts w:ascii="Times New Roman" w:hAnsi="Times New Roman"/>
              </w:rPr>
            </w:pPr>
            <w:r w:rsidRPr="008902F2">
              <w:rPr>
                <w:rFonts w:ascii="Times New Roman" w:hAnsi="Times New Roman"/>
              </w:rPr>
              <w:t>Overhead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1492B7FA" w14:textId="43CEE142" w:rsidR="6F691FB8" w:rsidRPr="008902F2" w:rsidRDefault="6F691FB8" w:rsidP="6F691FB8">
            <w:pPr>
              <w:spacing w:after="0"/>
              <w:jc w:val="right"/>
              <w:rPr>
                <w:rFonts w:ascii="Times New Roman" w:hAnsi="Times New Roman"/>
              </w:rPr>
            </w:pPr>
            <w:r w:rsidRPr="008902F2">
              <w:rPr>
                <w:rFonts w:ascii="Times New Roman" w:hAnsi="Times New Roman"/>
              </w:rPr>
              <w:t>146,33</w:t>
            </w:r>
          </w:p>
        </w:tc>
      </w:tr>
      <w:tr w:rsidR="6F691FB8" w:rsidRPr="008902F2" w14:paraId="018AEAA1"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43E74CE" w14:textId="481B041B" w:rsidR="6F691FB8" w:rsidRPr="008902F2" w:rsidRDefault="6F691FB8" w:rsidP="6F691FB8">
            <w:pPr>
              <w:spacing w:after="0"/>
              <w:rPr>
                <w:rFonts w:ascii="Times New Roman" w:hAnsi="Times New Roman"/>
              </w:rPr>
            </w:pPr>
            <w:r w:rsidRPr="008902F2">
              <w:rPr>
                <w:rFonts w:ascii="Times New Roman" w:hAnsi="Times New Roman"/>
                <w:b/>
                <w:bCs/>
              </w:rPr>
              <w:t xml:space="preserve">Above 100 kW </w:t>
            </w:r>
          </w:p>
        </w:tc>
      </w:tr>
      <w:tr w:rsidR="6F691FB8" w:rsidRPr="008902F2" w14:paraId="4D42AD94"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6778E8D6" w14:textId="11B537F2" w:rsidR="6F691FB8" w:rsidRPr="008902F2" w:rsidRDefault="6F691FB8" w:rsidP="6F691FB8">
            <w:pPr>
              <w:spacing w:after="0"/>
              <w:rPr>
                <w:rFonts w:ascii="Times New Roman" w:hAnsi="Times New Roman"/>
              </w:rPr>
            </w:pPr>
            <w:r w:rsidRPr="008902F2">
              <w:rPr>
                <w:rFonts w:ascii="Times New Roman" w:hAnsi="Times New Roman"/>
              </w:rPr>
              <w:t>Underground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3681A605" w14:textId="64153E60" w:rsidR="6F691FB8" w:rsidRPr="008902F2" w:rsidRDefault="6F691FB8" w:rsidP="6F691FB8">
            <w:pPr>
              <w:spacing w:after="0"/>
              <w:jc w:val="right"/>
              <w:rPr>
                <w:rFonts w:ascii="Times New Roman" w:hAnsi="Times New Roman"/>
              </w:rPr>
            </w:pPr>
            <w:r w:rsidRPr="008902F2">
              <w:rPr>
                <w:rFonts w:ascii="Times New Roman" w:hAnsi="Times New Roman"/>
              </w:rPr>
              <w:t>275,20+1,11×(Güç-100)</w:t>
            </w:r>
          </w:p>
        </w:tc>
      </w:tr>
      <w:tr w:rsidR="6F691FB8" w:rsidRPr="008902F2" w14:paraId="21F6DBDB" w14:textId="77777777" w:rsidTr="6F691FB8">
        <w:trPr>
          <w:trHeight w:val="330"/>
        </w:trPr>
        <w:tc>
          <w:tcPr>
            <w:tcW w:w="633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D9D9D9" w:themeFill="background1" w:themeFillShade="D9"/>
            <w:tcMar>
              <w:left w:w="60" w:type="dxa"/>
              <w:right w:w="60" w:type="dxa"/>
            </w:tcMar>
            <w:vAlign w:val="center"/>
          </w:tcPr>
          <w:p w14:paraId="377EED2D" w14:textId="7AF9C0CE" w:rsidR="6F691FB8" w:rsidRPr="008902F2" w:rsidRDefault="6F691FB8" w:rsidP="6F691FB8">
            <w:pPr>
              <w:spacing w:after="0"/>
              <w:jc w:val="center"/>
              <w:rPr>
                <w:rFonts w:ascii="Times New Roman" w:hAnsi="Times New Roman"/>
              </w:rPr>
            </w:pPr>
            <w:r w:rsidRPr="008902F2">
              <w:rPr>
                <w:rFonts w:ascii="Times New Roman" w:hAnsi="Times New Roman"/>
                <w:b/>
                <w:bCs/>
              </w:rPr>
              <w:t>OG</w:t>
            </w:r>
          </w:p>
        </w:tc>
      </w:tr>
      <w:tr w:rsidR="6F691FB8" w:rsidRPr="008902F2" w14:paraId="3BC472AF"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5E476052" w14:textId="0014EA11" w:rsidR="6F691FB8" w:rsidRPr="008902F2" w:rsidRDefault="6F691FB8" w:rsidP="6F691FB8">
            <w:pPr>
              <w:spacing w:after="0"/>
              <w:rPr>
                <w:rFonts w:ascii="Times New Roman" w:hAnsi="Times New Roman"/>
              </w:rPr>
            </w:pPr>
            <w:r w:rsidRPr="008902F2">
              <w:rPr>
                <w:rFonts w:ascii="Times New Roman" w:hAnsi="Times New Roman"/>
              </w:rPr>
              <w:t>Underground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48C91EEF" w14:textId="03BDC40B" w:rsidR="6F691FB8" w:rsidRPr="008902F2" w:rsidRDefault="6F691FB8" w:rsidP="6F691FB8">
            <w:pPr>
              <w:spacing w:after="0"/>
              <w:jc w:val="right"/>
              <w:rPr>
                <w:rFonts w:ascii="Times New Roman" w:hAnsi="Times New Roman"/>
              </w:rPr>
            </w:pPr>
            <w:r w:rsidRPr="008902F2">
              <w:rPr>
                <w:rFonts w:ascii="Times New Roman" w:hAnsi="Times New Roman"/>
              </w:rPr>
              <w:t>703,56</w:t>
            </w:r>
          </w:p>
        </w:tc>
      </w:tr>
      <w:tr w:rsidR="6F691FB8" w:rsidRPr="008902F2" w14:paraId="7334BAD2" w14:textId="77777777" w:rsidTr="6F691FB8">
        <w:trPr>
          <w:trHeight w:val="330"/>
        </w:trPr>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B5A4A20" w14:textId="7B170A55" w:rsidR="6F691FB8" w:rsidRPr="008902F2" w:rsidRDefault="6F691FB8" w:rsidP="6F691FB8">
            <w:pPr>
              <w:spacing w:after="0"/>
              <w:rPr>
                <w:rFonts w:ascii="Times New Roman" w:hAnsi="Times New Roman"/>
              </w:rPr>
            </w:pPr>
            <w:r w:rsidRPr="008902F2">
              <w:rPr>
                <w:rFonts w:ascii="Times New Roman" w:hAnsi="Times New Roman"/>
              </w:rPr>
              <w:t>Overhead</w:t>
            </w:r>
          </w:p>
        </w:tc>
        <w:tc>
          <w:tcPr>
            <w:tcW w:w="31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FFFFFF" w:themeFill="background1"/>
            <w:tcMar>
              <w:left w:w="60" w:type="dxa"/>
              <w:right w:w="60" w:type="dxa"/>
            </w:tcMar>
            <w:vAlign w:val="center"/>
          </w:tcPr>
          <w:p w14:paraId="25170D98" w14:textId="25722F0D" w:rsidR="6F691FB8" w:rsidRPr="008902F2" w:rsidRDefault="6F691FB8" w:rsidP="6F691FB8">
            <w:pPr>
              <w:spacing w:after="0"/>
              <w:jc w:val="right"/>
              <w:rPr>
                <w:rFonts w:ascii="Times New Roman" w:hAnsi="Times New Roman"/>
              </w:rPr>
            </w:pPr>
            <w:r w:rsidRPr="008902F2">
              <w:rPr>
                <w:rFonts w:ascii="Times New Roman" w:hAnsi="Times New Roman"/>
              </w:rPr>
              <w:t>188,08</w:t>
            </w:r>
          </w:p>
        </w:tc>
      </w:tr>
    </w:tbl>
    <w:p w14:paraId="7614A070" w14:textId="0FFD5DC0" w:rsidR="002C3099" w:rsidRPr="008902F2" w:rsidRDefault="002C3099" w:rsidP="6F691FB8">
      <w:pPr>
        <w:spacing w:after="0"/>
        <w:rPr>
          <w:rFonts w:ascii="Times New Roman" w:hAnsi="Times New Roman"/>
          <w:color w:val="000000" w:themeColor="text1"/>
        </w:rPr>
      </w:pPr>
    </w:p>
    <w:p w14:paraId="617C7C30" w14:textId="741C34A0" w:rsidR="002C3099" w:rsidRPr="008902F2" w:rsidRDefault="6F691FB8" w:rsidP="6F691FB8">
      <w:pPr>
        <w:pStyle w:val="Balk4"/>
        <w:spacing w:before="0" w:after="240"/>
        <w:rPr>
          <w:rFonts w:ascii="Times New Roman" w:eastAsia="Calibri" w:hAnsi="Times New Roman" w:cs="Times New Roman"/>
          <w:color w:val="000000" w:themeColor="text1"/>
        </w:rPr>
      </w:pPr>
      <w:bookmarkStart w:id="141" w:name="_Toc143113424"/>
      <w:r w:rsidRPr="008902F2">
        <w:rPr>
          <w:rFonts w:ascii="Times New Roman" w:eastAsia="Calibri" w:hAnsi="Times New Roman" w:cs="Times New Roman"/>
          <w:i w:val="0"/>
          <w:iCs w:val="0"/>
          <w:color w:val="000000" w:themeColor="text1"/>
        </w:rPr>
        <w:t>4.</w:t>
      </w:r>
      <w:r w:rsidR="5A443F50" w:rsidRPr="008902F2">
        <w:rPr>
          <w:rFonts w:ascii="Times New Roman" w:eastAsia="Calibri" w:hAnsi="Times New Roman" w:cs="Times New Roman"/>
          <w:i w:val="0"/>
          <w:iCs w:val="0"/>
          <w:color w:val="000000" w:themeColor="text1"/>
        </w:rPr>
        <w:t xml:space="preserve">1.2.2. </w:t>
      </w:r>
      <w:r w:rsidR="6BA9880E" w:rsidRPr="008902F2">
        <w:rPr>
          <w:rFonts w:ascii="Times New Roman" w:eastAsia="Calibri" w:hAnsi="Times New Roman" w:cs="Times New Roman"/>
          <w:i w:val="0"/>
          <w:iCs w:val="0"/>
          <w:color w:val="000000" w:themeColor="text1"/>
        </w:rPr>
        <w:t>Cutting-Connecting Fee</w:t>
      </w:r>
      <w:bookmarkEnd w:id="141"/>
    </w:p>
    <w:p w14:paraId="3E52D054" w14:textId="3A95C82D"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January 1, 2023, with the decision of the Regulatory Board numbered 11529-2, published in the Official Gazette dated 30.12.2022 and numbered 32059 (2nd Duplicate), the application of the disconnection-reconnection fees listed in Table 4.9 has been decided.</w:t>
      </w:r>
    </w:p>
    <w:p w14:paraId="7048AEEB" w14:textId="5F6F2AB3" w:rsidR="002C3099" w:rsidRPr="008902F2" w:rsidRDefault="002C3099" w:rsidP="6F691FB8">
      <w:pPr>
        <w:rPr>
          <w:rFonts w:ascii="Times New Roman" w:hAnsi="Times New Roman"/>
          <w:color w:val="000000" w:themeColor="text1"/>
        </w:rPr>
      </w:pPr>
    </w:p>
    <w:p w14:paraId="6EA213D7" w14:textId="31659356"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4.9: Cutting-Connecting Costs</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3300"/>
        <w:gridCol w:w="3195"/>
      </w:tblGrid>
      <w:tr w:rsidR="6F691FB8" w:rsidRPr="008902F2" w14:paraId="065D3E09" w14:textId="77777777" w:rsidTr="6F691FB8">
        <w:trPr>
          <w:trHeight w:val="300"/>
        </w:trPr>
        <w:tc>
          <w:tcPr>
            <w:tcW w:w="33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7E15245D" w14:textId="695D2FEF"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Connection Level</w:t>
            </w:r>
          </w:p>
        </w:tc>
        <w:tc>
          <w:tcPr>
            <w:tcW w:w="31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2A66DAEB" w14:textId="6FE2631B"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Cutting-Connecting Fee (TL)</w:t>
            </w:r>
          </w:p>
        </w:tc>
      </w:tr>
      <w:tr w:rsidR="6F691FB8" w:rsidRPr="008902F2" w14:paraId="45F66B6D" w14:textId="77777777" w:rsidTr="6F691FB8">
        <w:trPr>
          <w:trHeight w:val="300"/>
        </w:trPr>
        <w:tc>
          <w:tcPr>
            <w:tcW w:w="33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73DE94B" w14:textId="038154C0"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AG</w:t>
            </w:r>
          </w:p>
        </w:tc>
        <w:tc>
          <w:tcPr>
            <w:tcW w:w="31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D4C398F" w14:textId="700C6D37" w:rsidR="6F691FB8" w:rsidRPr="008902F2" w:rsidRDefault="6F691FB8" w:rsidP="6F691FB8">
            <w:pPr>
              <w:spacing w:after="0"/>
              <w:jc w:val="right"/>
              <w:rPr>
                <w:rFonts w:ascii="Times New Roman" w:hAnsi="Times New Roman"/>
                <w:color w:val="000000" w:themeColor="text1"/>
              </w:rPr>
            </w:pPr>
            <w:r w:rsidRPr="008902F2">
              <w:rPr>
                <w:rFonts w:ascii="Times New Roman" w:hAnsi="Times New Roman"/>
                <w:color w:val="000000" w:themeColor="text1"/>
              </w:rPr>
              <w:t>44,8</w:t>
            </w:r>
          </w:p>
        </w:tc>
      </w:tr>
      <w:tr w:rsidR="6F691FB8" w:rsidRPr="008902F2" w14:paraId="61B6DE44" w14:textId="77777777" w:rsidTr="6F691FB8">
        <w:trPr>
          <w:trHeight w:val="300"/>
        </w:trPr>
        <w:tc>
          <w:tcPr>
            <w:tcW w:w="33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521D07F" w14:textId="3992DFAE"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OG</w:t>
            </w:r>
          </w:p>
        </w:tc>
        <w:tc>
          <w:tcPr>
            <w:tcW w:w="31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F5D0F33" w14:textId="76E24201" w:rsidR="6F691FB8" w:rsidRPr="008902F2" w:rsidRDefault="6F691FB8" w:rsidP="6F691FB8">
            <w:pPr>
              <w:spacing w:after="0"/>
              <w:jc w:val="right"/>
              <w:rPr>
                <w:rFonts w:ascii="Times New Roman" w:hAnsi="Times New Roman"/>
                <w:color w:val="000000" w:themeColor="text1"/>
              </w:rPr>
            </w:pPr>
            <w:r w:rsidRPr="008902F2">
              <w:rPr>
                <w:rFonts w:ascii="Times New Roman" w:hAnsi="Times New Roman"/>
                <w:color w:val="000000" w:themeColor="text1"/>
              </w:rPr>
              <w:t>335,6</w:t>
            </w:r>
          </w:p>
        </w:tc>
      </w:tr>
    </w:tbl>
    <w:p w14:paraId="6BBE8131" w14:textId="1D95FFB4" w:rsidR="002C3099" w:rsidRPr="008902F2" w:rsidRDefault="002C3099" w:rsidP="6F691FB8">
      <w:pPr>
        <w:spacing w:after="0" w:line="240" w:lineRule="auto"/>
        <w:rPr>
          <w:rFonts w:ascii="Times New Roman" w:hAnsi="Times New Roman"/>
          <w:color w:val="000000" w:themeColor="text1"/>
        </w:rPr>
      </w:pPr>
    </w:p>
    <w:p w14:paraId="70A9720A" w14:textId="635CEFCF" w:rsidR="002C3099" w:rsidRPr="008902F2" w:rsidRDefault="6F691FB8" w:rsidP="6F691FB8">
      <w:pPr>
        <w:pStyle w:val="Balk4"/>
        <w:spacing w:before="0" w:after="240"/>
        <w:rPr>
          <w:rFonts w:ascii="Times New Roman" w:eastAsia="Calibri" w:hAnsi="Times New Roman" w:cs="Times New Roman"/>
          <w:color w:val="000000" w:themeColor="text1"/>
        </w:rPr>
      </w:pPr>
      <w:bookmarkStart w:id="142" w:name="_Toc143113425"/>
      <w:r w:rsidRPr="008902F2">
        <w:rPr>
          <w:rFonts w:ascii="Times New Roman" w:eastAsia="Calibri" w:hAnsi="Times New Roman" w:cs="Times New Roman"/>
          <w:i w:val="0"/>
          <w:iCs w:val="0"/>
          <w:color w:val="000000" w:themeColor="text1"/>
        </w:rPr>
        <w:t>4.</w:t>
      </w:r>
      <w:r w:rsidR="5228A735" w:rsidRPr="008902F2">
        <w:rPr>
          <w:rFonts w:ascii="Times New Roman" w:eastAsia="Calibri" w:hAnsi="Times New Roman" w:cs="Times New Roman"/>
          <w:i w:val="0"/>
          <w:iCs w:val="0"/>
          <w:color w:val="000000" w:themeColor="text1"/>
        </w:rPr>
        <w:t>1.2.3.</w:t>
      </w:r>
      <w:r w:rsidR="6BA9880E" w:rsidRPr="008902F2">
        <w:rPr>
          <w:rFonts w:ascii="Times New Roman" w:eastAsia="Calibri" w:hAnsi="Times New Roman" w:cs="Times New Roman"/>
          <w:i w:val="0"/>
          <w:iCs w:val="0"/>
          <w:color w:val="000000" w:themeColor="text1"/>
        </w:rPr>
        <w:t xml:space="preserve"> Security Deposit</w:t>
      </w:r>
      <w:bookmarkEnd w:id="142"/>
    </w:p>
    <w:p w14:paraId="1348D355" w14:textId="0A1E207E"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January 1, 2023, with the decision of the Regulatory Board numbered 11529-1, published in the Official Gazette dated 30.12.2022 and numbered 32059 (2nd Duplicate), the application of the security deposit fees listed in Table 4.10 has been decided.</w:t>
      </w:r>
    </w:p>
    <w:p w14:paraId="7DBB78C3" w14:textId="3535940A"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4.10: Security Deposit</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4830"/>
        <w:gridCol w:w="3360"/>
      </w:tblGrid>
      <w:tr w:rsidR="6F691FB8" w:rsidRPr="008902F2" w14:paraId="042C428D" w14:textId="77777777" w:rsidTr="6F691FB8">
        <w:trPr>
          <w:trHeight w:val="375"/>
        </w:trPr>
        <w:tc>
          <w:tcPr>
            <w:tcW w:w="48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D12A73E" w14:textId="35EF3FBB"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Subscriber Groups</w:t>
            </w:r>
          </w:p>
        </w:tc>
        <w:tc>
          <w:tcPr>
            <w:tcW w:w="33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0E300CC8" w14:textId="1CFBD2C8"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Assurance Unit Fee (TL/kW)</w:t>
            </w:r>
          </w:p>
        </w:tc>
      </w:tr>
      <w:tr w:rsidR="6F691FB8" w:rsidRPr="008902F2" w14:paraId="6C9B54BA" w14:textId="77777777" w:rsidTr="6F691FB8">
        <w:trPr>
          <w:trHeight w:val="300"/>
        </w:trPr>
        <w:tc>
          <w:tcPr>
            <w:tcW w:w="48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F23F7D8" w14:textId="07B7B617"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Industry and Commerce</w:t>
            </w:r>
          </w:p>
        </w:tc>
        <w:tc>
          <w:tcPr>
            <w:tcW w:w="33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D5A2A8D" w14:textId="5635B92B" w:rsidR="6F691FB8" w:rsidRPr="008902F2" w:rsidRDefault="6F691FB8" w:rsidP="6F691FB8">
            <w:pPr>
              <w:spacing w:after="0"/>
              <w:jc w:val="center"/>
              <w:rPr>
                <w:rFonts w:ascii="Times New Roman" w:hAnsi="Times New Roman"/>
                <w:color w:val="000000" w:themeColor="text1"/>
              </w:rPr>
            </w:pPr>
            <w:r w:rsidRPr="008902F2">
              <w:rPr>
                <w:rFonts w:ascii="Times New Roman" w:hAnsi="Times New Roman"/>
                <w:color w:val="000000" w:themeColor="text1"/>
              </w:rPr>
              <w:t>239,0</w:t>
            </w:r>
          </w:p>
        </w:tc>
      </w:tr>
      <w:tr w:rsidR="6F691FB8" w:rsidRPr="008902F2" w14:paraId="515FAA74" w14:textId="77777777" w:rsidTr="6F691FB8">
        <w:trPr>
          <w:trHeight w:val="300"/>
        </w:trPr>
        <w:tc>
          <w:tcPr>
            <w:tcW w:w="48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CB8A03B" w14:textId="59918ABF"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Domicile</w:t>
            </w:r>
          </w:p>
        </w:tc>
        <w:tc>
          <w:tcPr>
            <w:tcW w:w="33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08FD971" w14:textId="66A5086D" w:rsidR="6F691FB8" w:rsidRPr="008902F2" w:rsidRDefault="6F691FB8" w:rsidP="6F691FB8">
            <w:pPr>
              <w:spacing w:after="0"/>
              <w:jc w:val="center"/>
              <w:rPr>
                <w:rFonts w:ascii="Times New Roman" w:hAnsi="Times New Roman"/>
                <w:color w:val="000000" w:themeColor="text1"/>
              </w:rPr>
            </w:pPr>
            <w:r w:rsidRPr="008902F2">
              <w:rPr>
                <w:rFonts w:ascii="Times New Roman" w:hAnsi="Times New Roman"/>
                <w:color w:val="000000" w:themeColor="text1"/>
              </w:rPr>
              <w:t>84,1</w:t>
            </w:r>
          </w:p>
        </w:tc>
      </w:tr>
      <w:tr w:rsidR="6F691FB8" w:rsidRPr="008902F2" w14:paraId="56E6B3D6" w14:textId="77777777" w:rsidTr="6F691FB8">
        <w:trPr>
          <w:trHeight w:val="300"/>
        </w:trPr>
        <w:tc>
          <w:tcPr>
            <w:tcW w:w="48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266EB7C" w14:textId="031658F5"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Families of Martyrs and Veterans</w:t>
            </w:r>
          </w:p>
        </w:tc>
        <w:tc>
          <w:tcPr>
            <w:tcW w:w="33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15DC0F5" w14:textId="7B4B5D41" w:rsidR="6F691FB8" w:rsidRPr="008902F2" w:rsidRDefault="6F691FB8" w:rsidP="6F691FB8">
            <w:pPr>
              <w:spacing w:after="0"/>
              <w:jc w:val="center"/>
              <w:rPr>
                <w:rFonts w:ascii="Times New Roman" w:hAnsi="Times New Roman"/>
                <w:color w:val="000000" w:themeColor="text1"/>
              </w:rPr>
            </w:pPr>
            <w:r w:rsidRPr="008902F2">
              <w:rPr>
                <w:rFonts w:ascii="Times New Roman" w:hAnsi="Times New Roman"/>
                <w:color w:val="000000" w:themeColor="text1"/>
              </w:rPr>
              <w:t>42,0</w:t>
            </w:r>
          </w:p>
        </w:tc>
      </w:tr>
      <w:tr w:rsidR="6F691FB8" w:rsidRPr="008902F2" w14:paraId="6EFB8CD2" w14:textId="77777777" w:rsidTr="6F691FB8">
        <w:trPr>
          <w:trHeight w:val="300"/>
        </w:trPr>
        <w:tc>
          <w:tcPr>
            <w:tcW w:w="48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4E1EFF4" w14:textId="19976271"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Agricultural İrrigation, Lighting and Other</w:t>
            </w:r>
          </w:p>
        </w:tc>
        <w:tc>
          <w:tcPr>
            <w:tcW w:w="33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DE41B27" w14:textId="16E63A63" w:rsidR="6F691FB8" w:rsidRPr="008902F2" w:rsidRDefault="6F691FB8" w:rsidP="6F691FB8">
            <w:pPr>
              <w:spacing w:after="0"/>
              <w:jc w:val="center"/>
              <w:rPr>
                <w:rFonts w:ascii="Times New Roman" w:hAnsi="Times New Roman"/>
                <w:color w:val="000000" w:themeColor="text1"/>
              </w:rPr>
            </w:pPr>
            <w:r w:rsidRPr="008902F2">
              <w:rPr>
                <w:rFonts w:ascii="Times New Roman" w:hAnsi="Times New Roman"/>
                <w:color w:val="000000" w:themeColor="text1"/>
              </w:rPr>
              <w:t>113,4</w:t>
            </w:r>
          </w:p>
        </w:tc>
      </w:tr>
    </w:tbl>
    <w:p w14:paraId="5D1E6CC6" w14:textId="5BB114E0" w:rsidR="002C3099" w:rsidRPr="008902F2" w:rsidRDefault="002C3099" w:rsidP="6F691FB8">
      <w:pPr>
        <w:spacing w:after="240"/>
        <w:rPr>
          <w:rFonts w:ascii="Times New Roman" w:hAnsi="Times New Roman"/>
          <w:color w:val="000000" w:themeColor="text1"/>
        </w:rPr>
      </w:pPr>
    </w:p>
    <w:p w14:paraId="379AC8FD" w14:textId="26D230DA" w:rsidR="002C3099" w:rsidRPr="008902F2" w:rsidRDefault="6F691FB8" w:rsidP="6F691FB8">
      <w:pPr>
        <w:pStyle w:val="Balk4"/>
        <w:spacing w:before="0" w:after="240"/>
        <w:rPr>
          <w:rFonts w:ascii="Times New Roman" w:eastAsia="Calibri" w:hAnsi="Times New Roman" w:cs="Times New Roman"/>
          <w:color w:val="000000" w:themeColor="text1"/>
        </w:rPr>
      </w:pPr>
      <w:bookmarkStart w:id="143" w:name="_Toc143113426"/>
      <w:r w:rsidRPr="008902F2">
        <w:rPr>
          <w:rFonts w:ascii="Times New Roman" w:eastAsia="Calibri" w:hAnsi="Times New Roman" w:cs="Times New Roman"/>
          <w:i w:val="0"/>
          <w:iCs w:val="0"/>
          <w:color w:val="000000" w:themeColor="text1"/>
        </w:rPr>
        <w:t>4.</w:t>
      </w:r>
      <w:r w:rsidR="3DC41474" w:rsidRPr="008902F2">
        <w:rPr>
          <w:rFonts w:ascii="Times New Roman" w:eastAsia="Calibri" w:hAnsi="Times New Roman" w:cs="Times New Roman"/>
          <w:i w:val="0"/>
          <w:iCs w:val="0"/>
          <w:color w:val="000000" w:themeColor="text1"/>
        </w:rPr>
        <w:t xml:space="preserve">1.2.4. </w:t>
      </w:r>
      <w:r w:rsidR="6BA9880E" w:rsidRPr="008902F2">
        <w:rPr>
          <w:rFonts w:ascii="Times New Roman" w:eastAsia="Calibri" w:hAnsi="Times New Roman" w:cs="Times New Roman"/>
          <w:i w:val="0"/>
          <w:iCs w:val="0"/>
          <w:color w:val="000000" w:themeColor="text1"/>
        </w:rPr>
        <w:t>Meter Check Fee</w:t>
      </w:r>
      <w:bookmarkEnd w:id="143"/>
    </w:p>
    <w:p w14:paraId="2913CE10" w14:textId="0F5C2B57"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January 1, 2023, with the decision of the Regulatory Board numbered 11529-3, published in the Official Gazette dated 30.12.2022 and numbered 32059 (2nd Duplicate), the application of the meter inspection fees listed in Table 4.11 has been decided.</w:t>
      </w:r>
    </w:p>
    <w:p w14:paraId="5F126206" w14:textId="75244F23" w:rsidR="002C3099" w:rsidRPr="008902F2" w:rsidRDefault="002C3099" w:rsidP="6F691FB8">
      <w:pPr>
        <w:rPr>
          <w:rFonts w:ascii="Times New Roman" w:hAnsi="Times New Roman"/>
          <w:color w:val="000000" w:themeColor="text1"/>
        </w:rPr>
      </w:pPr>
    </w:p>
    <w:p w14:paraId="659EF38D" w14:textId="50E0A823"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4.11: Meter Check Fee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273"/>
        <w:gridCol w:w="2642"/>
      </w:tblGrid>
      <w:tr w:rsidR="6F691FB8" w:rsidRPr="008902F2" w14:paraId="6549DBD2" w14:textId="77777777" w:rsidTr="6F691FB8">
        <w:trPr>
          <w:trHeight w:val="360"/>
        </w:trPr>
        <w:tc>
          <w:tcPr>
            <w:tcW w:w="727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6A159B06" w14:textId="57AD9989"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Counter Type</w:t>
            </w:r>
          </w:p>
        </w:tc>
        <w:tc>
          <w:tcPr>
            <w:tcW w:w="26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3FA467C5" w14:textId="2B8B5285" w:rsidR="6F691FB8" w:rsidRPr="008902F2" w:rsidRDefault="6F691FB8" w:rsidP="6F691FB8">
            <w:pPr>
              <w:tabs>
                <w:tab w:val="left" w:pos="6828"/>
              </w:tabs>
              <w:rPr>
                <w:rFonts w:ascii="Times New Roman" w:hAnsi="Times New Roman"/>
                <w:color w:val="FFFFFF" w:themeColor="background1"/>
              </w:rPr>
            </w:pPr>
            <w:r w:rsidRPr="008902F2">
              <w:rPr>
                <w:rFonts w:ascii="Times New Roman" w:hAnsi="Times New Roman"/>
                <w:b/>
                <w:bCs/>
                <w:color w:val="FFFFFF" w:themeColor="background1"/>
              </w:rPr>
              <w:t xml:space="preserve">      Meter Check Fee (TL)</w:t>
            </w:r>
          </w:p>
        </w:tc>
      </w:tr>
      <w:tr w:rsidR="6F691FB8" w:rsidRPr="008902F2" w14:paraId="505D9745" w14:textId="77777777" w:rsidTr="6F691FB8">
        <w:trPr>
          <w:trHeight w:val="330"/>
        </w:trPr>
        <w:tc>
          <w:tcPr>
            <w:tcW w:w="727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7C0CE67" w14:textId="2D3EEA43" w:rsidR="6F691FB8" w:rsidRPr="008902F2" w:rsidRDefault="6F691FB8" w:rsidP="6F691FB8">
            <w:pPr>
              <w:tabs>
                <w:tab w:val="left" w:pos="6828"/>
              </w:tabs>
              <w:spacing w:after="0"/>
              <w:rPr>
                <w:rFonts w:ascii="Times New Roman" w:hAnsi="Times New Roman"/>
              </w:rPr>
            </w:pPr>
            <w:r w:rsidRPr="008902F2">
              <w:rPr>
                <w:rFonts w:ascii="Times New Roman" w:hAnsi="Times New Roman"/>
              </w:rPr>
              <w:t>Direct-connected single-phase active or three-phase active and/or reactive meters</w:t>
            </w:r>
          </w:p>
        </w:tc>
        <w:tc>
          <w:tcPr>
            <w:tcW w:w="26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493B32D" w14:textId="15454DBC" w:rsidR="6F691FB8" w:rsidRPr="008902F2" w:rsidRDefault="6F691FB8" w:rsidP="6F691FB8">
            <w:pPr>
              <w:tabs>
                <w:tab w:val="left" w:pos="6828"/>
              </w:tabs>
              <w:spacing w:after="0"/>
              <w:jc w:val="center"/>
              <w:rPr>
                <w:rFonts w:ascii="Times New Roman" w:hAnsi="Times New Roman"/>
              </w:rPr>
            </w:pPr>
            <w:r w:rsidRPr="008902F2">
              <w:rPr>
                <w:rFonts w:ascii="Times New Roman" w:hAnsi="Times New Roman"/>
              </w:rPr>
              <w:t>62,1</w:t>
            </w:r>
          </w:p>
        </w:tc>
      </w:tr>
      <w:tr w:rsidR="6F691FB8" w:rsidRPr="008902F2" w14:paraId="36611407" w14:textId="77777777" w:rsidTr="6F691FB8">
        <w:trPr>
          <w:trHeight w:val="360"/>
        </w:trPr>
        <w:tc>
          <w:tcPr>
            <w:tcW w:w="727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64E54C7" w14:textId="7D449A0B" w:rsidR="6F691FB8" w:rsidRPr="008902F2" w:rsidRDefault="6F691FB8" w:rsidP="6F691FB8">
            <w:pPr>
              <w:tabs>
                <w:tab w:val="left" w:pos="6828"/>
              </w:tabs>
              <w:spacing w:after="0"/>
              <w:rPr>
                <w:rFonts w:ascii="Times New Roman" w:hAnsi="Times New Roman"/>
              </w:rPr>
            </w:pPr>
            <w:r w:rsidRPr="008902F2">
              <w:rPr>
                <w:rFonts w:ascii="Times New Roman" w:hAnsi="Times New Roman"/>
              </w:rPr>
              <w:t>Current transformer and/or voltage transformer active and/or reactive meters.</w:t>
            </w:r>
          </w:p>
        </w:tc>
        <w:tc>
          <w:tcPr>
            <w:tcW w:w="26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B3807AC" w14:textId="2A304EA5" w:rsidR="6F691FB8" w:rsidRPr="008902F2" w:rsidRDefault="6F691FB8" w:rsidP="6F691FB8">
            <w:pPr>
              <w:tabs>
                <w:tab w:val="left" w:pos="6828"/>
              </w:tabs>
              <w:spacing w:after="0"/>
              <w:jc w:val="center"/>
              <w:rPr>
                <w:rFonts w:ascii="Times New Roman" w:hAnsi="Times New Roman"/>
              </w:rPr>
            </w:pPr>
            <w:r w:rsidRPr="008902F2">
              <w:rPr>
                <w:rFonts w:ascii="Times New Roman" w:hAnsi="Times New Roman"/>
              </w:rPr>
              <w:t>78,7</w:t>
            </w:r>
          </w:p>
        </w:tc>
      </w:tr>
    </w:tbl>
    <w:p w14:paraId="53C98C24" w14:textId="57D8464F" w:rsidR="002C3099" w:rsidRPr="008902F2" w:rsidRDefault="002C3099" w:rsidP="6F691FB8">
      <w:pPr>
        <w:spacing w:after="0" w:line="240" w:lineRule="auto"/>
        <w:rPr>
          <w:rFonts w:ascii="Times New Roman" w:hAnsi="Times New Roman"/>
          <w:color w:val="000000" w:themeColor="text1"/>
        </w:rPr>
      </w:pPr>
    </w:p>
    <w:p w14:paraId="74B8E02F" w14:textId="1B3C20E0"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In addition to the mentioned regulations;</w:t>
      </w:r>
    </w:p>
    <w:p w14:paraId="5810C48C" w14:textId="6B1934B0"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 With the decision of the Regulatory Board numbered 11529-5, published in the Official Gazette dated 30.12.2022 and numbered 32059 (2nd Duplicate) on 29.12.2022, the application fee for unlicensed electricity generation for the year 2023, which can be collected by the distribution system operator, has been determined as shown in Table 4.12 in accordance with the second paragraph of Article 36 of the Regulation on Unlicensed Electricity Generation in the Electricity Market.</w:t>
      </w:r>
    </w:p>
    <w:p w14:paraId="46F8B705" w14:textId="57D874EB"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4.12: Unlicensed Production Application Fee (Distribution Companies)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3720"/>
      </w:tblGrid>
      <w:tr w:rsidR="6F691FB8" w:rsidRPr="008902F2" w14:paraId="72C2AAF5"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80F6306" w14:textId="1A53B021"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Installed power</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18EE011C" w14:textId="7C93EE13"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Application Fee (TL/Year)</w:t>
            </w:r>
          </w:p>
        </w:tc>
      </w:tr>
      <w:tr w:rsidR="6F691FB8" w:rsidRPr="008902F2" w14:paraId="6207CA01"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36D70A2" w14:textId="06501D58" w:rsidR="6F691FB8" w:rsidRPr="008902F2" w:rsidRDefault="6F691FB8" w:rsidP="6F691FB8">
            <w:pPr>
              <w:tabs>
                <w:tab w:val="left" w:pos="6828"/>
              </w:tabs>
              <w:spacing w:after="0"/>
              <w:rPr>
                <w:rFonts w:ascii="Times New Roman" w:hAnsi="Times New Roman"/>
              </w:rPr>
            </w:pPr>
            <w:r w:rsidRPr="008902F2">
              <w:rPr>
                <w:rFonts w:ascii="Times New Roman" w:hAnsi="Times New Roman"/>
              </w:rPr>
              <w:t xml:space="preserve">0-25 kW (included)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1C3EBE4" w14:textId="0B18826F" w:rsidR="6F691FB8" w:rsidRPr="008902F2" w:rsidRDefault="6F691FB8" w:rsidP="6F691FB8">
            <w:pPr>
              <w:tabs>
                <w:tab w:val="left" w:pos="6828"/>
              </w:tabs>
              <w:spacing w:after="0"/>
              <w:jc w:val="right"/>
              <w:rPr>
                <w:rFonts w:ascii="Times New Roman" w:hAnsi="Times New Roman"/>
              </w:rPr>
            </w:pPr>
            <w:r w:rsidRPr="008902F2">
              <w:rPr>
                <w:rFonts w:ascii="Times New Roman" w:hAnsi="Times New Roman"/>
              </w:rPr>
              <w:t>0</w:t>
            </w:r>
          </w:p>
        </w:tc>
      </w:tr>
      <w:tr w:rsidR="6F691FB8" w:rsidRPr="008902F2" w14:paraId="6FD837FE"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2DDA1C3" w14:textId="57E95A83" w:rsidR="6F691FB8" w:rsidRPr="008902F2" w:rsidRDefault="6F691FB8" w:rsidP="6F691FB8">
            <w:pPr>
              <w:tabs>
                <w:tab w:val="left" w:pos="6828"/>
              </w:tabs>
              <w:spacing w:after="0"/>
              <w:rPr>
                <w:rFonts w:ascii="Times New Roman" w:hAnsi="Times New Roman"/>
              </w:rPr>
            </w:pPr>
            <w:r w:rsidRPr="008902F2">
              <w:rPr>
                <w:rFonts w:ascii="Times New Roman" w:hAnsi="Times New Roman"/>
              </w:rPr>
              <w:t xml:space="preserve">25-250 kW (included)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76F65DD" w14:textId="43934502" w:rsidR="6F691FB8" w:rsidRPr="008902F2" w:rsidRDefault="6F691FB8" w:rsidP="6F691FB8">
            <w:pPr>
              <w:tabs>
                <w:tab w:val="left" w:pos="6828"/>
              </w:tabs>
              <w:spacing w:after="0"/>
              <w:jc w:val="right"/>
              <w:rPr>
                <w:rFonts w:ascii="Times New Roman" w:hAnsi="Times New Roman"/>
              </w:rPr>
            </w:pPr>
            <w:r w:rsidRPr="008902F2">
              <w:rPr>
                <w:rFonts w:ascii="Times New Roman" w:hAnsi="Times New Roman"/>
              </w:rPr>
              <w:t>1059,7</w:t>
            </w:r>
          </w:p>
        </w:tc>
      </w:tr>
      <w:tr w:rsidR="6F691FB8" w:rsidRPr="008902F2" w14:paraId="75085EF1"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69538BD" w14:textId="0BCA7F04" w:rsidR="6F691FB8" w:rsidRPr="008902F2" w:rsidRDefault="6F691FB8" w:rsidP="6F691FB8">
            <w:pPr>
              <w:tabs>
                <w:tab w:val="left" w:pos="6828"/>
              </w:tabs>
              <w:spacing w:after="0"/>
              <w:rPr>
                <w:rFonts w:ascii="Times New Roman" w:hAnsi="Times New Roman"/>
              </w:rPr>
            </w:pPr>
            <w:r w:rsidRPr="008902F2">
              <w:rPr>
                <w:rFonts w:ascii="Times New Roman" w:hAnsi="Times New Roman"/>
              </w:rPr>
              <w:t xml:space="preserve">250 kW-5MW (included)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333F79B" w14:textId="1E823B8B" w:rsidR="6F691FB8" w:rsidRPr="008902F2" w:rsidRDefault="6F691FB8" w:rsidP="6F691FB8">
            <w:pPr>
              <w:tabs>
                <w:tab w:val="left" w:pos="6828"/>
              </w:tabs>
              <w:spacing w:after="0"/>
              <w:jc w:val="right"/>
              <w:rPr>
                <w:rFonts w:ascii="Times New Roman" w:hAnsi="Times New Roman"/>
              </w:rPr>
            </w:pPr>
            <w:r w:rsidRPr="008902F2">
              <w:rPr>
                <w:rFonts w:ascii="Times New Roman" w:hAnsi="Times New Roman"/>
              </w:rPr>
              <w:t>2119,4</w:t>
            </w:r>
          </w:p>
        </w:tc>
      </w:tr>
      <w:tr w:rsidR="6F691FB8" w:rsidRPr="008902F2" w14:paraId="51060B98"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6AD4209" w14:textId="2A8B4DC4" w:rsidR="6F691FB8" w:rsidRPr="008902F2" w:rsidRDefault="6F691FB8" w:rsidP="6F691FB8">
            <w:pPr>
              <w:tabs>
                <w:tab w:val="left" w:pos="6828"/>
              </w:tabs>
              <w:spacing w:after="0"/>
              <w:rPr>
                <w:rFonts w:ascii="Times New Roman" w:hAnsi="Times New Roman"/>
              </w:rPr>
            </w:pPr>
            <w:r w:rsidRPr="008902F2">
              <w:rPr>
                <w:rFonts w:ascii="Times New Roman" w:hAnsi="Times New Roman"/>
              </w:rPr>
              <w:t xml:space="preserve">Above 5 MW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91A86E9" w14:textId="2B71261C" w:rsidR="6F691FB8" w:rsidRPr="008902F2" w:rsidRDefault="6F691FB8" w:rsidP="6F691FB8">
            <w:pPr>
              <w:tabs>
                <w:tab w:val="left" w:pos="6828"/>
              </w:tabs>
              <w:spacing w:after="0"/>
              <w:jc w:val="right"/>
              <w:rPr>
                <w:rFonts w:ascii="Times New Roman" w:hAnsi="Times New Roman"/>
              </w:rPr>
            </w:pPr>
            <w:r w:rsidRPr="008902F2">
              <w:rPr>
                <w:rFonts w:ascii="Times New Roman" w:hAnsi="Times New Roman"/>
              </w:rPr>
              <w:t>4238,7</w:t>
            </w:r>
          </w:p>
        </w:tc>
      </w:tr>
    </w:tbl>
    <w:p w14:paraId="1DCDF672" w14:textId="61775405" w:rsidR="002C3099" w:rsidRPr="008902F2" w:rsidRDefault="002C3099" w:rsidP="6F691FB8">
      <w:pPr>
        <w:tabs>
          <w:tab w:val="left" w:pos="6828"/>
        </w:tabs>
        <w:spacing w:after="0"/>
        <w:rPr>
          <w:rFonts w:ascii="Times New Roman" w:hAnsi="Times New Roman"/>
          <w:color w:val="000000" w:themeColor="text1"/>
        </w:rPr>
      </w:pPr>
    </w:p>
    <w:p w14:paraId="0B21BA15" w14:textId="228E0963"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 With the decision of the Regulatory Board numbered 11529-6, published in the Official Gazette dated 30.12.2022 and numbered 32059 (2nd Duplicate) on 29.12.2022, the annual unlicensed generation operation fee that can be collected by the authorized supply companies for the year 2023, in accordance with the second paragraph of Article 36 of the Regulation on Unlicensed Electricity Generation in the Electricity Market, has been determined as shown in Table 4.13.</w:t>
      </w:r>
    </w:p>
    <w:p w14:paraId="6C3F8FA4" w14:textId="6F85D759"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4.13: Unlicensed Production Operating Cost (Assigned Supply Companies)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3720"/>
      </w:tblGrid>
      <w:tr w:rsidR="6F691FB8" w:rsidRPr="008902F2" w14:paraId="5466EBA7"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3FF284D1" w14:textId="5100EB57"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Installed Power</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60E62801" w14:textId="3E7F2D94"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Application Fee (TL/Year)</w:t>
            </w:r>
          </w:p>
        </w:tc>
      </w:tr>
      <w:tr w:rsidR="6F691FB8" w:rsidRPr="008902F2" w14:paraId="109290C8"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FF58EAC" w14:textId="4E251C08" w:rsidR="6F691FB8" w:rsidRPr="008902F2" w:rsidRDefault="6F691FB8" w:rsidP="6F691FB8">
            <w:pPr>
              <w:tabs>
                <w:tab w:val="left" w:pos="6828"/>
              </w:tabs>
              <w:rPr>
                <w:rFonts w:ascii="Times New Roman" w:hAnsi="Times New Roman"/>
              </w:rPr>
            </w:pPr>
            <w:r w:rsidRPr="008902F2">
              <w:rPr>
                <w:rFonts w:ascii="Times New Roman" w:hAnsi="Times New Roman"/>
              </w:rPr>
              <w:t>0-25 kW (included)</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68A93EA" w14:textId="0A4DE4DD" w:rsidR="6F691FB8" w:rsidRPr="008902F2" w:rsidRDefault="6F691FB8" w:rsidP="6F691FB8">
            <w:pPr>
              <w:tabs>
                <w:tab w:val="left" w:pos="6828"/>
              </w:tabs>
              <w:jc w:val="right"/>
              <w:rPr>
                <w:rFonts w:ascii="Times New Roman" w:hAnsi="Times New Roman"/>
              </w:rPr>
            </w:pPr>
            <w:r w:rsidRPr="008902F2">
              <w:rPr>
                <w:rFonts w:ascii="Times New Roman" w:hAnsi="Times New Roman"/>
              </w:rPr>
              <w:t>0</w:t>
            </w:r>
          </w:p>
        </w:tc>
      </w:tr>
      <w:tr w:rsidR="6F691FB8" w:rsidRPr="008902F2" w14:paraId="06B6F685"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9BFC630" w14:textId="085A1FD4" w:rsidR="6F691FB8" w:rsidRPr="008902F2" w:rsidRDefault="6F691FB8" w:rsidP="6F691FB8">
            <w:pPr>
              <w:tabs>
                <w:tab w:val="left" w:pos="6828"/>
              </w:tabs>
              <w:rPr>
                <w:rFonts w:ascii="Times New Roman" w:hAnsi="Times New Roman"/>
              </w:rPr>
            </w:pPr>
            <w:r w:rsidRPr="008902F2">
              <w:rPr>
                <w:rFonts w:ascii="Times New Roman" w:hAnsi="Times New Roman"/>
              </w:rPr>
              <w:t>25-250 kW (included)</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183DF25" w14:textId="0F438F1E" w:rsidR="6F691FB8" w:rsidRPr="008902F2" w:rsidRDefault="6F691FB8" w:rsidP="6F691FB8">
            <w:pPr>
              <w:tabs>
                <w:tab w:val="left" w:pos="6828"/>
              </w:tabs>
              <w:jc w:val="right"/>
              <w:rPr>
                <w:rFonts w:ascii="Times New Roman" w:hAnsi="Times New Roman"/>
              </w:rPr>
            </w:pPr>
            <w:r w:rsidRPr="008902F2">
              <w:rPr>
                <w:rFonts w:ascii="Times New Roman" w:hAnsi="Times New Roman"/>
              </w:rPr>
              <w:t>2.119,4</w:t>
            </w:r>
          </w:p>
        </w:tc>
      </w:tr>
      <w:tr w:rsidR="6F691FB8" w:rsidRPr="008902F2" w14:paraId="3107764E"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00EA4FD" w14:textId="3EB1FF5E" w:rsidR="6F691FB8" w:rsidRPr="008902F2" w:rsidRDefault="6F691FB8" w:rsidP="6F691FB8">
            <w:pPr>
              <w:tabs>
                <w:tab w:val="left" w:pos="6828"/>
              </w:tabs>
              <w:rPr>
                <w:rFonts w:ascii="Times New Roman" w:hAnsi="Times New Roman"/>
              </w:rPr>
            </w:pPr>
            <w:r w:rsidRPr="008902F2">
              <w:rPr>
                <w:rFonts w:ascii="Times New Roman" w:hAnsi="Times New Roman"/>
              </w:rPr>
              <w:t>250 kW-5 MW (included)</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B70947C" w14:textId="65C9DADC" w:rsidR="6F691FB8" w:rsidRPr="008902F2" w:rsidRDefault="6F691FB8" w:rsidP="6F691FB8">
            <w:pPr>
              <w:tabs>
                <w:tab w:val="left" w:pos="6828"/>
              </w:tabs>
              <w:jc w:val="right"/>
              <w:rPr>
                <w:rFonts w:ascii="Times New Roman" w:hAnsi="Times New Roman"/>
              </w:rPr>
            </w:pPr>
            <w:r w:rsidRPr="008902F2">
              <w:rPr>
                <w:rFonts w:ascii="Times New Roman" w:hAnsi="Times New Roman"/>
              </w:rPr>
              <w:t>4238,7</w:t>
            </w:r>
          </w:p>
        </w:tc>
      </w:tr>
      <w:tr w:rsidR="6F691FB8" w:rsidRPr="008902F2" w14:paraId="570806C1"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4F67F66" w14:textId="52DC2B82" w:rsidR="6F691FB8" w:rsidRPr="008902F2" w:rsidRDefault="6F691FB8" w:rsidP="6F691FB8">
            <w:pPr>
              <w:tabs>
                <w:tab w:val="left" w:pos="6828"/>
              </w:tabs>
              <w:rPr>
                <w:rFonts w:ascii="Times New Roman" w:hAnsi="Times New Roman"/>
              </w:rPr>
            </w:pPr>
            <w:r w:rsidRPr="008902F2">
              <w:rPr>
                <w:rFonts w:ascii="Times New Roman" w:hAnsi="Times New Roman"/>
              </w:rPr>
              <w:t>Above 5 MW</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3725D693" w14:textId="50DB1D37" w:rsidR="6F691FB8" w:rsidRPr="008902F2" w:rsidRDefault="6F691FB8" w:rsidP="6F691FB8">
            <w:pPr>
              <w:tabs>
                <w:tab w:val="left" w:pos="6828"/>
              </w:tabs>
              <w:jc w:val="right"/>
              <w:rPr>
                <w:rFonts w:ascii="Times New Roman" w:hAnsi="Times New Roman"/>
              </w:rPr>
            </w:pPr>
            <w:r w:rsidRPr="008902F2">
              <w:rPr>
                <w:rFonts w:ascii="Times New Roman" w:hAnsi="Times New Roman"/>
              </w:rPr>
              <w:t>8477,3</w:t>
            </w:r>
          </w:p>
        </w:tc>
      </w:tr>
    </w:tbl>
    <w:p w14:paraId="4217026B" w14:textId="7EB99366" w:rsidR="002C3099" w:rsidRPr="008902F2" w:rsidRDefault="002C3099" w:rsidP="6F691FB8">
      <w:pPr>
        <w:spacing w:after="0"/>
        <w:rPr>
          <w:rFonts w:ascii="Times New Roman" w:hAnsi="Times New Roman"/>
          <w:color w:val="000000" w:themeColor="text1"/>
        </w:rPr>
      </w:pPr>
    </w:p>
    <w:p w14:paraId="05567204" w14:textId="72E8C872"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 With the decision of the Regulatory Board numbered 11529-7, published in the Official Gazette dated 30.12.2022 and numbered 32059 (2nd Duplicate) on 29.12.2022, the annual unlicensed generation operation fee that can be collected by electricity distribution companies for the year 2023, in accordance with the second paragraph of Article 36 of the Regulation on Unlicensed Electricity Generation in the Electricity Market, has been determined as shown in Table 4.14.</w:t>
      </w:r>
    </w:p>
    <w:p w14:paraId="3C34E1FD" w14:textId="2458D12D"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lastRenderedPageBreak/>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4.14: Unlicensed Generation Operating Cost (Electricity Distribution Companies)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3720"/>
      </w:tblGrid>
      <w:tr w:rsidR="6F691FB8" w:rsidRPr="008902F2" w14:paraId="183CC33F"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4B35B4FB" w14:textId="22BDDA4D"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Installed Power</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0DA6073D" w14:textId="08A551A4" w:rsidR="6F691FB8" w:rsidRPr="008902F2" w:rsidRDefault="6F691FB8" w:rsidP="6F691FB8">
            <w:pPr>
              <w:tabs>
                <w:tab w:val="left" w:pos="6828"/>
              </w:tabs>
              <w:jc w:val="center"/>
              <w:rPr>
                <w:rFonts w:ascii="Times New Roman" w:hAnsi="Times New Roman"/>
                <w:color w:val="FFFFFF" w:themeColor="background1"/>
              </w:rPr>
            </w:pPr>
            <w:r w:rsidRPr="008902F2">
              <w:rPr>
                <w:rFonts w:ascii="Times New Roman" w:hAnsi="Times New Roman"/>
                <w:b/>
                <w:bCs/>
                <w:color w:val="FFFFFF" w:themeColor="background1"/>
              </w:rPr>
              <w:t>Application Fee (TL/Year)</w:t>
            </w:r>
          </w:p>
        </w:tc>
      </w:tr>
      <w:tr w:rsidR="6F691FB8" w:rsidRPr="008902F2" w14:paraId="3272D717"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6644DCD" w14:textId="5D3F5CEC" w:rsidR="6F691FB8" w:rsidRPr="008902F2" w:rsidRDefault="6F691FB8" w:rsidP="6F691FB8">
            <w:pPr>
              <w:tabs>
                <w:tab w:val="left" w:pos="6828"/>
              </w:tabs>
              <w:rPr>
                <w:rFonts w:ascii="Times New Roman" w:hAnsi="Times New Roman"/>
              </w:rPr>
            </w:pPr>
            <w:r w:rsidRPr="008902F2">
              <w:rPr>
                <w:rFonts w:ascii="Times New Roman" w:hAnsi="Times New Roman"/>
              </w:rPr>
              <w:t>0-25 kW (included)</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F9E5766" w14:textId="31A13FED" w:rsidR="6F691FB8" w:rsidRPr="008902F2" w:rsidRDefault="6F691FB8" w:rsidP="6F691FB8">
            <w:pPr>
              <w:tabs>
                <w:tab w:val="left" w:pos="6828"/>
              </w:tabs>
              <w:jc w:val="right"/>
              <w:rPr>
                <w:rFonts w:ascii="Times New Roman" w:hAnsi="Times New Roman"/>
              </w:rPr>
            </w:pPr>
            <w:r w:rsidRPr="008902F2">
              <w:rPr>
                <w:rFonts w:ascii="Times New Roman" w:hAnsi="Times New Roman"/>
              </w:rPr>
              <w:t>0</w:t>
            </w:r>
          </w:p>
        </w:tc>
      </w:tr>
      <w:tr w:rsidR="6F691FB8" w:rsidRPr="008902F2" w14:paraId="64EF4E9D"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D5501C1" w14:textId="6EAABECE" w:rsidR="6F691FB8" w:rsidRPr="008902F2" w:rsidRDefault="6F691FB8" w:rsidP="6F691FB8">
            <w:pPr>
              <w:tabs>
                <w:tab w:val="left" w:pos="6828"/>
              </w:tabs>
              <w:rPr>
                <w:rFonts w:ascii="Times New Roman" w:hAnsi="Times New Roman"/>
              </w:rPr>
            </w:pPr>
            <w:r w:rsidRPr="008902F2">
              <w:rPr>
                <w:rFonts w:ascii="Times New Roman" w:hAnsi="Times New Roman"/>
              </w:rPr>
              <w:t xml:space="preserve">25-250 kW (included)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DCAA88B" w14:textId="73153D25" w:rsidR="6F691FB8" w:rsidRPr="008902F2" w:rsidRDefault="6F691FB8" w:rsidP="6F691FB8">
            <w:pPr>
              <w:tabs>
                <w:tab w:val="left" w:pos="6828"/>
              </w:tabs>
              <w:jc w:val="right"/>
              <w:rPr>
                <w:rFonts w:ascii="Times New Roman" w:hAnsi="Times New Roman"/>
              </w:rPr>
            </w:pPr>
            <w:r w:rsidRPr="008902F2">
              <w:rPr>
                <w:rFonts w:ascii="Times New Roman" w:hAnsi="Times New Roman"/>
              </w:rPr>
              <w:t>2963,3</w:t>
            </w:r>
          </w:p>
        </w:tc>
      </w:tr>
      <w:tr w:rsidR="6F691FB8" w:rsidRPr="008902F2" w14:paraId="5A3BBC19"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8215225" w14:textId="79657CFB" w:rsidR="6F691FB8" w:rsidRPr="008902F2" w:rsidRDefault="6F691FB8" w:rsidP="6F691FB8">
            <w:pPr>
              <w:tabs>
                <w:tab w:val="left" w:pos="6828"/>
              </w:tabs>
              <w:rPr>
                <w:rFonts w:ascii="Times New Roman" w:hAnsi="Times New Roman"/>
              </w:rPr>
            </w:pPr>
            <w:r w:rsidRPr="008902F2">
              <w:rPr>
                <w:rFonts w:ascii="Times New Roman" w:hAnsi="Times New Roman"/>
              </w:rPr>
              <w:t>250 kW-5 MW (included)</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B47B585" w14:textId="094340EA" w:rsidR="6F691FB8" w:rsidRPr="008902F2" w:rsidRDefault="6F691FB8" w:rsidP="6F691FB8">
            <w:pPr>
              <w:tabs>
                <w:tab w:val="left" w:pos="6828"/>
              </w:tabs>
              <w:jc w:val="right"/>
              <w:rPr>
                <w:rFonts w:ascii="Times New Roman" w:hAnsi="Times New Roman"/>
              </w:rPr>
            </w:pPr>
            <w:r w:rsidRPr="008902F2">
              <w:rPr>
                <w:rFonts w:ascii="Times New Roman" w:hAnsi="Times New Roman"/>
              </w:rPr>
              <w:t>5926,5</w:t>
            </w:r>
          </w:p>
        </w:tc>
      </w:tr>
      <w:tr w:rsidR="6F691FB8" w:rsidRPr="008902F2" w14:paraId="30F0451C" w14:textId="77777777" w:rsidTr="6F691FB8">
        <w:trPr>
          <w:trHeight w:val="300"/>
        </w:trPr>
        <w:tc>
          <w:tcPr>
            <w:tcW w:w="37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68DCE5E" w14:textId="58B78F0F" w:rsidR="6F691FB8" w:rsidRPr="008902F2" w:rsidRDefault="6F691FB8" w:rsidP="6F691FB8">
            <w:pPr>
              <w:tabs>
                <w:tab w:val="left" w:pos="6828"/>
              </w:tabs>
              <w:rPr>
                <w:rFonts w:ascii="Times New Roman" w:hAnsi="Times New Roman"/>
              </w:rPr>
            </w:pPr>
            <w:r w:rsidRPr="008902F2">
              <w:rPr>
                <w:rFonts w:ascii="Times New Roman" w:hAnsi="Times New Roman"/>
              </w:rPr>
              <w:t xml:space="preserve">Above 5 MW </w:t>
            </w:r>
          </w:p>
        </w:tc>
        <w:tc>
          <w:tcPr>
            <w:tcW w:w="37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7BB2AA0" w14:textId="1654AC10" w:rsidR="6F691FB8" w:rsidRPr="008902F2" w:rsidRDefault="6F691FB8" w:rsidP="6F691FB8">
            <w:pPr>
              <w:tabs>
                <w:tab w:val="left" w:pos="6828"/>
              </w:tabs>
              <w:jc w:val="right"/>
              <w:rPr>
                <w:rFonts w:ascii="Times New Roman" w:hAnsi="Times New Roman"/>
              </w:rPr>
            </w:pPr>
            <w:r w:rsidRPr="008902F2">
              <w:rPr>
                <w:rFonts w:ascii="Times New Roman" w:hAnsi="Times New Roman"/>
              </w:rPr>
              <w:t>11852,8</w:t>
            </w:r>
          </w:p>
        </w:tc>
      </w:tr>
    </w:tbl>
    <w:p w14:paraId="7697CACF" w14:textId="15959AAE" w:rsidR="002C3099" w:rsidRPr="008902F2" w:rsidRDefault="002C3099" w:rsidP="6F691FB8">
      <w:pPr>
        <w:keepNext/>
        <w:keepLines/>
        <w:spacing w:after="0"/>
        <w:ind w:left="720"/>
        <w:rPr>
          <w:rFonts w:ascii="Times New Roman" w:hAnsi="Times New Roman"/>
          <w:b/>
          <w:bCs/>
          <w:color w:val="000000" w:themeColor="text1"/>
        </w:rPr>
      </w:pPr>
    </w:p>
    <w:p w14:paraId="063FAD90" w14:textId="33885A8E" w:rsidR="002C3099" w:rsidRPr="008902F2" w:rsidRDefault="6F691FB8" w:rsidP="6F691FB8">
      <w:pPr>
        <w:pStyle w:val="Balk3"/>
        <w:spacing w:before="0"/>
        <w:rPr>
          <w:rFonts w:ascii="Times New Roman" w:eastAsia="Calibri" w:hAnsi="Times New Roman" w:cs="Times New Roman"/>
          <w:color w:val="000000" w:themeColor="text1"/>
        </w:rPr>
      </w:pPr>
      <w:bookmarkStart w:id="144" w:name="_Toc143113427"/>
      <w:r w:rsidRPr="008902F2">
        <w:rPr>
          <w:rFonts w:ascii="Times New Roman" w:eastAsia="Calibri" w:hAnsi="Times New Roman" w:cs="Times New Roman"/>
          <w:color w:val="000000" w:themeColor="text1"/>
        </w:rPr>
        <w:t>4.</w:t>
      </w:r>
      <w:r w:rsidR="0E6114E4" w:rsidRPr="008902F2">
        <w:rPr>
          <w:rFonts w:ascii="Times New Roman" w:eastAsia="Calibri" w:hAnsi="Times New Roman" w:cs="Times New Roman"/>
          <w:color w:val="000000" w:themeColor="text1"/>
        </w:rPr>
        <w:t xml:space="preserve">1.3. </w:t>
      </w:r>
      <w:r w:rsidR="6BA9880E" w:rsidRPr="008902F2">
        <w:rPr>
          <w:rFonts w:ascii="Times New Roman" w:eastAsia="Calibri" w:hAnsi="Times New Roman" w:cs="Times New Roman"/>
          <w:color w:val="000000" w:themeColor="text1"/>
        </w:rPr>
        <w:t>Market Operation Tariff</w:t>
      </w:r>
      <w:bookmarkEnd w:id="144"/>
    </w:p>
    <w:p w14:paraId="0FD915FC" w14:textId="132B376A" w:rsidR="002C3099" w:rsidRPr="008902F2" w:rsidRDefault="6BA9880E" w:rsidP="6F691FB8">
      <w:pPr>
        <w:spacing w:before="120" w:after="120"/>
        <w:rPr>
          <w:rFonts w:ascii="Times New Roman" w:hAnsi="Times New Roman"/>
          <w:color w:val="000000" w:themeColor="text1"/>
        </w:rPr>
      </w:pPr>
      <w:r w:rsidRPr="008902F2">
        <w:rPr>
          <w:rFonts w:ascii="Times New Roman" w:hAnsi="Times New Roman"/>
          <w:color w:val="000000" w:themeColor="text1"/>
        </w:rPr>
        <w:t>With the decision of the Regulatory Board numbered 11435, published in the Official Gazette dated 13.12.2022 and numbered 32042, EPİAŞ's market operation revenue ceiling for the year 2023 has been determined as shown in Table 4.15.</w:t>
      </w:r>
    </w:p>
    <w:p w14:paraId="4B0C6D6A" w14:textId="71D103B6" w:rsidR="002C3099" w:rsidRPr="008902F2" w:rsidRDefault="6BA9880E" w:rsidP="6F691FB8">
      <w:pPr>
        <w:spacing w:before="120" w:after="120"/>
        <w:rPr>
          <w:rFonts w:ascii="Times New Roman" w:hAnsi="Times New Roman"/>
          <w:color w:val="000000" w:themeColor="text1"/>
        </w:rPr>
      </w:pPr>
      <w:r w:rsidRPr="008902F2">
        <w:rPr>
          <w:rFonts w:ascii="Times New Roman" w:hAnsi="Times New Roman"/>
          <w:color w:val="000000" w:themeColor="text1"/>
        </w:rPr>
        <w:t>In addition, the following fees and implementation methods have been approved for the year 2023, as specified in the respective decisions published in the Official Gazette dated 13.12.2022 and numbered 32042:</w:t>
      </w:r>
    </w:p>
    <w:p w14:paraId="647F23BF" w14:textId="5002527D" w:rsidR="002C3099" w:rsidRPr="008902F2" w:rsidRDefault="6BA9880E" w:rsidP="00A86526">
      <w:pPr>
        <w:pStyle w:val="ListeParagraf"/>
        <w:numPr>
          <w:ilvl w:val="0"/>
          <w:numId w:val="18"/>
        </w:numPr>
        <w:spacing w:before="120" w:after="120"/>
        <w:rPr>
          <w:rFonts w:ascii="Times New Roman" w:hAnsi="Times New Roman"/>
          <w:color w:val="000000" w:themeColor="text1"/>
        </w:rPr>
      </w:pPr>
      <w:r w:rsidRPr="008902F2">
        <w:rPr>
          <w:rFonts w:ascii="Times New Roman" w:hAnsi="Times New Roman"/>
          <w:color w:val="000000" w:themeColor="text1"/>
        </w:rPr>
        <w:t>Decisions numbered 11436-1: Fees and Implementation Method for Covering the Market Operation Revenue Ceiling for 2023 in the Electricity Market.</w:t>
      </w:r>
    </w:p>
    <w:p w14:paraId="24AE0BD7" w14:textId="41414C1B" w:rsidR="002C3099" w:rsidRPr="008902F2" w:rsidRDefault="6BA9880E" w:rsidP="00A86526">
      <w:pPr>
        <w:pStyle w:val="ListeParagraf"/>
        <w:numPr>
          <w:ilvl w:val="0"/>
          <w:numId w:val="18"/>
        </w:numPr>
        <w:spacing w:before="120" w:after="120"/>
        <w:rPr>
          <w:rFonts w:ascii="Times New Roman" w:hAnsi="Times New Roman"/>
          <w:color w:val="000000" w:themeColor="text1"/>
        </w:rPr>
      </w:pPr>
      <w:r w:rsidRPr="008902F2">
        <w:rPr>
          <w:rFonts w:ascii="Times New Roman" w:hAnsi="Times New Roman"/>
          <w:color w:val="000000" w:themeColor="text1"/>
        </w:rPr>
        <w:t>Decisions numbered 11436-2: Fees and Commissions, and Implementation Method for Covering the Market Operation Revenue Ceiling for 2023 in the Futures Electricity Market.</w:t>
      </w:r>
    </w:p>
    <w:p w14:paraId="3010F2C0" w14:textId="2F0724C2" w:rsidR="002C3099" w:rsidRPr="008902F2" w:rsidRDefault="6BA9880E" w:rsidP="00A86526">
      <w:pPr>
        <w:pStyle w:val="ListeParagraf"/>
        <w:numPr>
          <w:ilvl w:val="0"/>
          <w:numId w:val="18"/>
        </w:numPr>
        <w:spacing w:before="120" w:after="120"/>
        <w:rPr>
          <w:rFonts w:ascii="Times New Roman" w:hAnsi="Times New Roman"/>
          <w:color w:val="000000" w:themeColor="text1"/>
        </w:rPr>
      </w:pPr>
      <w:r w:rsidRPr="008902F2">
        <w:rPr>
          <w:rFonts w:ascii="Times New Roman" w:hAnsi="Times New Roman"/>
          <w:color w:val="000000" w:themeColor="text1"/>
        </w:rPr>
        <w:t>Decisions numbered 11436-3: Fees and Commissions, and Implementation Method for Covering the Market Operation Revenue Ceiling for 2023 in the Renewable Energy Source Guarantee System and Organized YEK-G Market.</w:t>
      </w:r>
    </w:p>
    <w:p w14:paraId="507A9FCC" w14:textId="0F1C4280" w:rsidR="002C3099" w:rsidRPr="008902F2" w:rsidRDefault="6BA9880E" w:rsidP="00A86526">
      <w:pPr>
        <w:pStyle w:val="ListeParagraf"/>
        <w:numPr>
          <w:ilvl w:val="0"/>
          <w:numId w:val="18"/>
        </w:numPr>
        <w:spacing w:before="120" w:after="120"/>
        <w:rPr>
          <w:rFonts w:ascii="Times New Roman" w:hAnsi="Times New Roman"/>
          <w:color w:val="000000" w:themeColor="text1"/>
        </w:rPr>
      </w:pPr>
      <w:r w:rsidRPr="008902F2">
        <w:rPr>
          <w:rFonts w:ascii="Times New Roman" w:hAnsi="Times New Roman"/>
          <w:color w:val="000000" w:themeColor="text1"/>
        </w:rPr>
        <w:t>Decision numbered 11439: Fees and Commissions, and Implementation Method for Covering the Market Operation Revenue Ceiling for 2023 in the Futures Electricity Market and the Renewable Energy Source Guarantee System and Organized YEK-G Market, as expressed in the relevant notifications.</w:t>
      </w:r>
    </w:p>
    <w:p w14:paraId="11688661" w14:textId="3A8F294D" w:rsidR="002C3099" w:rsidRPr="008902F2" w:rsidRDefault="6BA9880E" w:rsidP="6F691FB8">
      <w:pPr>
        <w:spacing w:before="120" w:after="120"/>
        <w:rPr>
          <w:rFonts w:ascii="Times New Roman" w:hAnsi="Times New Roman"/>
          <w:color w:val="000000" w:themeColor="text1"/>
        </w:rPr>
      </w:pPr>
      <w:r w:rsidRPr="008902F2">
        <w:rPr>
          <w:rFonts w:ascii="Times New Roman" w:hAnsi="Times New Roman"/>
          <w:color w:val="000000" w:themeColor="text1"/>
        </w:rPr>
        <w:t>(Note: "EPİAŞ" refers to "Energy Exchange Istanbul" in Turkish.)</w:t>
      </w:r>
    </w:p>
    <w:p w14:paraId="6C465B9F" w14:textId="5C85CF36"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Tablo 4.15: EPİAŞ 2023 Market Operation Revenue Ceiling (TL)</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740"/>
        <w:gridCol w:w="2160"/>
      </w:tblGrid>
      <w:tr w:rsidR="6F691FB8" w:rsidRPr="008902F2" w14:paraId="216F0212" w14:textId="77777777" w:rsidTr="6F691FB8">
        <w:trPr>
          <w:trHeight w:val="315"/>
        </w:trPr>
        <w:tc>
          <w:tcPr>
            <w:tcW w:w="7740"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Mar>
              <w:left w:w="60" w:type="dxa"/>
              <w:right w:w="60" w:type="dxa"/>
            </w:tcMar>
            <w:vAlign w:val="center"/>
          </w:tcPr>
          <w:p w14:paraId="329169E8" w14:textId="7A7B62C1" w:rsidR="6F691FB8" w:rsidRPr="008902F2" w:rsidRDefault="6F691FB8" w:rsidP="6F691FB8">
            <w:pPr>
              <w:spacing w:after="0" w:line="240" w:lineRule="auto"/>
              <w:rPr>
                <w:rFonts w:ascii="Times New Roman" w:hAnsi="Times New Roman"/>
              </w:rPr>
            </w:pPr>
            <w:r w:rsidRPr="008902F2">
              <w:rPr>
                <w:rFonts w:ascii="Times New Roman" w:hAnsi="Times New Roman"/>
              </w:rPr>
              <w:t>Market Operating Income Cap in 2023 - Electricity Market Share (TL - TÜFE=1353,61)</w:t>
            </w:r>
          </w:p>
        </w:tc>
        <w:tc>
          <w:tcPr>
            <w:tcW w:w="2160"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Mar>
              <w:left w:w="60" w:type="dxa"/>
              <w:right w:w="60" w:type="dxa"/>
            </w:tcMar>
            <w:vAlign w:val="center"/>
          </w:tcPr>
          <w:p w14:paraId="15B7A581" w14:textId="43C33F9F"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553.307.554</w:t>
            </w:r>
          </w:p>
        </w:tc>
      </w:tr>
    </w:tbl>
    <w:p w14:paraId="5F3EAB80" w14:textId="4EA4A5DD" w:rsidR="002C3099" w:rsidRPr="008902F2" w:rsidRDefault="6F691FB8" w:rsidP="6F691FB8">
      <w:pPr>
        <w:pStyle w:val="Balk3"/>
        <w:spacing w:before="120"/>
        <w:rPr>
          <w:rFonts w:ascii="Times New Roman" w:eastAsia="Calibri" w:hAnsi="Times New Roman" w:cs="Times New Roman"/>
          <w:color w:val="000000" w:themeColor="text1"/>
        </w:rPr>
      </w:pPr>
      <w:bookmarkStart w:id="145" w:name="_Toc143113428"/>
      <w:r w:rsidRPr="008902F2">
        <w:rPr>
          <w:rFonts w:ascii="Times New Roman" w:eastAsia="Calibri" w:hAnsi="Times New Roman" w:cs="Times New Roman"/>
          <w:color w:val="000000" w:themeColor="text1"/>
        </w:rPr>
        <w:t>4.</w:t>
      </w:r>
      <w:r w:rsidR="69B9689B" w:rsidRPr="008902F2">
        <w:rPr>
          <w:rFonts w:ascii="Times New Roman" w:eastAsia="Calibri" w:hAnsi="Times New Roman" w:cs="Times New Roman"/>
          <w:color w:val="000000" w:themeColor="text1"/>
        </w:rPr>
        <w:t xml:space="preserve">1.4. </w:t>
      </w:r>
      <w:r w:rsidR="6BA9880E" w:rsidRPr="008902F2">
        <w:rPr>
          <w:rFonts w:ascii="Times New Roman" w:eastAsia="Calibri" w:hAnsi="Times New Roman" w:cs="Times New Roman"/>
          <w:color w:val="000000" w:themeColor="text1"/>
        </w:rPr>
        <w:t>OSB Distribution Fee</w:t>
      </w:r>
      <w:bookmarkEnd w:id="145"/>
    </w:p>
    <w:p w14:paraId="6C45402E" w14:textId="5CB82CFE"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The distribution fees to be applied by the Organized Industrial Zones holding the distribution license to the participants within their approved borders in 2023 have been approved by the Board Decisions dated 15.12.2022 and numbered 11455-1 to 11455-196 published in the Official Gazette dated 25.12.2022 and numbered 32054.</w:t>
      </w:r>
    </w:p>
    <w:p w14:paraId="0AB8E417" w14:textId="1AFDFB36"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OIZ managements can present their distribution price offers for Industrial or Non-Industrial Consumers and Producers as LV, MV, single term and double term within the framework of the Regulation on Electricity Market Activities of Organized Industrial Zones. Distribution cost evaluations are made within the framework of the "comparison model", taking into account the unit energy cost estimates, investment expenses, operating expenses, lost energy expenses and distribution tariff forecasts for the distribution regions they are in.</w:t>
      </w:r>
    </w:p>
    <w:p w14:paraId="048ADCAE" w14:textId="35B3E1E9" w:rsidR="002C3099" w:rsidRPr="008902F2" w:rsidRDefault="6F691FB8" w:rsidP="6F691FB8">
      <w:pPr>
        <w:pStyle w:val="Balk3"/>
        <w:spacing w:before="0" w:after="240"/>
        <w:rPr>
          <w:rFonts w:ascii="Times New Roman" w:eastAsia="Calibri" w:hAnsi="Times New Roman" w:cs="Times New Roman"/>
          <w:color w:val="000000" w:themeColor="text1"/>
        </w:rPr>
      </w:pPr>
      <w:bookmarkStart w:id="146" w:name="_Toc143113429"/>
      <w:r w:rsidRPr="008902F2">
        <w:rPr>
          <w:rFonts w:ascii="Times New Roman" w:eastAsia="Calibri" w:hAnsi="Times New Roman" w:cs="Times New Roman"/>
          <w:color w:val="000000" w:themeColor="text1"/>
        </w:rPr>
        <w:t>4.</w:t>
      </w:r>
      <w:r w:rsidR="12D56220" w:rsidRPr="008902F2">
        <w:rPr>
          <w:rFonts w:ascii="Times New Roman" w:eastAsia="Calibri" w:hAnsi="Times New Roman" w:cs="Times New Roman"/>
          <w:color w:val="000000" w:themeColor="text1"/>
        </w:rPr>
        <w:t xml:space="preserve">1.5. </w:t>
      </w:r>
      <w:r w:rsidR="6BA9880E" w:rsidRPr="008902F2">
        <w:rPr>
          <w:rFonts w:ascii="Times New Roman" w:eastAsia="Calibri" w:hAnsi="Times New Roman" w:cs="Times New Roman"/>
          <w:color w:val="000000" w:themeColor="text1"/>
        </w:rPr>
        <w:t>EÜAŞ Wholesale Tariff</w:t>
      </w:r>
      <w:bookmarkEnd w:id="146"/>
    </w:p>
    <w:p w14:paraId="56E357D2" w14:textId="1C28AABE" w:rsidR="002C3099" w:rsidRPr="008902F2" w:rsidRDefault="6BA9880E" w:rsidP="6F691FB8">
      <w:pPr>
        <w:spacing w:after="0"/>
        <w:rPr>
          <w:rFonts w:ascii="Times New Roman" w:hAnsi="Times New Roman"/>
          <w:color w:val="000000" w:themeColor="text1"/>
        </w:rPr>
      </w:pPr>
      <w:r w:rsidRPr="008902F2">
        <w:rPr>
          <w:rStyle w:val="Gl"/>
          <w:rFonts w:ascii="Times New Roman" w:hAnsi="Times New Roman"/>
          <w:b w:val="0"/>
          <w:bCs w:val="0"/>
          <w:color w:val="000000" w:themeColor="text1"/>
        </w:rPr>
        <w:t>Approved wholesale tariffs of EÜAŞ for the whole of 2022 and the first tariff period of 2023 are given in Tables 4.16 and 4.17.</w:t>
      </w:r>
    </w:p>
    <w:p w14:paraId="21D38B05" w14:textId="64415A51" w:rsidR="002C3099" w:rsidRPr="008902F2" w:rsidRDefault="6BA9880E" w:rsidP="6F691FB8">
      <w:pPr>
        <w:keepNext/>
        <w:keepLines/>
        <w:spacing w:before="200" w:after="240"/>
        <w:jc w:val="center"/>
        <w:rPr>
          <w:rFonts w:ascii="Times New Roman" w:eastAsia="Cambria" w:hAnsi="Times New Roman"/>
        </w:rPr>
      </w:pPr>
      <w:r w:rsidRPr="008902F2">
        <w:rPr>
          <w:rStyle w:val="Gl"/>
          <w:rFonts w:ascii="Times New Roman" w:eastAsia="Cambria" w:hAnsi="Times New Roman"/>
        </w:rPr>
        <w:lastRenderedPageBreak/>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4.16: EÜAŞ Wholesale Tariffs (Technical and Non-Technical Lost Energy Sales to Distribution Companies and Sales to Contracted Supply Companies)</w:t>
      </w: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064"/>
        <w:gridCol w:w="1097"/>
        <w:gridCol w:w="2064"/>
        <w:gridCol w:w="1645"/>
        <w:gridCol w:w="1616"/>
        <w:gridCol w:w="1429"/>
      </w:tblGrid>
      <w:tr w:rsidR="6F691FB8" w:rsidRPr="008902F2" w14:paraId="5A32E58A"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A7755AE" w14:textId="79CB31E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Board Decision Date</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55535701" w14:textId="0E367EE5"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Board Decisions</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BFC244C" w14:textId="7F3FAA7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Effective Date</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35B95D06" w14:textId="78103047" w:rsidR="6F691FB8" w:rsidRPr="008902F2" w:rsidRDefault="6F691FB8" w:rsidP="6F691FB8">
            <w:pPr>
              <w:spacing w:after="0" w:line="240" w:lineRule="auto"/>
              <w:jc w:val="center"/>
              <w:rPr>
                <w:rFonts w:ascii="Times New Roman" w:hAnsi="Times New Roman"/>
                <w:color w:val="FFFFFF" w:themeColor="background1"/>
              </w:rPr>
            </w:pPr>
          </w:p>
          <w:p w14:paraId="07E77ADD" w14:textId="230B3FA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Date and Number of Official Gazette Published</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5AA2672B" w14:textId="582BCE5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Sales Made in Scope of Technical and Non-Technical Lost Energy (Krş/kWh)</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157E7634" w14:textId="1EB5D293" w:rsidR="6F691FB8" w:rsidRPr="008902F2" w:rsidRDefault="6F691FB8" w:rsidP="6F691FB8">
            <w:pPr>
              <w:spacing w:after="0" w:line="240" w:lineRule="auto"/>
              <w:jc w:val="center"/>
              <w:rPr>
                <w:rFonts w:ascii="Times New Roman" w:hAnsi="Times New Roman"/>
                <w:color w:val="FFFFFF" w:themeColor="background1"/>
              </w:rPr>
            </w:pPr>
          </w:p>
          <w:p w14:paraId="7197DC6C" w14:textId="599DD96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Sales to Incumbent Supply Companies (kr/kWh)</w:t>
            </w:r>
          </w:p>
        </w:tc>
      </w:tr>
      <w:tr w:rsidR="6F691FB8" w:rsidRPr="008902F2" w14:paraId="11677EDD"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D688E4E" w14:textId="661E7CC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31.12.2021</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3E3A84F" w14:textId="128D51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10706</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95C209F" w14:textId="09CDD7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01.01.2022</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B2FD03E" w14:textId="081A4EC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31.12.2021-31706</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BD3ED25" w14:textId="2F182D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AAF26A8" w14:textId="35A5A96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r>
      <w:tr w:rsidR="6F691FB8" w:rsidRPr="008902F2" w14:paraId="74F5E57F"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AB6A30B" w14:textId="75E145D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31.03.2022</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E6F8F3A" w14:textId="1D6AD5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10908</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052EA72" w14:textId="373EF26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01.04.2022</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6ED5D42" w14:textId="78A72FD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01.04.2022-31796</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037FFDC" w14:textId="48DF206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29AB506" w14:textId="4FECEA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r>
      <w:tr w:rsidR="6F691FB8" w:rsidRPr="008902F2" w14:paraId="1644F1E8"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8F758BA" w14:textId="1E07B4D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30.06.2022</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792DFA9" w14:textId="727C94B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11054</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58FA2B9" w14:textId="5BC64BD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01.07.2022</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8F85F3E" w14:textId="2BA5A60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01.07.2022-31883</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EB8FBF8" w14:textId="3F3406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3F1B61E" w14:textId="210C581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r>
      <w:tr w:rsidR="6F691FB8" w:rsidRPr="008902F2" w14:paraId="28614996"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6C2BB5F" w14:textId="0D7BBB7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08.08.2022</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E2CC4AF" w14:textId="234A784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11114</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371DF95" w14:textId="1D4AB97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09.08.2022</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00A8599" w14:textId="1066BA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09.08.2022-31918</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2C029E1" w14:textId="28770A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A28B506" w14:textId="251AB18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110,0321</w:t>
            </w:r>
          </w:p>
        </w:tc>
      </w:tr>
      <w:tr w:rsidR="6F691FB8" w:rsidRPr="008902F2" w14:paraId="2A044028"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8A0E394" w14:textId="419AD9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4233C37" w14:textId="75B2DF5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11271</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BAC65EF" w14:textId="58331E9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01.10.2022</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C9DA7D7" w14:textId="47B7A5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30.09.2022-31969</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B1A8E1A" w14:textId="7BFDA5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31,8592</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8ECF2C8" w14:textId="5AE0377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110,0321</w:t>
            </w:r>
          </w:p>
        </w:tc>
      </w:tr>
      <w:tr w:rsidR="6F691FB8" w:rsidRPr="008902F2" w14:paraId="77BF2AEB" w14:textId="77777777" w:rsidTr="6F691FB8">
        <w:trPr>
          <w:trHeight w:val="390"/>
        </w:trPr>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3DA4881" w14:textId="7D3C78D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29.12.2022</w:t>
            </w:r>
          </w:p>
        </w:tc>
        <w:tc>
          <w:tcPr>
            <w:tcW w:w="1097"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1F838D2" w14:textId="4EFE484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11513</w:t>
            </w:r>
          </w:p>
        </w:tc>
        <w:tc>
          <w:tcPr>
            <w:tcW w:w="206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E5D4162" w14:textId="04AE7F4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01.01.2023</w:t>
            </w:r>
          </w:p>
        </w:tc>
        <w:tc>
          <w:tcPr>
            <w:tcW w:w="164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11D5DED" w14:textId="136B3C4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30.12.2022-32059</w:t>
            </w:r>
          </w:p>
        </w:tc>
        <w:tc>
          <w:tcPr>
            <w:tcW w:w="161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909765D" w14:textId="1ABB51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50,0000</w:t>
            </w:r>
          </w:p>
        </w:tc>
        <w:tc>
          <w:tcPr>
            <w:tcW w:w="142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EA62561" w14:textId="1B1C9A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w:t>
            </w:r>
          </w:p>
        </w:tc>
      </w:tr>
    </w:tbl>
    <w:p w14:paraId="39A6FEB0" w14:textId="32C9C541" w:rsidR="002C3099" w:rsidRPr="008902F2" w:rsidRDefault="002C3099" w:rsidP="6F691FB8">
      <w:pPr>
        <w:rPr>
          <w:rFonts w:ascii="Times New Roman" w:hAnsi="Times New Roman"/>
          <w:color w:val="000000" w:themeColor="text1"/>
        </w:rPr>
      </w:pPr>
    </w:p>
    <w:p w14:paraId="1F8B8F91" w14:textId="2A1CA52D" w:rsidR="002C3099" w:rsidRPr="008902F2" w:rsidRDefault="002C3099" w:rsidP="6F691FB8">
      <w:pPr>
        <w:rPr>
          <w:rFonts w:ascii="Times New Roman" w:hAnsi="Times New Roman"/>
          <w:color w:val="000000" w:themeColor="text1"/>
        </w:rPr>
      </w:pPr>
    </w:p>
    <w:p w14:paraId="76DB3022" w14:textId="6964D723" w:rsidR="002C3099" w:rsidRPr="008902F2" w:rsidRDefault="002C3099" w:rsidP="6F691FB8">
      <w:pPr>
        <w:rPr>
          <w:rFonts w:ascii="Times New Roman" w:hAnsi="Times New Roman"/>
        </w:rPr>
      </w:pPr>
    </w:p>
    <w:p w14:paraId="18DF62A4" w14:textId="46550B8C"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4.17: EÜAŞ Wholesale Tariffs </w:t>
      </w:r>
    </w:p>
    <w:p w14:paraId="278FB3C4" w14:textId="763C57BA"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(Sales to Distribution Companies within the Scope of General Lighting)</w:t>
      </w:r>
    </w:p>
    <w:p w14:paraId="5CB74755" w14:textId="6640DF97" w:rsidR="002C3099" w:rsidRPr="008902F2" w:rsidRDefault="002C3099" w:rsidP="6F691FB8">
      <w:pPr>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033"/>
        <w:gridCol w:w="1811"/>
        <w:gridCol w:w="1811"/>
        <w:gridCol w:w="2241"/>
        <w:gridCol w:w="2019"/>
      </w:tblGrid>
      <w:tr w:rsidR="6F691FB8" w:rsidRPr="008902F2" w14:paraId="1455DA7E"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48748AA3" w14:textId="3702989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Board Decision Date</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53F454B3" w14:textId="70DEB24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Board Decisions</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7EF1C1F1" w14:textId="4CB0EC0A"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Effective Date</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1CC86AA1" w14:textId="6FC45E0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Date and Number of Official Gazette Published</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cPr>
          <w:p w14:paraId="7C44F293" w14:textId="345B79B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Active Electricity Cost (Krş/kWh)</w:t>
            </w:r>
          </w:p>
        </w:tc>
      </w:tr>
      <w:tr w:rsidR="6F691FB8" w:rsidRPr="008902F2" w14:paraId="230283A2"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4AC959E" w14:textId="5FE21D6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31.12.2021</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7DAF16F" w14:textId="05036F4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10706</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3242D72" w14:textId="377E9C3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01.01.2022</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E41352B" w14:textId="2A3EAF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31.12.2021-31706</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02E16E5" w14:textId="1BBFBF3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135,0000</w:t>
            </w:r>
          </w:p>
        </w:tc>
      </w:tr>
      <w:tr w:rsidR="6F691FB8" w:rsidRPr="008902F2" w14:paraId="248F1C28"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3D5C6F7" w14:textId="54DDC7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31.03.2022</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2D1831F" w14:textId="31743C5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10908</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A526BF7" w14:textId="4C8FE71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01.04.2022</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EE6558F" w14:textId="77215AC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01.04.2022-31796</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84A85E3" w14:textId="200F9BE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200,0000</w:t>
            </w:r>
          </w:p>
        </w:tc>
      </w:tr>
      <w:tr w:rsidR="6F691FB8" w:rsidRPr="008902F2" w14:paraId="209BCC4E"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4DC8A18" w14:textId="2A4EB60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30.06.2022</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40ED6AE" w14:textId="6E1C8B5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11054</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C0442A1" w14:textId="4537C06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01.07.2022</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B4A2CB6" w14:textId="626A886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01.07.2022-31883</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46839C4" w14:textId="000857B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256,0000</w:t>
            </w:r>
          </w:p>
        </w:tc>
      </w:tr>
      <w:tr w:rsidR="6F691FB8" w:rsidRPr="008902F2" w14:paraId="20937F49"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1964A6A" w14:textId="21E955E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08.08.2022</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CA70050" w14:textId="7F3DD66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11114</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09F4BDE" w14:textId="3D4A46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09.08.2022</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BC7CE3A" w14:textId="15FC81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09.08.2022-31918</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CB780D8" w14:textId="3FD03BA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256,0000</w:t>
            </w:r>
          </w:p>
        </w:tc>
      </w:tr>
      <w:tr w:rsidR="6F691FB8" w:rsidRPr="008902F2" w14:paraId="09A20314"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DAC2EA7" w14:textId="412E1C7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FC50941" w14:textId="0B8BCD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11271</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1BDA4B0" w14:textId="68E7416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01.10.2022</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2F5D0E0" w14:textId="23F4E04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30.09.2022-31969</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F776C05" w14:textId="27A5BE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350,0000</w:t>
            </w:r>
          </w:p>
        </w:tc>
      </w:tr>
      <w:tr w:rsidR="6F691FB8" w:rsidRPr="008902F2" w14:paraId="75F7A5B9" w14:textId="77777777" w:rsidTr="6F691FB8">
        <w:trPr>
          <w:trHeight w:val="390"/>
        </w:trPr>
        <w:tc>
          <w:tcPr>
            <w:tcW w:w="2033"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6CD1E27" w14:textId="5BF3931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29.12.2022</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4442A3A" w14:textId="123129A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11513</w:t>
            </w:r>
          </w:p>
        </w:tc>
        <w:tc>
          <w:tcPr>
            <w:tcW w:w="181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6504898" w14:textId="462CA38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01.01.2023</w:t>
            </w:r>
          </w:p>
        </w:tc>
        <w:tc>
          <w:tcPr>
            <w:tcW w:w="224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3D37435" w14:textId="4A7CED5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30.12.2022-32059</w:t>
            </w:r>
          </w:p>
        </w:tc>
        <w:tc>
          <w:tcPr>
            <w:tcW w:w="2019"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AC93D02" w14:textId="3099B9E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380,0000</w:t>
            </w:r>
          </w:p>
        </w:tc>
      </w:tr>
    </w:tbl>
    <w:p w14:paraId="7BA36475" w14:textId="66FEB9D5" w:rsidR="002C3099" w:rsidRPr="008902F2" w:rsidRDefault="6F691FB8" w:rsidP="6F691FB8">
      <w:pPr>
        <w:pStyle w:val="Balk3"/>
        <w:spacing w:after="240"/>
        <w:rPr>
          <w:rFonts w:ascii="Times New Roman" w:eastAsia="Calibri" w:hAnsi="Times New Roman" w:cs="Times New Roman"/>
          <w:color w:val="000000" w:themeColor="text1"/>
        </w:rPr>
      </w:pPr>
      <w:bookmarkStart w:id="147" w:name="_Toc143113430"/>
      <w:r w:rsidRPr="008902F2">
        <w:rPr>
          <w:rFonts w:ascii="Times New Roman" w:eastAsia="Calibri" w:hAnsi="Times New Roman" w:cs="Times New Roman"/>
          <w:color w:val="000000" w:themeColor="text1"/>
        </w:rPr>
        <w:t>4.</w:t>
      </w:r>
      <w:r w:rsidR="6F89239F" w:rsidRPr="008902F2">
        <w:rPr>
          <w:rFonts w:ascii="Times New Roman" w:eastAsia="Calibri" w:hAnsi="Times New Roman" w:cs="Times New Roman"/>
          <w:color w:val="000000" w:themeColor="text1"/>
        </w:rPr>
        <w:t xml:space="preserve">1.6. </w:t>
      </w:r>
      <w:r w:rsidR="6BA9880E" w:rsidRPr="008902F2">
        <w:rPr>
          <w:rFonts w:ascii="Times New Roman" w:eastAsia="Calibri" w:hAnsi="Times New Roman" w:cs="Times New Roman"/>
          <w:color w:val="000000" w:themeColor="text1"/>
        </w:rPr>
        <w:t>Türkiye Average Electricity Wholesale Price</w:t>
      </w:r>
      <w:bookmarkEnd w:id="147"/>
    </w:p>
    <w:p w14:paraId="56AE6E83" w14:textId="05B9280E" w:rsidR="002C3099" w:rsidRPr="008902F2" w:rsidRDefault="002C3099" w:rsidP="6F691FB8">
      <w:pPr>
        <w:rPr>
          <w:rFonts w:ascii="Times New Roman" w:hAnsi="Times New Roman"/>
          <w:color w:val="000000" w:themeColor="text1"/>
        </w:rPr>
      </w:pPr>
    </w:p>
    <w:p w14:paraId="5923CC89" w14:textId="4F38C1FA"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 xml:space="preserve">With the Board Decision dated 12.05.2022 and numbered 10973 published in the Official Gazette dated 13.05.2022 and numbered 31834, within the scope of the Law No. 5346 on the Use of Renewable Energy Resources for the Purpose of Electricity Generation, the Average Electricity Wholesale Price of </w:t>
      </w:r>
      <w:r w:rsidR="00454819" w:rsidRPr="008902F2">
        <w:rPr>
          <w:rFonts w:ascii="Times New Roman" w:hAnsi="Times New Roman"/>
          <w:color w:val="000000" w:themeColor="text1"/>
        </w:rPr>
        <w:t>Türkiye</w:t>
      </w:r>
      <w:r w:rsidRPr="008902F2">
        <w:rPr>
          <w:rFonts w:ascii="Times New Roman" w:hAnsi="Times New Roman"/>
          <w:color w:val="000000" w:themeColor="text1"/>
        </w:rPr>
        <w:t xml:space="preserve"> (TORETOSAF) for 2021 is 51.47 Kr. It was decided to determine it as /kWh.</w:t>
      </w:r>
    </w:p>
    <w:p w14:paraId="78ECF7D8" w14:textId="7EA3A96A" w:rsidR="002C3099" w:rsidRPr="008902F2" w:rsidRDefault="002C3099" w:rsidP="6F691FB8">
      <w:pPr>
        <w:rPr>
          <w:rFonts w:ascii="Times New Roman" w:hAnsi="Times New Roman"/>
          <w:color w:val="000000" w:themeColor="text1"/>
        </w:rPr>
      </w:pPr>
    </w:p>
    <w:p w14:paraId="5585AB44" w14:textId="1539105A" w:rsidR="002C3099" w:rsidRPr="008902F2" w:rsidRDefault="6F691FB8" w:rsidP="6F691FB8">
      <w:pPr>
        <w:pStyle w:val="Balk3"/>
        <w:spacing w:after="240"/>
        <w:rPr>
          <w:rFonts w:ascii="Times New Roman" w:eastAsia="Calibri" w:hAnsi="Times New Roman" w:cs="Times New Roman"/>
          <w:color w:val="000000" w:themeColor="text1"/>
        </w:rPr>
      </w:pPr>
      <w:bookmarkStart w:id="148" w:name="_Toc143113431"/>
      <w:r w:rsidRPr="008902F2">
        <w:rPr>
          <w:rFonts w:ascii="Times New Roman" w:eastAsia="Calibri" w:hAnsi="Times New Roman" w:cs="Times New Roman"/>
          <w:color w:val="000000" w:themeColor="text1"/>
        </w:rPr>
        <w:t>4.</w:t>
      </w:r>
      <w:r w:rsidR="5554D5DA" w:rsidRPr="008902F2">
        <w:rPr>
          <w:rFonts w:ascii="Times New Roman" w:eastAsia="Calibri" w:hAnsi="Times New Roman" w:cs="Times New Roman"/>
          <w:color w:val="000000" w:themeColor="text1"/>
        </w:rPr>
        <w:t xml:space="preserve">1.7. </w:t>
      </w:r>
      <w:r w:rsidR="6BA9880E" w:rsidRPr="008902F2">
        <w:rPr>
          <w:rFonts w:ascii="Times New Roman" w:eastAsia="Calibri" w:hAnsi="Times New Roman" w:cs="Times New Roman"/>
          <w:color w:val="000000" w:themeColor="text1"/>
        </w:rPr>
        <w:t>Tariff Board Decisions Regarding the Electricity Market</w:t>
      </w:r>
      <w:bookmarkEnd w:id="148"/>
    </w:p>
    <w:p w14:paraId="74C99574" w14:textId="33AD57DE" w:rsidR="002C3099" w:rsidRPr="008902F2" w:rsidRDefault="002C3099" w:rsidP="6F691FB8">
      <w:pPr>
        <w:rPr>
          <w:rFonts w:ascii="Times New Roman" w:hAnsi="Times New Roman"/>
          <w:color w:val="000000" w:themeColor="text1"/>
        </w:rPr>
      </w:pPr>
    </w:p>
    <w:p w14:paraId="4F33EF6E" w14:textId="0CABD5EE"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 xml:space="preserve">   • With the decision of the Regulatory Board numbered 10740, published in the Official Gazette dated 22.01.2022 and numbered 31727, it has been decided to set the </w:t>
      </w:r>
      <w:r w:rsidR="00454819" w:rsidRPr="008902F2">
        <w:rPr>
          <w:rFonts w:ascii="Times New Roman" w:hAnsi="Times New Roman"/>
          <w:color w:val="000000" w:themeColor="text1"/>
        </w:rPr>
        <w:t>Türkiye</w:t>
      </w:r>
      <w:r w:rsidRPr="008902F2">
        <w:rPr>
          <w:rFonts w:ascii="Times New Roman" w:hAnsi="Times New Roman"/>
          <w:color w:val="000000" w:themeColor="text1"/>
        </w:rPr>
        <w:t xml:space="preserve"> Average Wholesale Electricity Sales Price (TORETOSAF) for the year 2006 as 9.06 kr/kWh in compliance with the injunction decision of the 13th Department Presidency of the Council of State dated 7/6/2021 and numbered E:2021/1019, which requested the cancellation and suspension of execution of the decision dated 21.12.2006 and numbered 1030 of the Council.</w:t>
      </w:r>
    </w:p>
    <w:p w14:paraId="3112E1B9" w14:textId="50F8E445"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 xml:space="preserve">   • With the decision of the Regulatory Board numbered 10756, published in the Official Gazette dated 01.02.2022 and numbered 31737, it has been decided to update the daily average consumption amount for low voltage single-time residential subscribers from 5 kWh (which was based on the invoice for the date of 31.12.2021 and numbered 10707) to 7 kWh for invoices to be issued from 1/2/2022 onwards.</w:t>
      </w:r>
    </w:p>
    <w:p w14:paraId="190D79D0" w14:textId="06C7AA5C"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 xml:space="preserve">   • With the decision of the Regulatory Board numbered 10817, published in the Official Gazette dated 01.03.2022 and numbered 31765, the first paragraph of Article 4 of the Rules and Principles Regarding Tariff Applications of Distribution License Holders and Authorized Retail Companies, published in the Official Gazette dated 31.12.2015 and numbered 29579 4th Duplicate, has been amended as follows: [Note: The content of the first paragraph of Article 4 is not provided in the original text.]</w:t>
      </w:r>
    </w:p>
    <w:p w14:paraId="1104C273" w14:textId="0E85CD45"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"(1) Detached buildings, apartments, independent sections within apartments, housing cooperatives, residential complexes, and their common areas, such as central heating systems, elevators, hydrofor, automatic staircases, caretaker's quarters, and similar shared facilities, as well as places of worship that are not covered by the General Lighting Regulation published in the Official Gazette dated 27/7/2013 and numbered 28720, along with ancillary facilities such as lodges and similar places, temporary shelters established by the Disaster and Emergency Management Authority (AFAD) of the Ministry of Interior Affairs, except for commercial enterprises, as well as foundations and associations and their branches, cemevis (Alevi places of worship), and facilities used for drinking water supply and distribution in villages are considered within the residential consumer group."</w:t>
      </w:r>
    </w:p>
    <w:p w14:paraId="1B96A8A2" w14:textId="5B6CF765" w:rsidR="002C3099" w:rsidRPr="008902F2" w:rsidRDefault="6BA9880E" w:rsidP="00A86526">
      <w:pPr>
        <w:pStyle w:val="ListeParagraf"/>
        <w:numPr>
          <w:ilvl w:val="0"/>
          <w:numId w:val="17"/>
        </w:numPr>
        <w:rPr>
          <w:rFonts w:ascii="Times New Roman" w:hAnsi="Times New Roman"/>
          <w:color w:val="000000" w:themeColor="text1"/>
        </w:rPr>
      </w:pPr>
      <w:r w:rsidRPr="008902F2">
        <w:rPr>
          <w:rFonts w:ascii="Times New Roman" w:hAnsi="Times New Roman"/>
          <w:color w:val="000000" w:themeColor="text1"/>
        </w:rPr>
        <w:t>On 01.03.2022, with the official gazette number 31765, the decision number 10818 was published by the Authority. According to this decision, for the residential low-voltage single-time tariff group, the daily average consumption amount used as the basis for billing, which was previously set at 7 kWh on 31.01.2022 with decision number 10756, has been updated to 8 kWh for the invoices to be issued from 01.03.2022 onwards.</w:t>
      </w:r>
    </w:p>
    <w:p w14:paraId="2B7F3EDA" w14:textId="161DCB8F" w:rsidR="002C3099" w:rsidRPr="008902F2" w:rsidRDefault="002C3099" w:rsidP="6F691FB8">
      <w:pPr>
        <w:ind w:left="720"/>
        <w:rPr>
          <w:rFonts w:ascii="Times New Roman" w:hAnsi="Times New Roman"/>
          <w:color w:val="000000" w:themeColor="text1"/>
        </w:rPr>
      </w:pPr>
    </w:p>
    <w:p w14:paraId="30621A08" w14:textId="387919A9" w:rsidR="002C3099" w:rsidRPr="008902F2" w:rsidRDefault="6BA9880E" w:rsidP="00A86526">
      <w:pPr>
        <w:pStyle w:val="ListeParagraf"/>
        <w:numPr>
          <w:ilvl w:val="0"/>
          <w:numId w:val="16"/>
        </w:numPr>
        <w:rPr>
          <w:rFonts w:ascii="Times New Roman" w:hAnsi="Times New Roman"/>
          <w:color w:val="000000" w:themeColor="text1"/>
        </w:rPr>
      </w:pPr>
      <w:r w:rsidRPr="008902F2">
        <w:rPr>
          <w:rFonts w:ascii="Times New Roman" w:hAnsi="Times New Roman"/>
          <w:color w:val="000000" w:themeColor="text1"/>
        </w:rPr>
        <w:t>On 01.03.2022, with the official gazette number 31765, the decision number 10819 was published by the Authority. In accordance with the fourth paragraph of Article 17 of the Electricity Market Law No. 6446, from 01.03.2022 onwards, for the commercial low-voltage single-time tariff group, a low-step tariff will be applied for consumption up to the daily average of 30 kWh used as the basis for billing. For consumption exceeding the daily average of 30 kWh, a low-step tariff will apply for the portion up to the specified limit, and a high-step tariff will apply for the portion exceeding the limit.</w:t>
      </w:r>
    </w:p>
    <w:p w14:paraId="67064444" w14:textId="3A190DA6" w:rsidR="002C3099" w:rsidRPr="008902F2" w:rsidRDefault="002C3099" w:rsidP="6F691FB8">
      <w:pPr>
        <w:ind w:left="720"/>
        <w:rPr>
          <w:rFonts w:ascii="Times New Roman" w:hAnsi="Times New Roman"/>
          <w:color w:val="000000" w:themeColor="text1"/>
        </w:rPr>
      </w:pPr>
    </w:p>
    <w:p w14:paraId="78E77753" w14:textId="7E9642D2" w:rsidR="002C3099" w:rsidRPr="008902F2" w:rsidRDefault="6BA9880E" w:rsidP="00A86526">
      <w:pPr>
        <w:pStyle w:val="ListeParagraf"/>
        <w:numPr>
          <w:ilvl w:val="0"/>
          <w:numId w:val="16"/>
        </w:numPr>
        <w:rPr>
          <w:rFonts w:ascii="Times New Roman" w:hAnsi="Times New Roman"/>
          <w:color w:val="000000" w:themeColor="text1"/>
        </w:rPr>
      </w:pPr>
      <w:r w:rsidRPr="008902F2">
        <w:rPr>
          <w:rFonts w:ascii="Times New Roman" w:hAnsi="Times New Roman"/>
          <w:color w:val="000000" w:themeColor="text1"/>
        </w:rPr>
        <w:t xml:space="preserve">On 02.04.2022, with the official gazette number 31797, the decision number 10906 was published by the Authority. According to this decision, within the scope of the fourth paragraph of Article 13 and </w:t>
      </w:r>
      <w:r w:rsidRPr="008902F2">
        <w:rPr>
          <w:rFonts w:ascii="Times New Roman" w:hAnsi="Times New Roman"/>
          <w:color w:val="000000" w:themeColor="text1"/>
        </w:rPr>
        <w:lastRenderedPageBreak/>
        <w:t>the second paragraph of Article 14 of the Regulation on the Certification and Support of Renewable Energy Resources, the following measures have been taken: [The text for this part of the translation is missing. Please provide the rest of the text you want to be translated, and I'll be happy to help.]</w:t>
      </w:r>
    </w:p>
    <w:p w14:paraId="3E106C8A" w14:textId="04BA824C" w:rsidR="002C3099" w:rsidRPr="008902F2" w:rsidRDefault="6BA9880E" w:rsidP="6F691FB8">
      <w:pPr>
        <w:ind w:left="1440"/>
        <w:rPr>
          <w:rFonts w:ascii="Times New Roman" w:hAnsi="Times New Roman"/>
          <w:color w:val="000000" w:themeColor="text1"/>
        </w:rPr>
      </w:pPr>
      <w:r w:rsidRPr="008902F2">
        <w:rPr>
          <w:rFonts w:ascii="Times New Roman" w:hAnsi="Times New Roman"/>
          <w:color w:val="000000" w:themeColor="text1"/>
        </w:rPr>
        <w:t>1) On 31/12/2021, with the decision number 10709 accepted by the Authority, the projected YEKDEM cost per unit of energy supplied for the year 2022 was approved. However, for the months of March and beyond in 2022, this projected cost has been revised as follows: [The rest of the text is missing, please provide the remaining part of the text you want to be translated.]</w:t>
      </w:r>
    </w:p>
    <w:tbl>
      <w:tblPr>
        <w:tblStyle w:val="TabloKlavuzu"/>
        <w:tblW w:w="0" w:type="auto"/>
        <w:tblInd w:w="154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75"/>
        <w:gridCol w:w="4110"/>
      </w:tblGrid>
      <w:tr w:rsidR="6F691FB8" w:rsidRPr="008902F2" w14:paraId="336B8358" w14:textId="77777777" w:rsidTr="6F691FB8">
        <w:trPr>
          <w:trHeight w:val="645"/>
        </w:trPr>
        <w:tc>
          <w:tcPr>
            <w:tcW w:w="3375" w:type="dxa"/>
            <w:shd w:val="clear" w:color="auto" w:fill="F5F5DC"/>
            <w:tcMar>
              <w:left w:w="105" w:type="dxa"/>
              <w:right w:w="105" w:type="dxa"/>
            </w:tcMar>
          </w:tcPr>
          <w:p w14:paraId="4FDC17A2" w14:textId="49805CAF"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Months</w:t>
            </w:r>
          </w:p>
        </w:tc>
        <w:tc>
          <w:tcPr>
            <w:tcW w:w="4110" w:type="dxa"/>
            <w:shd w:val="clear" w:color="auto" w:fill="F5F5DC"/>
            <w:tcMar>
              <w:left w:w="105" w:type="dxa"/>
              <w:right w:w="105" w:type="dxa"/>
            </w:tcMar>
          </w:tcPr>
          <w:p w14:paraId="0AB76AB7" w14:textId="4F437D9C" w:rsidR="6F691FB8" w:rsidRPr="008902F2" w:rsidRDefault="6F691FB8" w:rsidP="6F691FB8">
            <w:pPr>
              <w:spacing w:after="180" w:line="276" w:lineRule="auto"/>
              <w:rPr>
                <w:rFonts w:ascii="Times New Roman" w:hAnsi="Times New Roman"/>
                <w:color w:val="484848"/>
              </w:rPr>
            </w:pPr>
            <w:r w:rsidRPr="008902F2">
              <w:rPr>
                <w:rFonts w:ascii="Times New Roman" w:hAnsi="Times New Roman"/>
                <w:color w:val="484848"/>
              </w:rPr>
              <w:t xml:space="preserve"> 2022 Projected YEKDEM Cost (TL/MWh)</w:t>
            </w:r>
          </w:p>
        </w:tc>
      </w:tr>
      <w:tr w:rsidR="6F691FB8" w:rsidRPr="008902F2" w14:paraId="168DF543" w14:textId="77777777" w:rsidTr="6F691FB8">
        <w:trPr>
          <w:trHeight w:val="390"/>
        </w:trPr>
        <w:tc>
          <w:tcPr>
            <w:tcW w:w="3375" w:type="dxa"/>
            <w:shd w:val="clear" w:color="auto" w:fill="F5F5DC"/>
            <w:tcMar>
              <w:left w:w="105" w:type="dxa"/>
              <w:right w:w="105" w:type="dxa"/>
            </w:tcMar>
          </w:tcPr>
          <w:p w14:paraId="71EB6554" w14:textId="41F207EC"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March</w:t>
            </w:r>
          </w:p>
        </w:tc>
        <w:tc>
          <w:tcPr>
            <w:tcW w:w="4110" w:type="dxa"/>
            <w:shd w:val="clear" w:color="auto" w:fill="F5F5DC"/>
            <w:tcMar>
              <w:left w:w="105" w:type="dxa"/>
              <w:right w:w="105" w:type="dxa"/>
            </w:tcMar>
          </w:tcPr>
          <w:p w14:paraId="55BFDD65" w14:textId="2D8C4B21"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-284,36</w:t>
            </w:r>
          </w:p>
        </w:tc>
      </w:tr>
      <w:tr w:rsidR="6F691FB8" w:rsidRPr="008902F2" w14:paraId="5B5F49FD" w14:textId="77777777" w:rsidTr="6F691FB8">
        <w:trPr>
          <w:trHeight w:val="405"/>
        </w:trPr>
        <w:tc>
          <w:tcPr>
            <w:tcW w:w="3375" w:type="dxa"/>
            <w:shd w:val="clear" w:color="auto" w:fill="F5F5DC"/>
            <w:tcMar>
              <w:left w:w="105" w:type="dxa"/>
              <w:right w:w="105" w:type="dxa"/>
            </w:tcMar>
          </w:tcPr>
          <w:p w14:paraId="7B468AD9" w14:textId="604DAD1F"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April</w:t>
            </w:r>
          </w:p>
        </w:tc>
        <w:tc>
          <w:tcPr>
            <w:tcW w:w="4110" w:type="dxa"/>
            <w:shd w:val="clear" w:color="auto" w:fill="F5F5DC"/>
            <w:tcMar>
              <w:left w:w="105" w:type="dxa"/>
              <w:right w:w="105" w:type="dxa"/>
            </w:tcMar>
          </w:tcPr>
          <w:p w14:paraId="2A07C6BC" w14:textId="4B8CC019"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-532,12</w:t>
            </w:r>
          </w:p>
        </w:tc>
      </w:tr>
      <w:tr w:rsidR="6F691FB8" w:rsidRPr="008902F2" w14:paraId="2A0521D0" w14:textId="77777777" w:rsidTr="6F691FB8">
        <w:trPr>
          <w:trHeight w:val="390"/>
        </w:trPr>
        <w:tc>
          <w:tcPr>
            <w:tcW w:w="3375" w:type="dxa"/>
            <w:shd w:val="clear" w:color="auto" w:fill="F5F5DC"/>
            <w:tcMar>
              <w:left w:w="105" w:type="dxa"/>
              <w:right w:w="105" w:type="dxa"/>
            </w:tcMar>
          </w:tcPr>
          <w:p w14:paraId="7C77A996" w14:textId="109D836C"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May</w:t>
            </w:r>
          </w:p>
        </w:tc>
        <w:tc>
          <w:tcPr>
            <w:tcW w:w="4110" w:type="dxa"/>
            <w:shd w:val="clear" w:color="auto" w:fill="F5F5DC"/>
            <w:tcMar>
              <w:left w:w="105" w:type="dxa"/>
              <w:right w:w="105" w:type="dxa"/>
            </w:tcMar>
          </w:tcPr>
          <w:p w14:paraId="1DA5C22F" w14:textId="5E664984"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-588.83</w:t>
            </w:r>
          </w:p>
        </w:tc>
      </w:tr>
      <w:tr w:rsidR="6F691FB8" w:rsidRPr="008902F2" w14:paraId="46C6876F" w14:textId="77777777" w:rsidTr="6F691FB8">
        <w:trPr>
          <w:trHeight w:val="405"/>
        </w:trPr>
        <w:tc>
          <w:tcPr>
            <w:tcW w:w="3375" w:type="dxa"/>
            <w:shd w:val="clear" w:color="auto" w:fill="F5F5DC"/>
            <w:tcMar>
              <w:left w:w="105" w:type="dxa"/>
              <w:right w:w="105" w:type="dxa"/>
            </w:tcMar>
          </w:tcPr>
          <w:p w14:paraId="53CA424B" w14:textId="74E33C1B"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June</w:t>
            </w:r>
          </w:p>
        </w:tc>
        <w:tc>
          <w:tcPr>
            <w:tcW w:w="4110" w:type="dxa"/>
            <w:shd w:val="clear" w:color="auto" w:fill="F5F5DC"/>
            <w:tcMar>
              <w:left w:w="105" w:type="dxa"/>
              <w:right w:w="105" w:type="dxa"/>
            </w:tcMar>
          </w:tcPr>
          <w:p w14:paraId="27005C40" w14:textId="4DF0133B"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-435,69</w:t>
            </w:r>
          </w:p>
        </w:tc>
      </w:tr>
      <w:tr w:rsidR="6F691FB8" w:rsidRPr="008902F2" w14:paraId="557C7873" w14:textId="77777777" w:rsidTr="6F691FB8">
        <w:trPr>
          <w:trHeight w:val="405"/>
        </w:trPr>
        <w:tc>
          <w:tcPr>
            <w:tcW w:w="3375" w:type="dxa"/>
            <w:shd w:val="clear" w:color="auto" w:fill="F5F5DC"/>
            <w:tcMar>
              <w:left w:w="105" w:type="dxa"/>
              <w:right w:w="105" w:type="dxa"/>
            </w:tcMar>
          </w:tcPr>
          <w:p w14:paraId="2C463F55" w14:textId="1159FEA1"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July</w:t>
            </w:r>
          </w:p>
        </w:tc>
        <w:tc>
          <w:tcPr>
            <w:tcW w:w="4110" w:type="dxa"/>
            <w:shd w:val="clear" w:color="auto" w:fill="F5F5DC"/>
            <w:tcMar>
              <w:left w:w="105" w:type="dxa"/>
              <w:right w:w="105" w:type="dxa"/>
            </w:tcMar>
          </w:tcPr>
          <w:p w14:paraId="39C20658" w14:textId="314CEB29"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-504,97</w:t>
            </w:r>
          </w:p>
        </w:tc>
      </w:tr>
      <w:tr w:rsidR="6F691FB8" w:rsidRPr="008902F2" w14:paraId="5E13F39B" w14:textId="77777777" w:rsidTr="6F691FB8">
        <w:trPr>
          <w:trHeight w:val="390"/>
        </w:trPr>
        <w:tc>
          <w:tcPr>
            <w:tcW w:w="3375" w:type="dxa"/>
            <w:shd w:val="clear" w:color="auto" w:fill="F5F5DC"/>
            <w:tcMar>
              <w:left w:w="105" w:type="dxa"/>
              <w:right w:w="105" w:type="dxa"/>
            </w:tcMar>
          </w:tcPr>
          <w:p w14:paraId="4FBD2524" w14:textId="529F99E8"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August</w:t>
            </w:r>
          </w:p>
        </w:tc>
        <w:tc>
          <w:tcPr>
            <w:tcW w:w="4110" w:type="dxa"/>
            <w:shd w:val="clear" w:color="auto" w:fill="F5F5DC"/>
            <w:tcMar>
              <w:left w:w="105" w:type="dxa"/>
              <w:right w:w="105" w:type="dxa"/>
            </w:tcMar>
          </w:tcPr>
          <w:p w14:paraId="6824C3A5" w14:textId="6076F898"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-466,33</w:t>
            </w:r>
          </w:p>
        </w:tc>
      </w:tr>
      <w:tr w:rsidR="6F691FB8" w:rsidRPr="008902F2" w14:paraId="6D7DAFCC" w14:textId="77777777" w:rsidTr="6F691FB8">
        <w:trPr>
          <w:trHeight w:val="405"/>
        </w:trPr>
        <w:tc>
          <w:tcPr>
            <w:tcW w:w="3375" w:type="dxa"/>
            <w:shd w:val="clear" w:color="auto" w:fill="F5F5DC"/>
            <w:tcMar>
              <w:left w:w="105" w:type="dxa"/>
              <w:right w:w="105" w:type="dxa"/>
            </w:tcMar>
          </w:tcPr>
          <w:p w14:paraId="156C4EBD" w14:textId="7B75F293"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September</w:t>
            </w:r>
          </w:p>
        </w:tc>
        <w:tc>
          <w:tcPr>
            <w:tcW w:w="4110" w:type="dxa"/>
            <w:shd w:val="clear" w:color="auto" w:fill="F5F5DC"/>
            <w:tcMar>
              <w:left w:w="105" w:type="dxa"/>
              <w:right w:w="105" w:type="dxa"/>
            </w:tcMar>
          </w:tcPr>
          <w:p w14:paraId="49CE21F8" w14:textId="0F95304C"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-358,49</w:t>
            </w:r>
          </w:p>
        </w:tc>
      </w:tr>
      <w:tr w:rsidR="6F691FB8" w:rsidRPr="008902F2" w14:paraId="36EF2A0B" w14:textId="77777777" w:rsidTr="6F691FB8">
        <w:trPr>
          <w:trHeight w:val="390"/>
        </w:trPr>
        <w:tc>
          <w:tcPr>
            <w:tcW w:w="3375" w:type="dxa"/>
            <w:shd w:val="clear" w:color="auto" w:fill="F5F5DC"/>
            <w:tcMar>
              <w:left w:w="105" w:type="dxa"/>
              <w:right w:w="105" w:type="dxa"/>
            </w:tcMar>
          </w:tcPr>
          <w:p w14:paraId="3288CDB5" w14:textId="04DACAF7"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October</w:t>
            </w:r>
          </w:p>
        </w:tc>
        <w:tc>
          <w:tcPr>
            <w:tcW w:w="4110" w:type="dxa"/>
            <w:shd w:val="clear" w:color="auto" w:fill="F5F5DC"/>
            <w:tcMar>
              <w:left w:w="105" w:type="dxa"/>
              <w:right w:w="105" w:type="dxa"/>
            </w:tcMar>
          </w:tcPr>
          <w:p w14:paraId="7A4E58D1" w14:textId="2CB2CE25"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-318,16</w:t>
            </w:r>
          </w:p>
        </w:tc>
      </w:tr>
      <w:tr w:rsidR="6F691FB8" w:rsidRPr="008902F2" w14:paraId="39CD63C5" w14:textId="77777777" w:rsidTr="6F691FB8">
        <w:trPr>
          <w:trHeight w:val="405"/>
        </w:trPr>
        <w:tc>
          <w:tcPr>
            <w:tcW w:w="3375" w:type="dxa"/>
            <w:shd w:val="clear" w:color="auto" w:fill="F5F5DC"/>
            <w:tcMar>
              <w:left w:w="105" w:type="dxa"/>
              <w:right w:w="105" w:type="dxa"/>
            </w:tcMar>
          </w:tcPr>
          <w:p w14:paraId="2B19E659" w14:textId="2C0C2444"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November</w:t>
            </w:r>
          </w:p>
        </w:tc>
        <w:tc>
          <w:tcPr>
            <w:tcW w:w="4110" w:type="dxa"/>
            <w:shd w:val="clear" w:color="auto" w:fill="F5F5DC"/>
            <w:tcMar>
              <w:left w:w="105" w:type="dxa"/>
              <w:right w:w="105" w:type="dxa"/>
            </w:tcMar>
          </w:tcPr>
          <w:p w14:paraId="4A7EFD20" w14:textId="0CCEB881"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-298,98</w:t>
            </w:r>
          </w:p>
        </w:tc>
      </w:tr>
      <w:tr w:rsidR="6F691FB8" w:rsidRPr="008902F2" w14:paraId="1D85D226" w14:textId="77777777" w:rsidTr="6F691FB8">
        <w:trPr>
          <w:trHeight w:val="405"/>
        </w:trPr>
        <w:tc>
          <w:tcPr>
            <w:tcW w:w="3375" w:type="dxa"/>
            <w:shd w:val="clear" w:color="auto" w:fill="F5F5DC"/>
            <w:tcMar>
              <w:left w:w="105" w:type="dxa"/>
              <w:right w:w="105" w:type="dxa"/>
            </w:tcMar>
          </w:tcPr>
          <w:p w14:paraId="30EE3997" w14:textId="76549F20"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December</w:t>
            </w:r>
          </w:p>
        </w:tc>
        <w:tc>
          <w:tcPr>
            <w:tcW w:w="4110" w:type="dxa"/>
            <w:shd w:val="clear" w:color="auto" w:fill="F5F5DC"/>
            <w:tcMar>
              <w:left w:w="105" w:type="dxa"/>
              <w:right w:w="105" w:type="dxa"/>
            </w:tcMar>
          </w:tcPr>
          <w:p w14:paraId="0D5E0FD0" w14:textId="4D929871" w:rsidR="6F691FB8" w:rsidRPr="008902F2" w:rsidRDefault="6F691FB8" w:rsidP="6F691FB8">
            <w:pPr>
              <w:spacing w:after="200" w:line="276" w:lineRule="auto"/>
              <w:jc w:val="center"/>
              <w:rPr>
                <w:rFonts w:ascii="Times New Roman" w:hAnsi="Times New Roman"/>
                <w:color w:val="484848"/>
              </w:rPr>
            </w:pPr>
            <w:r w:rsidRPr="008902F2">
              <w:rPr>
                <w:rFonts w:ascii="Times New Roman" w:hAnsi="Times New Roman"/>
                <w:color w:val="484848"/>
              </w:rPr>
              <w:t>-355,02</w:t>
            </w:r>
          </w:p>
        </w:tc>
      </w:tr>
    </w:tbl>
    <w:p w14:paraId="27518B98" w14:textId="6AE14B56" w:rsidR="002C3099" w:rsidRPr="008902F2" w:rsidRDefault="002C3099" w:rsidP="6F691FB8">
      <w:pPr>
        <w:ind w:left="1440"/>
        <w:rPr>
          <w:rFonts w:ascii="Times New Roman" w:hAnsi="Times New Roman"/>
          <w:color w:val="000000" w:themeColor="text1"/>
        </w:rPr>
      </w:pPr>
    </w:p>
    <w:p w14:paraId="61557051" w14:textId="161CA8F4" w:rsidR="002C3099" w:rsidRPr="008902F2" w:rsidRDefault="6BA9880E" w:rsidP="6F691FB8">
      <w:pPr>
        <w:ind w:left="1440"/>
        <w:rPr>
          <w:rFonts w:ascii="Times New Roman" w:hAnsi="Times New Roman"/>
          <w:color w:val="000000" w:themeColor="text1"/>
        </w:rPr>
      </w:pPr>
      <w:r w:rsidRPr="008902F2">
        <w:rPr>
          <w:rFonts w:ascii="Times New Roman" w:hAnsi="Times New Roman"/>
          <w:color w:val="000000" w:themeColor="text1"/>
        </w:rPr>
        <w:t>2) In months where the projected YEKDEM cost is negative, the projected YEKDEM cost, which serves as a reference for bilateral agreements, and the projected YEKDEM cost used in the calculations for high-consumption consumers' last resort supply tariffs will be determined as "0 TL/MWh."</w:t>
      </w:r>
    </w:p>
    <w:p w14:paraId="539075E8" w14:textId="1387A352"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has decided.</w:t>
      </w:r>
    </w:p>
    <w:p w14:paraId="6F3DC0F2" w14:textId="4F85C250"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dated 02.04.2022 and numbered 31797, published in the Official Gazette on 02.04.2022, the 10907 Decision dated 31.03.2022, the annual consumption quantity specified in the 5th article of the Tebliğ Regarding the Last Resort Supply Tariff has been determined as 50 million kWh/year for residential customer group, 7 million kWh/year for agricultural activities customer group, and 1 million kWh/year for other consumer groups as of 01.07.2022.</w:t>
      </w:r>
    </w:p>
    <w:p w14:paraId="45114007" w14:textId="6B54995F" w:rsidR="002C3099" w:rsidRPr="008902F2" w:rsidRDefault="002C3099" w:rsidP="6F691FB8">
      <w:pPr>
        <w:spacing w:after="160" w:line="259" w:lineRule="auto"/>
        <w:ind w:left="720"/>
        <w:rPr>
          <w:rFonts w:ascii="Times New Roman" w:hAnsi="Times New Roman"/>
          <w:color w:val="000000" w:themeColor="text1"/>
        </w:rPr>
      </w:pPr>
    </w:p>
    <w:p w14:paraId="061E97C1" w14:textId="015A2985"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dated 30.04.2022 and numbered 31825, published in the Official Gazette on 30.04.2022, the 10961 Decision dated 28.04.2022, the heading of the 5th article of "Procedures and Principles for Tariff Applications of Distribution License Holders and Appointed Supply Companies" has been changed to "Agricultural Activities Customer Group," and the heading of the 7th article has been changed to "Public and Private Services Sector and Other Customer Group."</w:t>
      </w:r>
    </w:p>
    <w:p w14:paraId="0A64C70C" w14:textId="51ACB38A" w:rsidR="002C3099" w:rsidRPr="008902F2" w:rsidRDefault="002C3099" w:rsidP="6F691FB8">
      <w:pPr>
        <w:spacing w:after="160" w:line="259" w:lineRule="auto"/>
        <w:ind w:left="720"/>
        <w:rPr>
          <w:rFonts w:ascii="Times New Roman" w:hAnsi="Times New Roman"/>
          <w:color w:val="000000" w:themeColor="text1"/>
        </w:rPr>
      </w:pPr>
    </w:p>
    <w:p w14:paraId="2A9BAAA9" w14:textId="4A56834B"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dated 01.07.2022 and numbered 31883, published in the Official Gazette on 01.07.2022, the 11053 Decision dated 30.06.2022, the phrase "consumptions that are not covered within the scope of the General Lighting Regulation published in the Official Gazette numbered 28720 and dated 27.07.2013" in the first paragraph of the 4th article of the Procedures and Principles for Tariff Applications of Distribution License Holders and Appointed Supply Companies has been changed to "worship places."</w:t>
      </w:r>
    </w:p>
    <w:p w14:paraId="4C9ABF30" w14:textId="4A37B99E" w:rsidR="002C3099" w:rsidRPr="008902F2" w:rsidRDefault="002C3099" w:rsidP="6F691FB8">
      <w:pPr>
        <w:spacing w:after="160" w:line="259" w:lineRule="auto"/>
        <w:ind w:left="720"/>
        <w:rPr>
          <w:rFonts w:ascii="Times New Roman" w:hAnsi="Times New Roman"/>
          <w:color w:val="000000" w:themeColor="text1"/>
        </w:rPr>
      </w:pPr>
    </w:p>
    <w:p w14:paraId="13F83D95" w14:textId="461D77D8"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dated 30.10.2022 and numbered 31998, published in the Official Gazette on 30.10.2022, the 11338 Decision dated 27.10.2022, the Procedures and Principles for Tariff Applications of Distribution License Holders and Appointed Supply Companies published in the Official Gazette numbered 29579, 4th supplementary issue, dated 31/12/2015... (The rest of the text is missing).</w:t>
      </w:r>
    </w:p>
    <w:p w14:paraId="2A27424E" w14:textId="75EC0B81" w:rsidR="002C3099" w:rsidRPr="008902F2" w:rsidRDefault="6BA9880E" w:rsidP="6F691FB8">
      <w:pPr>
        <w:spacing w:after="160" w:line="259" w:lineRule="auto"/>
        <w:ind w:left="1491"/>
        <w:rPr>
          <w:rFonts w:ascii="Times New Roman" w:hAnsi="Times New Roman"/>
          <w:color w:val="000000" w:themeColor="text1"/>
        </w:rPr>
      </w:pPr>
      <w:r w:rsidRPr="008902F2">
        <w:rPr>
          <w:rFonts w:ascii="Times New Roman" w:hAnsi="Times New Roman"/>
          <w:i/>
          <w:iCs/>
          <w:color w:val="000000" w:themeColor="text1"/>
        </w:rPr>
        <w:t>With the decision dated 30.10.2022 and numbered 31998, published in the Official Gazette on 30.10.2022, the 11338 Decision dated 27.10.2022, the phrase "muhtarlık hizmet binaları" has been added after the phrase "ibadethaneler ile müştemilatı niteliğindeki lojman ve benzeri yerleri," in the first paragraph of the 4th article of the Procedures and Principles for Tariff Applications of Distribution License Holders and Appointed Supply Companies published in the Official Gazette numbered 29579, 4th supplementary issue, dated 31/12/2015... (The rest of the text is missing).</w:t>
      </w:r>
    </w:p>
    <w:p w14:paraId="248B6155" w14:textId="1B4B5A68" w:rsidR="002C3099" w:rsidRPr="008902F2" w:rsidRDefault="002C3099" w:rsidP="6F691FB8">
      <w:pPr>
        <w:spacing w:after="160" w:line="259" w:lineRule="auto"/>
        <w:ind w:left="1491"/>
        <w:rPr>
          <w:rFonts w:ascii="Times New Roman" w:hAnsi="Times New Roman"/>
          <w:color w:val="000000" w:themeColor="text1"/>
        </w:rPr>
      </w:pPr>
    </w:p>
    <w:p w14:paraId="496AF828" w14:textId="28C8F44C" w:rsidR="002C3099" w:rsidRPr="008902F2" w:rsidRDefault="6BA9880E" w:rsidP="00A86526">
      <w:pPr>
        <w:pStyle w:val="ListeParagraf"/>
        <w:numPr>
          <w:ilvl w:val="0"/>
          <w:numId w:val="15"/>
        </w:numPr>
        <w:spacing w:after="160" w:line="259" w:lineRule="auto"/>
        <w:rPr>
          <w:rFonts w:ascii="Times New Roman" w:hAnsi="Times New Roman"/>
          <w:color w:val="000000" w:themeColor="text1"/>
        </w:rPr>
      </w:pPr>
      <w:r w:rsidRPr="008902F2">
        <w:rPr>
          <w:rFonts w:ascii="Times New Roman" w:hAnsi="Times New Roman"/>
          <w:color w:val="000000" w:themeColor="text1"/>
        </w:rPr>
        <w:t>With the decision dated 30.10.2022 and numbered 31998, published in the Official Gazette on 30.10.2022, the 11357 Decision dated 27.10.2022, the following decisions were made regarding the Regulation on the Organization of Last Resort Supply Tariff:</w:t>
      </w:r>
    </w:p>
    <w:p w14:paraId="2FA54EE8" w14:textId="287F1CF1" w:rsidR="002C3099" w:rsidRPr="008902F2" w:rsidRDefault="002C3099" w:rsidP="6F691FB8">
      <w:pPr>
        <w:spacing w:after="160" w:line="259" w:lineRule="auto"/>
        <w:ind w:left="720"/>
        <w:rPr>
          <w:rFonts w:ascii="Times New Roman" w:hAnsi="Times New Roman"/>
          <w:color w:val="000000" w:themeColor="text1"/>
        </w:rPr>
      </w:pPr>
    </w:p>
    <w:p w14:paraId="689ABA61" w14:textId="6B68D81C"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i/>
          <w:iCs/>
          <w:color w:val="000000" w:themeColor="text1"/>
        </w:rPr>
        <w:t>-In the third paragraph of Article 5, the consumption amount for the year 2023 will be applied as 100 million kWh/year for residential and agricultural consumer groups, and 1 million kWh/year for other consumer groups.</w:t>
      </w:r>
    </w:p>
    <w:p w14:paraId="6382A545" w14:textId="0AE60BF6" w:rsidR="002C3099" w:rsidRPr="008902F2" w:rsidRDefault="002C3099" w:rsidP="6F691FB8">
      <w:pPr>
        <w:spacing w:after="160" w:line="259" w:lineRule="auto"/>
        <w:ind w:left="720"/>
        <w:rPr>
          <w:rFonts w:ascii="Times New Roman" w:hAnsi="Times New Roman"/>
          <w:color w:val="000000" w:themeColor="text1"/>
        </w:rPr>
      </w:pPr>
    </w:p>
    <w:p w14:paraId="2B54C650" w14:textId="06D61FAC"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i/>
          <w:iCs/>
          <w:color w:val="000000" w:themeColor="text1"/>
        </w:rPr>
        <w:t>-</w:t>
      </w:r>
      <w:r w:rsidR="00E600A3" w:rsidRPr="00E600A3">
        <w:rPr>
          <w:rFonts w:ascii="Times New Roman" w:hAnsi="Times New Roman"/>
          <w:i/>
          <w:iCs/>
          <w:color w:val="000000" w:themeColor="text1"/>
        </w:rPr>
        <w:t>•In accordance with the Board Decision dated 29.12.2022 and numbered 11529-4 published in the Official Gazette dated 30.12.2022 and numbered 32059 (2nd Repeat) and the distribution companies of the assigned supply companies in accordance with Article 2 of the Board Decision dated 24/12/2020 and numbered 9871 It has been decided that the fees for the payment notification and second notification services they receive will be applied as follows, starting from 1/1/2023.</w:t>
      </w:r>
    </w:p>
    <w:tbl>
      <w:tblPr>
        <w:tblW w:w="0" w:type="auto"/>
        <w:tblInd w:w="69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05"/>
        <w:gridCol w:w="1470"/>
        <w:gridCol w:w="1305"/>
      </w:tblGrid>
      <w:tr w:rsidR="6F691FB8" w:rsidRPr="008902F2" w14:paraId="549E09A1" w14:textId="77777777" w:rsidTr="00E600A3">
        <w:trPr>
          <w:trHeight w:val="315"/>
        </w:trPr>
        <w:tc>
          <w:tcPr>
            <w:tcW w:w="7680" w:type="dxa"/>
            <w:gridSpan w:val="3"/>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A57AB1" w14:textId="62CC5EA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Payment Notice and Second Notice Leave Fees</w:t>
            </w:r>
          </w:p>
        </w:tc>
      </w:tr>
      <w:tr w:rsidR="6F691FB8" w:rsidRPr="008902F2" w14:paraId="57639C4C" w14:textId="77777777" w:rsidTr="00E600A3">
        <w:trPr>
          <w:trHeight w:val="315"/>
        </w:trPr>
        <w:tc>
          <w:tcPr>
            <w:tcW w:w="4905" w:type="dxa"/>
            <w:vMerge w:val="restart"/>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AD656A" w14:textId="100FAB7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2023</w:t>
            </w:r>
          </w:p>
        </w:tc>
        <w:tc>
          <w:tcPr>
            <w:tcW w:w="2775"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C657BC" w14:textId="33A11CD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Value (TL/Transaction)</w:t>
            </w:r>
          </w:p>
        </w:tc>
      </w:tr>
      <w:tr w:rsidR="6F691FB8" w:rsidRPr="008902F2" w14:paraId="26BEB34B" w14:textId="77777777" w:rsidTr="00E600A3">
        <w:trPr>
          <w:trHeight w:val="315"/>
        </w:trPr>
        <w:tc>
          <w:tcPr>
            <w:tcW w:w="4905" w:type="dxa"/>
            <w:vMerge/>
            <w:tcBorders>
              <w:left w:val="single" w:sz="0" w:space="0" w:color="auto"/>
              <w:bottom w:val="single" w:sz="0" w:space="0" w:color="auto"/>
              <w:right w:val="single" w:sz="0" w:space="0" w:color="auto"/>
            </w:tcBorders>
            <w:vAlign w:val="center"/>
          </w:tcPr>
          <w:p w14:paraId="78585DBE" w14:textId="77777777" w:rsidR="00A660AB" w:rsidRPr="008902F2" w:rsidRDefault="00A660AB">
            <w:pPr>
              <w:rPr>
                <w:rFonts w:ascii="Times New Roman" w:hAnsi="Times New Roman"/>
              </w:rPr>
            </w:pP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1F757A" w14:textId="2560962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AG</w:t>
            </w:r>
          </w:p>
        </w:tc>
        <w:tc>
          <w:tcPr>
            <w:tcW w:w="13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3E722F" w14:textId="6465098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OG</w:t>
            </w:r>
          </w:p>
        </w:tc>
      </w:tr>
      <w:tr w:rsidR="6F691FB8" w:rsidRPr="008902F2" w14:paraId="70582103" w14:textId="77777777" w:rsidTr="00E600A3">
        <w:trPr>
          <w:trHeight w:val="315"/>
        </w:trPr>
        <w:tc>
          <w:tcPr>
            <w:tcW w:w="49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9F0C03" w14:textId="42516C23" w:rsidR="6F691FB8" w:rsidRPr="008902F2" w:rsidRDefault="6F691FB8" w:rsidP="6F691FB8">
            <w:pPr>
              <w:spacing w:after="0" w:line="240" w:lineRule="auto"/>
              <w:ind w:left="212"/>
              <w:rPr>
                <w:rFonts w:ascii="Times New Roman" w:hAnsi="Times New Roman"/>
                <w:color w:val="000000" w:themeColor="text1"/>
              </w:rPr>
            </w:pPr>
            <w:r w:rsidRPr="008902F2">
              <w:rPr>
                <w:rFonts w:ascii="Times New Roman" w:hAnsi="Times New Roman"/>
                <w:color w:val="000000" w:themeColor="text1"/>
              </w:rPr>
              <w:t>Payment Notice Leave Fee</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B7FA8D" w14:textId="55A9458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0,133</w:t>
            </w:r>
          </w:p>
        </w:tc>
        <w:tc>
          <w:tcPr>
            <w:tcW w:w="13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5E862B" w14:textId="7C4B646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1,33</w:t>
            </w:r>
          </w:p>
        </w:tc>
      </w:tr>
      <w:tr w:rsidR="6F691FB8" w:rsidRPr="008902F2" w14:paraId="5A930519" w14:textId="77777777" w:rsidTr="00E600A3">
        <w:trPr>
          <w:trHeight w:val="315"/>
        </w:trPr>
        <w:tc>
          <w:tcPr>
            <w:tcW w:w="49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DED2E" w14:textId="67B23E62" w:rsidR="6F691FB8" w:rsidRPr="008902F2" w:rsidRDefault="6F691FB8" w:rsidP="6F691FB8">
            <w:pPr>
              <w:spacing w:after="0" w:line="240" w:lineRule="auto"/>
              <w:ind w:left="212"/>
              <w:rPr>
                <w:rFonts w:ascii="Times New Roman" w:hAnsi="Times New Roman"/>
                <w:color w:val="000000" w:themeColor="text1"/>
              </w:rPr>
            </w:pPr>
            <w:r w:rsidRPr="008902F2">
              <w:rPr>
                <w:rFonts w:ascii="Times New Roman" w:hAnsi="Times New Roman"/>
                <w:color w:val="000000" w:themeColor="text1"/>
              </w:rPr>
              <w:t>Second Notice Leave Fee</w:t>
            </w:r>
          </w:p>
        </w:tc>
        <w:tc>
          <w:tcPr>
            <w:tcW w:w="14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BF1C4F" w14:textId="57FDD56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2,66</w:t>
            </w:r>
          </w:p>
        </w:tc>
        <w:tc>
          <w:tcPr>
            <w:tcW w:w="13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D0BC18" w14:textId="460AEC6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26,68</w:t>
            </w:r>
          </w:p>
        </w:tc>
      </w:tr>
      <w:tr w:rsidR="6F691FB8" w:rsidRPr="008902F2" w14:paraId="3AC9C120" w14:textId="77777777" w:rsidTr="00E600A3">
        <w:trPr>
          <w:trHeight w:val="615"/>
        </w:trPr>
        <w:tc>
          <w:tcPr>
            <w:tcW w:w="49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A5824F" w14:textId="4BC0DBD4" w:rsidR="6F691FB8" w:rsidRPr="008902F2" w:rsidRDefault="6F691FB8" w:rsidP="6F691FB8">
            <w:pPr>
              <w:spacing w:after="0" w:line="240" w:lineRule="auto"/>
              <w:ind w:left="212"/>
              <w:rPr>
                <w:rFonts w:ascii="Times New Roman" w:hAnsi="Times New Roman"/>
                <w:color w:val="000000" w:themeColor="text1"/>
              </w:rPr>
            </w:pPr>
            <w:r w:rsidRPr="008902F2">
              <w:rPr>
                <w:rFonts w:ascii="Times New Roman" w:hAnsi="Times New Roman"/>
                <w:color w:val="000000" w:themeColor="text1"/>
              </w:rPr>
              <w:t>The Fee to be Applied in the Case of Leaving a Second Notice together with the Payment Notification</w:t>
            </w:r>
          </w:p>
        </w:tc>
        <w:tc>
          <w:tcPr>
            <w:tcW w:w="2775"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096D4F" w14:textId="79CEAF0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w:t>
            </w:r>
          </w:p>
        </w:tc>
      </w:tr>
    </w:tbl>
    <w:p w14:paraId="366EE178" w14:textId="4978BE4D" w:rsidR="00E600A3" w:rsidRDefault="00E600A3" w:rsidP="00E600A3">
      <w:pPr>
        <w:pStyle w:val="ListeParagraf"/>
        <w:tabs>
          <w:tab w:val="left" w:pos="1800"/>
        </w:tabs>
        <w:spacing w:after="0" w:line="240" w:lineRule="auto"/>
        <w:ind w:left="1785"/>
        <w:rPr>
          <w:rFonts w:ascii="Times New Roman" w:hAnsi="Times New Roman"/>
          <w:color w:val="000000" w:themeColor="text1"/>
        </w:rPr>
      </w:pPr>
    </w:p>
    <w:p w14:paraId="38297427" w14:textId="77777777" w:rsidR="00E600A3" w:rsidRDefault="00E600A3" w:rsidP="00E600A3">
      <w:pPr>
        <w:pStyle w:val="ListeParagraf"/>
        <w:tabs>
          <w:tab w:val="left" w:pos="1800"/>
        </w:tabs>
        <w:spacing w:after="0" w:line="240" w:lineRule="auto"/>
        <w:ind w:left="1785"/>
        <w:rPr>
          <w:rFonts w:ascii="Times New Roman" w:hAnsi="Times New Roman"/>
          <w:color w:val="000000" w:themeColor="text1"/>
        </w:rPr>
      </w:pPr>
    </w:p>
    <w:p w14:paraId="299BE929" w14:textId="0D3B67D1" w:rsidR="002C3099" w:rsidRDefault="00E600A3" w:rsidP="00A86526">
      <w:pPr>
        <w:pStyle w:val="ListeParagraf"/>
        <w:numPr>
          <w:ilvl w:val="0"/>
          <w:numId w:val="14"/>
        </w:numPr>
        <w:tabs>
          <w:tab w:val="left" w:pos="1800"/>
        </w:tabs>
        <w:spacing w:after="0" w:line="240" w:lineRule="auto"/>
        <w:rPr>
          <w:rFonts w:ascii="Times New Roman" w:hAnsi="Times New Roman"/>
          <w:color w:val="000000" w:themeColor="text1"/>
        </w:rPr>
      </w:pPr>
      <w:r w:rsidRPr="00E600A3">
        <w:rPr>
          <w:rFonts w:ascii="Times New Roman" w:hAnsi="Times New Roman"/>
          <w:color w:val="000000" w:themeColor="text1"/>
        </w:rPr>
        <w:lastRenderedPageBreak/>
        <w:t>• In accordance with the Board Decision dated 29.12.2022 and numbered 11529-8 published in the Official Gazette dated 30.12.2022 and numbered 32059 (2nd Duplicate) and in accordance with subparagraph (c) of the second paragraph of Article 36 of the Regulation on Unlicensed Electricity Production in the Electricity Market, the relevant network operator and the authorized supplier It has been decided that the transaction fee to be collected by the companies will be applied as follows for 2023.</w:t>
      </w:r>
    </w:p>
    <w:p w14:paraId="3B0A83BC" w14:textId="77777777" w:rsidR="00E600A3" w:rsidRPr="008902F2" w:rsidRDefault="00E600A3" w:rsidP="00E600A3">
      <w:pPr>
        <w:pStyle w:val="ListeParagraf"/>
        <w:tabs>
          <w:tab w:val="left" w:pos="1800"/>
        </w:tabs>
        <w:spacing w:after="0" w:line="240" w:lineRule="auto"/>
        <w:ind w:left="1785"/>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15"/>
        <w:gridCol w:w="1785"/>
      </w:tblGrid>
      <w:tr w:rsidR="6F691FB8" w:rsidRPr="008902F2" w14:paraId="5E4E036D" w14:textId="77777777" w:rsidTr="6F691FB8">
        <w:trPr>
          <w:trHeight w:val="315"/>
        </w:trPr>
        <w:tc>
          <w:tcPr>
            <w:tcW w:w="4800"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589EAB" w14:textId="6930AA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Transaction Fees</w:t>
            </w:r>
          </w:p>
        </w:tc>
      </w:tr>
      <w:tr w:rsidR="6F691FB8" w:rsidRPr="008902F2" w14:paraId="7011B411" w14:textId="77777777" w:rsidTr="6F691FB8">
        <w:trPr>
          <w:trHeight w:val="315"/>
        </w:trPr>
        <w:tc>
          <w:tcPr>
            <w:tcW w:w="4800"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05F756" w14:textId="3AEDEE9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2023</w:t>
            </w:r>
          </w:p>
        </w:tc>
      </w:tr>
      <w:tr w:rsidR="6F691FB8" w:rsidRPr="008902F2" w14:paraId="63A0D59C" w14:textId="77777777" w:rsidTr="6F691FB8">
        <w:trPr>
          <w:trHeight w:val="315"/>
        </w:trPr>
        <w:tc>
          <w:tcPr>
            <w:tcW w:w="30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4ED093" w14:textId="1BC70A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Operation Type</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41E222" w14:textId="4A371160"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 xml:space="preserve">    Price (TL)</w:t>
            </w:r>
          </w:p>
        </w:tc>
      </w:tr>
      <w:tr w:rsidR="6F691FB8" w:rsidRPr="008902F2" w14:paraId="2CC5CA7F" w14:textId="77777777" w:rsidTr="6F691FB8">
        <w:trPr>
          <w:trHeight w:val="315"/>
        </w:trPr>
        <w:tc>
          <w:tcPr>
            <w:tcW w:w="30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DBB4C3" w14:textId="64B085D8" w:rsidR="6F691FB8" w:rsidRPr="008902F2" w:rsidRDefault="6F691FB8" w:rsidP="6F691FB8">
            <w:pPr>
              <w:spacing w:after="0" w:line="240" w:lineRule="auto"/>
              <w:ind w:firstLineChars="100" w:firstLine="220"/>
              <w:rPr>
                <w:rFonts w:ascii="Times New Roman" w:hAnsi="Times New Roman"/>
                <w:color w:val="000000" w:themeColor="text1"/>
              </w:rPr>
            </w:pPr>
            <w:r w:rsidRPr="008902F2">
              <w:rPr>
                <w:rFonts w:ascii="Times New Roman" w:hAnsi="Times New Roman"/>
                <w:color w:val="000000" w:themeColor="text1"/>
              </w:rPr>
              <w:t>Share Transfer</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26D802" w14:textId="3D16E6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w:t>
            </w:r>
          </w:p>
        </w:tc>
      </w:tr>
      <w:tr w:rsidR="6F691FB8" w:rsidRPr="008902F2" w14:paraId="21FD61DD" w14:textId="77777777" w:rsidTr="6F691FB8">
        <w:trPr>
          <w:trHeight w:val="315"/>
        </w:trPr>
        <w:tc>
          <w:tcPr>
            <w:tcW w:w="30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7E1B8C" w14:textId="0EC515E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xml:space="preserve">    Other Operations</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261549" w14:textId="048B02C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1348,1</w:t>
            </w:r>
          </w:p>
        </w:tc>
      </w:tr>
    </w:tbl>
    <w:p w14:paraId="48E62643" w14:textId="36EA48CA" w:rsidR="002C3099" w:rsidRPr="008902F2" w:rsidRDefault="002C3099" w:rsidP="6F691FB8">
      <w:pPr>
        <w:spacing w:after="160" w:line="259" w:lineRule="auto"/>
        <w:ind w:left="720"/>
        <w:contextualSpacing/>
        <w:rPr>
          <w:rFonts w:ascii="Times New Roman" w:hAnsi="Times New Roman"/>
          <w:color w:val="000000" w:themeColor="text1"/>
        </w:rPr>
      </w:pPr>
    </w:p>
    <w:p w14:paraId="44C96B9D" w14:textId="3BED0570" w:rsidR="002C3099" w:rsidRPr="008902F2" w:rsidRDefault="002C3099" w:rsidP="6F691FB8">
      <w:pPr>
        <w:spacing w:after="160" w:line="259" w:lineRule="auto"/>
        <w:ind w:left="720"/>
        <w:contextualSpacing/>
        <w:rPr>
          <w:rFonts w:ascii="Times New Roman" w:hAnsi="Times New Roman"/>
          <w:color w:val="000000" w:themeColor="text1"/>
        </w:rPr>
      </w:pPr>
    </w:p>
    <w:p w14:paraId="2DEE7D9D" w14:textId="08E2537B" w:rsidR="002C3099" w:rsidRPr="008902F2" w:rsidRDefault="00E600A3" w:rsidP="6F691FB8">
      <w:pPr>
        <w:spacing w:after="160" w:line="259" w:lineRule="auto"/>
        <w:ind w:left="720"/>
        <w:rPr>
          <w:rFonts w:ascii="Times New Roman" w:hAnsi="Times New Roman"/>
          <w:color w:val="000000" w:themeColor="text1"/>
        </w:rPr>
      </w:pPr>
      <w:r w:rsidRPr="00E600A3">
        <w:rPr>
          <w:rFonts w:ascii="Times New Roman" w:hAnsi="Times New Roman"/>
          <w:color w:val="000000" w:themeColor="text1"/>
        </w:rPr>
        <w:t>• For electricity production facilities based on solar energy with a capacity of 25 kW and below, within the scope of the Unlicensed Electricity Production Regulation in the Electricity Market, with the Board Decision dated 29.12.2022 and numbered 11529-9, published in the Official Gazette dated 30.12.2022 and numbered 32059 (2nd Repeat). It has been decided that the fees for project approval and acceptance transactions to be made by electricity distribution companies will be applied as follows, starting from 1/1/2023.</w:t>
      </w:r>
    </w:p>
    <w:p w14:paraId="07250B30" w14:textId="15C08829" w:rsidR="002C3099" w:rsidRPr="008902F2" w:rsidRDefault="002C3099" w:rsidP="6F691FB8">
      <w:pPr>
        <w:spacing w:after="160" w:line="259" w:lineRule="auto"/>
        <w:ind w:left="720"/>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85"/>
        <w:gridCol w:w="1785"/>
      </w:tblGrid>
      <w:tr w:rsidR="6F691FB8" w:rsidRPr="008902F2" w14:paraId="365BEDEF" w14:textId="77777777" w:rsidTr="6F691FB8">
        <w:trPr>
          <w:trHeight w:val="900"/>
        </w:trPr>
        <w:tc>
          <w:tcPr>
            <w:tcW w:w="5370"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60109041" w14:textId="5E6E4998"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Project Approval and Acceptance Transaction Fees for Roof and Facade Application Solar Power Plants of 25 kW and Below</w:t>
            </w:r>
          </w:p>
        </w:tc>
      </w:tr>
      <w:tr w:rsidR="6F691FB8" w:rsidRPr="008902F2" w14:paraId="60ACDD86" w14:textId="77777777" w:rsidTr="6F691FB8">
        <w:trPr>
          <w:trHeight w:val="315"/>
        </w:trPr>
        <w:tc>
          <w:tcPr>
            <w:tcW w:w="5370"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3770CE64" w14:textId="400F8B03"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2023</w:t>
            </w:r>
          </w:p>
        </w:tc>
      </w:tr>
      <w:tr w:rsidR="6F691FB8" w:rsidRPr="008902F2" w14:paraId="03D7E0AB" w14:textId="77777777" w:rsidTr="6F691FB8">
        <w:trPr>
          <w:trHeight w:val="315"/>
        </w:trPr>
        <w:tc>
          <w:tcPr>
            <w:tcW w:w="3585" w:type="dxa"/>
            <w:tcBorders>
              <w:top w:val="single" w:sz="6" w:space="0" w:color="auto"/>
              <w:left w:val="single" w:sz="6" w:space="0" w:color="auto"/>
              <w:bottom w:val="single" w:sz="6" w:space="0" w:color="auto"/>
              <w:right w:val="single" w:sz="6" w:space="0" w:color="auto"/>
            </w:tcBorders>
            <w:tcMar>
              <w:left w:w="60" w:type="dxa"/>
              <w:right w:w="60" w:type="dxa"/>
            </w:tcMar>
          </w:tcPr>
          <w:p w14:paraId="2C1B5DCB" w14:textId="533C52CC"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Operation Type</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tcPr>
          <w:p w14:paraId="53B5AB1A" w14:textId="6C38796A"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Price (TL)</w:t>
            </w:r>
          </w:p>
        </w:tc>
      </w:tr>
      <w:tr w:rsidR="6F691FB8" w:rsidRPr="008902F2" w14:paraId="1AB066F4" w14:textId="77777777" w:rsidTr="6F691FB8">
        <w:trPr>
          <w:trHeight w:val="315"/>
        </w:trPr>
        <w:tc>
          <w:tcPr>
            <w:tcW w:w="3585" w:type="dxa"/>
            <w:tcBorders>
              <w:top w:val="single" w:sz="6" w:space="0" w:color="auto"/>
              <w:left w:val="single" w:sz="6" w:space="0" w:color="auto"/>
              <w:bottom w:val="single" w:sz="6" w:space="0" w:color="auto"/>
              <w:right w:val="single" w:sz="6" w:space="0" w:color="auto"/>
            </w:tcBorders>
            <w:tcMar>
              <w:left w:w="60" w:type="dxa"/>
              <w:right w:w="60" w:type="dxa"/>
            </w:tcMar>
          </w:tcPr>
          <w:p w14:paraId="58C13E9C" w14:textId="14212DF6" w:rsidR="6F691FB8" w:rsidRPr="008902F2" w:rsidRDefault="6F691FB8" w:rsidP="6F691FB8">
            <w:pPr>
              <w:spacing w:after="0" w:line="240" w:lineRule="auto"/>
              <w:ind w:firstLineChars="100" w:firstLine="220"/>
              <w:rPr>
                <w:rFonts w:ascii="Times New Roman" w:hAnsi="Times New Roman"/>
              </w:rPr>
            </w:pPr>
            <w:r w:rsidRPr="008902F2">
              <w:rPr>
                <w:rFonts w:ascii="Times New Roman" w:hAnsi="Times New Roman"/>
              </w:rPr>
              <w:t>Project Approval</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tcPr>
          <w:p w14:paraId="5CA0FB72" w14:textId="324BC3B0"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0</w:t>
            </w:r>
          </w:p>
        </w:tc>
      </w:tr>
      <w:tr w:rsidR="6F691FB8" w:rsidRPr="008902F2" w14:paraId="76F6CCDF" w14:textId="77777777" w:rsidTr="6F691FB8">
        <w:trPr>
          <w:trHeight w:val="315"/>
        </w:trPr>
        <w:tc>
          <w:tcPr>
            <w:tcW w:w="3585" w:type="dxa"/>
            <w:tcBorders>
              <w:top w:val="single" w:sz="6" w:space="0" w:color="auto"/>
              <w:left w:val="single" w:sz="6" w:space="0" w:color="auto"/>
              <w:bottom w:val="single" w:sz="6" w:space="0" w:color="auto"/>
              <w:right w:val="single" w:sz="6" w:space="0" w:color="auto"/>
            </w:tcBorders>
            <w:tcMar>
              <w:left w:w="60" w:type="dxa"/>
              <w:right w:w="60" w:type="dxa"/>
            </w:tcMar>
          </w:tcPr>
          <w:p w14:paraId="3706D11F" w14:textId="6F69E8E7" w:rsidR="6F691FB8" w:rsidRPr="008902F2" w:rsidRDefault="6F691FB8" w:rsidP="6F691FB8">
            <w:pPr>
              <w:spacing w:after="0" w:line="240" w:lineRule="auto"/>
              <w:rPr>
                <w:rFonts w:ascii="Times New Roman" w:hAnsi="Times New Roman"/>
              </w:rPr>
            </w:pPr>
            <w:r w:rsidRPr="008902F2">
              <w:rPr>
                <w:rFonts w:ascii="Times New Roman" w:hAnsi="Times New Roman"/>
              </w:rPr>
              <w:t xml:space="preserve">    Project Acceptance</w:t>
            </w:r>
          </w:p>
        </w:tc>
        <w:tc>
          <w:tcPr>
            <w:tcW w:w="1785" w:type="dxa"/>
            <w:tcBorders>
              <w:top w:val="single" w:sz="6" w:space="0" w:color="auto"/>
              <w:left w:val="single" w:sz="6" w:space="0" w:color="auto"/>
              <w:bottom w:val="single" w:sz="6" w:space="0" w:color="auto"/>
              <w:right w:val="single" w:sz="6" w:space="0" w:color="auto"/>
            </w:tcBorders>
            <w:tcMar>
              <w:left w:w="60" w:type="dxa"/>
              <w:right w:w="60" w:type="dxa"/>
            </w:tcMar>
          </w:tcPr>
          <w:p w14:paraId="6D855E9E" w14:textId="0FE02D82"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0</w:t>
            </w:r>
          </w:p>
        </w:tc>
      </w:tr>
    </w:tbl>
    <w:p w14:paraId="5F06B950" w14:textId="2DA55BB6" w:rsidR="002C3099" w:rsidRPr="008902F2" w:rsidRDefault="002C3099" w:rsidP="6F691FB8">
      <w:pPr>
        <w:spacing w:after="160" w:line="259" w:lineRule="auto"/>
        <w:ind w:left="720"/>
        <w:contextualSpacing/>
        <w:rPr>
          <w:rFonts w:ascii="Times New Roman" w:hAnsi="Times New Roman"/>
          <w:color w:val="000000" w:themeColor="text1"/>
        </w:rPr>
      </w:pPr>
    </w:p>
    <w:p w14:paraId="2F61574E" w14:textId="3B34ABCB" w:rsidR="002C3099" w:rsidRDefault="00E600A3" w:rsidP="6F691FB8">
      <w:pPr>
        <w:tabs>
          <w:tab w:val="left" w:pos="1800"/>
        </w:tabs>
        <w:spacing w:after="0" w:line="240" w:lineRule="auto"/>
        <w:ind w:left="720"/>
        <w:rPr>
          <w:rFonts w:ascii="Times New Roman" w:hAnsi="Times New Roman"/>
          <w:color w:val="000000" w:themeColor="text1"/>
        </w:rPr>
      </w:pPr>
      <w:r w:rsidRPr="00E600A3">
        <w:rPr>
          <w:rFonts w:ascii="Times New Roman" w:hAnsi="Times New Roman"/>
          <w:color w:val="000000" w:themeColor="text1"/>
        </w:rPr>
        <w:t>• Within the scope of the Automatic Meter Reading System in accordance with the Board Decision dated 29.12.2022 and numbered 11529-10 published in the Official Gazette dated 30.12.2022 and numbered 32059 (2nd Repeat) and Article 4 of the Board Decision dated 5/10/2016 and numbered 6520 If additional data is requested, it has been decided that the fee to be collected will be applied as follows, starting from 1/1/2023.</w:t>
      </w:r>
    </w:p>
    <w:p w14:paraId="6EAF6448" w14:textId="7CC8835B" w:rsidR="00E600A3" w:rsidRDefault="00E600A3" w:rsidP="6F691FB8">
      <w:pPr>
        <w:tabs>
          <w:tab w:val="left" w:pos="1800"/>
        </w:tabs>
        <w:spacing w:after="0" w:line="240" w:lineRule="auto"/>
        <w:ind w:left="720"/>
        <w:rPr>
          <w:rFonts w:ascii="Times New Roman" w:hAnsi="Times New Roman"/>
          <w:color w:val="000000" w:themeColor="text1"/>
        </w:rPr>
      </w:pPr>
    </w:p>
    <w:p w14:paraId="33644713" w14:textId="77777777" w:rsidR="00E600A3" w:rsidRPr="008902F2" w:rsidRDefault="00E600A3" w:rsidP="6F691FB8">
      <w:pPr>
        <w:tabs>
          <w:tab w:val="left" w:pos="1800"/>
        </w:tabs>
        <w:spacing w:after="0" w:line="240" w:lineRule="auto"/>
        <w:ind w:left="720"/>
        <w:rPr>
          <w:rFonts w:ascii="Times New Roman" w:eastAsia="Times New Roman" w:hAnsi="Times New Roman"/>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80"/>
        <w:gridCol w:w="1890"/>
      </w:tblGrid>
      <w:tr w:rsidR="6F691FB8" w:rsidRPr="008902F2" w14:paraId="3CBB2F23" w14:textId="77777777" w:rsidTr="6F691FB8">
        <w:trPr>
          <w:trHeight w:val="315"/>
        </w:trPr>
        <w:tc>
          <w:tcPr>
            <w:tcW w:w="5070"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32F34A" w14:textId="41AE68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OSOS Additional Data Request Fee</w:t>
            </w:r>
          </w:p>
        </w:tc>
      </w:tr>
      <w:tr w:rsidR="6F691FB8" w:rsidRPr="008902F2" w14:paraId="766C551C" w14:textId="77777777" w:rsidTr="6F691FB8">
        <w:trPr>
          <w:trHeight w:val="315"/>
        </w:trPr>
        <w:tc>
          <w:tcPr>
            <w:tcW w:w="31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9E6F21" w14:textId="414B3CD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2023</w:t>
            </w:r>
          </w:p>
        </w:tc>
        <w:tc>
          <w:tcPr>
            <w:tcW w:w="18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E330DD" w14:textId="650FA68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Price (TL)</w:t>
            </w:r>
          </w:p>
        </w:tc>
      </w:tr>
      <w:tr w:rsidR="6F691FB8" w:rsidRPr="008902F2" w14:paraId="04FFEA9D" w14:textId="77777777" w:rsidTr="6F691FB8">
        <w:trPr>
          <w:trHeight w:val="315"/>
        </w:trPr>
        <w:tc>
          <w:tcPr>
            <w:tcW w:w="31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520129" w14:textId="3710E10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Counter/Month</w:t>
            </w:r>
          </w:p>
        </w:tc>
        <w:tc>
          <w:tcPr>
            <w:tcW w:w="18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637995" w14:textId="48065A5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19,7</w:t>
            </w:r>
          </w:p>
        </w:tc>
      </w:tr>
    </w:tbl>
    <w:p w14:paraId="67450402" w14:textId="074C0A4B" w:rsidR="002C3099" w:rsidRPr="008902F2" w:rsidRDefault="002C3099" w:rsidP="6F691FB8">
      <w:pPr>
        <w:tabs>
          <w:tab w:val="left" w:pos="566"/>
        </w:tabs>
        <w:spacing w:after="0" w:line="240" w:lineRule="auto"/>
        <w:ind w:left="720"/>
        <w:rPr>
          <w:rFonts w:ascii="Times New Roman" w:hAnsi="Times New Roman"/>
          <w:color w:val="000000" w:themeColor="text1"/>
        </w:rPr>
      </w:pPr>
    </w:p>
    <w:p w14:paraId="72E3246F" w14:textId="3A18C5A9" w:rsidR="002C3099" w:rsidRPr="008902F2" w:rsidRDefault="002C3099" w:rsidP="6F691FB8">
      <w:pPr>
        <w:spacing w:after="160" w:line="259" w:lineRule="auto"/>
        <w:ind w:left="720"/>
        <w:contextualSpacing/>
        <w:rPr>
          <w:rFonts w:ascii="Times New Roman" w:hAnsi="Times New Roman"/>
          <w:color w:val="000000" w:themeColor="text1"/>
        </w:rPr>
      </w:pPr>
    </w:p>
    <w:p w14:paraId="2DB5F9E4" w14:textId="6F7593A3" w:rsidR="002C3099" w:rsidRPr="008902F2" w:rsidRDefault="00E600A3" w:rsidP="00A86526">
      <w:pPr>
        <w:pStyle w:val="ListeParagraf"/>
        <w:numPr>
          <w:ilvl w:val="0"/>
          <w:numId w:val="15"/>
        </w:numPr>
        <w:spacing w:after="0" w:line="240" w:lineRule="auto"/>
        <w:rPr>
          <w:rFonts w:ascii="Times New Roman" w:hAnsi="Times New Roman"/>
          <w:color w:val="000000" w:themeColor="text1"/>
        </w:rPr>
      </w:pPr>
      <w:r w:rsidRPr="00E600A3">
        <w:rPr>
          <w:rFonts w:ascii="Times New Roman" w:hAnsi="Times New Roman"/>
          <w:color w:val="000000" w:themeColor="text1"/>
        </w:rPr>
        <w:t xml:space="preserve">• With the Board Decision dated 29.12.2022 and numbered 11529-12 published in the Official Gazette dated 30.12.2022 and numbered 32059 (2nd Repeat), project approval to be made by electricity distribution companies for unlicensed solar energy-based electricity production facilities within the scope of the Unlicensed Electricity Production Regulation in the Electricity Market It has been decided that the and acceptance transaction fees will be applied as </w:t>
      </w:r>
      <w:r>
        <w:rPr>
          <w:rFonts w:ascii="Times New Roman" w:hAnsi="Times New Roman"/>
          <w:color w:val="000000" w:themeColor="text1"/>
        </w:rPr>
        <w:t>follows, starting from 1/1/2023.</w:t>
      </w:r>
    </w:p>
    <w:p w14:paraId="2A464E92" w14:textId="7B0718BC" w:rsidR="002C3099" w:rsidRPr="008902F2" w:rsidRDefault="002C3099" w:rsidP="6F691FB8">
      <w:pPr>
        <w:spacing w:after="0" w:line="240" w:lineRule="auto"/>
        <w:rPr>
          <w:rFonts w:ascii="Times New Roman" w:eastAsia="Times New Roman" w:hAnsi="Times New Roman"/>
          <w:color w:val="000000" w:themeColor="text1"/>
          <w:sz w:val="24"/>
          <w:szCs w:val="24"/>
        </w:rPr>
      </w:pPr>
    </w:p>
    <w:p w14:paraId="1D2EB03A" w14:textId="1AA31F30" w:rsidR="002C3099" w:rsidRPr="008902F2" w:rsidRDefault="002C3099" w:rsidP="6F691FB8">
      <w:pPr>
        <w:spacing w:after="0" w:line="240" w:lineRule="auto"/>
        <w:rPr>
          <w:rFonts w:ascii="Times New Roman" w:eastAsia="Times New Roman" w:hAnsi="Times New Roman"/>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00"/>
        <w:gridCol w:w="915"/>
        <w:gridCol w:w="3780"/>
        <w:gridCol w:w="915"/>
      </w:tblGrid>
      <w:tr w:rsidR="6F691FB8" w:rsidRPr="008902F2" w14:paraId="68984244" w14:textId="77777777" w:rsidTr="6F691FB8">
        <w:trPr>
          <w:trHeight w:val="480"/>
        </w:trPr>
        <w:tc>
          <w:tcPr>
            <w:tcW w:w="9210"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2E0778" w14:textId="2AC45C1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Unlicensed Electricity Production Facilities Based on Solar Energy</w:t>
            </w:r>
          </w:p>
          <w:p w14:paraId="302B00EE" w14:textId="5E31470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Project Approval and Acceptance Fees</w:t>
            </w:r>
          </w:p>
        </w:tc>
      </w:tr>
      <w:tr w:rsidR="6F691FB8" w:rsidRPr="008902F2" w14:paraId="4784246B" w14:textId="77777777" w:rsidTr="6F691FB8">
        <w:trPr>
          <w:trHeight w:val="60"/>
        </w:trPr>
        <w:tc>
          <w:tcPr>
            <w:tcW w:w="9210"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73E749" w14:textId="1327678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2023</w:t>
            </w:r>
          </w:p>
        </w:tc>
      </w:tr>
      <w:tr w:rsidR="6F691FB8" w:rsidRPr="008902F2" w14:paraId="29A1820E" w14:textId="77777777" w:rsidTr="6F691FB8">
        <w:trPr>
          <w:trHeight w:val="33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07B470" w14:textId="390FE11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Project Approval Scope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E7419A" w14:textId="344E51C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Price</w:t>
            </w:r>
            <w:r w:rsidRPr="008902F2">
              <w:rPr>
                <w:rFonts w:ascii="Times New Roman" w:hAnsi="Times New Roman"/>
              </w:rPr>
              <w:br/>
            </w:r>
            <w:r w:rsidRPr="008902F2">
              <w:rPr>
                <w:rFonts w:ascii="Times New Roman" w:hAnsi="Times New Roman"/>
                <w:b/>
                <w:bCs/>
                <w:color w:val="000000" w:themeColor="text1"/>
              </w:rPr>
              <w:t>(TL)</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458DD5" w14:textId="1D98B6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Facility Acceptance Scope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9E8B5A" w14:textId="29B3B7B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Price </w:t>
            </w:r>
            <w:r w:rsidRPr="008902F2">
              <w:rPr>
                <w:rFonts w:ascii="Times New Roman" w:hAnsi="Times New Roman"/>
              </w:rPr>
              <w:br/>
            </w:r>
            <w:r w:rsidRPr="008902F2">
              <w:rPr>
                <w:rFonts w:ascii="Times New Roman" w:hAnsi="Times New Roman"/>
                <w:b/>
                <w:bCs/>
                <w:color w:val="000000" w:themeColor="text1"/>
              </w:rPr>
              <w:t>(TL)</w:t>
            </w:r>
          </w:p>
        </w:tc>
      </w:tr>
      <w:tr w:rsidR="6F691FB8" w:rsidRPr="008902F2" w14:paraId="77834D33" w14:textId="77777777" w:rsidTr="6F691FB8">
        <w:trPr>
          <w:trHeight w:val="60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57CED7" w14:textId="249D83A2" w:rsidR="6F691FB8" w:rsidRPr="008902F2" w:rsidRDefault="6F691FB8" w:rsidP="6F691FB8">
            <w:pPr>
              <w:spacing w:after="0" w:line="240" w:lineRule="auto"/>
              <w:rPr>
                <w:rFonts w:ascii="Times New Roman" w:hAnsi="Times New Roman"/>
              </w:rPr>
            </w:pPr>
            <w:r w:rsidRPr="008902F2">
              <w:rPr>
                <w:rFonts w:ascii="Times New Roman" w:hAnsi="Times New Roman"/>
              </w:rPr>
              <w:t>Electric Project Approval for Solar Power Generation Facilities (GES) within 25 kWe and Below Capacity</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9B8554" w14:textId="3F4794B0" w:rsidR="6F691FB8" w:rsidRPr="008902F2" w:rsidRDefault="6F691FB8" w:rsidP="6F691FB8">
            <w:pPr>
              <w:spacing w:after="0" w:line="240" w:lineRule="auto"/>
              <w:rPr>
                <w:rFonts w:ascii="Times New Roman" w:hAnsi="Times New Roman"/>
              </w:rPr>
            </w:pPr>
            <w:r w:rsidRPr="008902F2">
              <w:rPr>
                <w:rFonts w:ascii="Times New Roman" w:hAnsi="Times New Roman"/>
              </w:rPr>
              <w:t>0</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DFA989" w14:textId="67181E27" w:rsidR="6F691FB8" w:rsidRPr="008902F2" w:rsidRDefault="6F691FB8" w:rsidP="6F691FB8">
            <w:pPr>
              <w:spacing w:after="0" w:line="240" w:lineRule="auto"/>
              <w:rPr>
                <w:rFonts w:ascii="Times New Roman" w:hAnsi="Times New Roman"/>
              </w:rPr>
            </w:pPr>
            <w:r w:rsidRPr="008902F2">
              <w:rPr>
                <w:rFonts w:ascii="Times New Roman" w:hAnsi="Times New Roman"/>
              </w:rPr>
              <w:t>Acceptance of Solar Power Generation Facilities (GES) within 25 kWe and Below Capacity</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45CCB1" w14:textId="19434E7F"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0</w:t>
            </w:r>
          </w:p>
        </w:tc>
      </w:tr>
      <w:tr w:rsidR="6F691FB8" w:rsidRPr="008902F2" w14:paraId="388D8ACD" w14:textId="77777777" w:rsidTr="6F691FB8">
        <w:trPr>
          <w:trHeight w:val="54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DFE0BA" w14:textId="6FEFF14F" w:rsidR="6F691FB8" w:rsidRPr="008902F2" w:rsidRDefault="6F691FB8" w:rsidP="6F691FB8">
            <w:pPr>
              <w:spacing w:after="0" w:line="240" w:lineRule="auto"/>
              <w:rPr>
                <w:rFonts w:ascii="Times New Roman" w:hAnsi="Times New Roman"/>
              </w:rPr>
            </w:pPr>
            <w:r w:rsidRPr="008902F2">
              <w:rPr>
                <w:rFonts w:ascii="Times New Roman" w:hAnsi="Times New Roman"/>
              </w:rPr>
              <w:t>Electric Project Approval of Solar Power Generation Facilities (GES) within 25 kWe - 100 kWe (including 100 kWe)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837FE2" w14:textId="0A71984D" w:rsidR="6F691FB8" w:rsidRPr="008902F2" w:rsidRDefault="6F691FB8" w:rsidP="6F691FB8">
            <w:pPr>
              <w:spacing w:after="0" w:line="240" w:lineRule="auto"/>
              <w:rPr>
                <w:rFonts w:ascii="Times New Roman" w:hAnsi="Times New Roman"/>
              </w:rPr>
            </w:pPr>
            <w:r w:rsidRPr="008902F2">
              <w:rPr>
                <w:rFonts w:ascii="Times New Roman" w:hAnsi="Times New Roman"/>
              </w:rPr>
              <w:t>692,0</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287259" w14:textId="360357BC" w:rsidR="6F691FB8" w:rsidRPr="008902F2" w:rsidRDefault="6F691FB8" w:rsidP="6F691FB8">
            <w:pPr>
              <w:spacing w:after="0" w:line="240" w:lineRule="auto"/>
              <w:rPr>
                <w:rFonts w:ascii="Times New Roman" w:hAnsi="Times New Roman"/>
              </w:rPr>
            </w:pPr>
            <w:r w:rsidRPr="008902F2">
              <w:rPr>
                <w:rFonts w:ascii="Times New Roman" w:hAnsi="Times New Roman"/>
              </w:rPr>
              <w:t>Acceptance of Solar Power Generation Facilities (GES) within 25 kWe - 100 kWe (including 100 kWe)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19CF7A" w14:textId="5ABAA25B"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1316,9</w:t>
            </w:r>
          </w:p>
        </w:tc>
      </w:tr>
      <w:tr w:rsidR="6F691FB8" w:rsidRPr="008902F2" w14:paraId="6975BA4D" w14:textId="77777777" w:rsidTr="6F691FB8">
        <w:trPr>
          <w:trHeight w:val="60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042B2B" w14:textId="39FAC987" w:rsidR="6F691FB8" w:rsidRPr="008902F2" w:rsidRDefault="6F691FB8" w:rsidP="6F691FB8">
            <w:pPr>
              <w:spacing w:after="0" w:line="240" w:lineRule="auto"/>
              <w:rPr>
                <w:rFonts w:ascii="Times New Roman" w:hAnsi="Times New Roman"/>
              </w:rPr>
            </w:pPr>
            <w:r w:rsidRPr="008902F2">
              <w:rPr>
                <w:rFonts w:ascii="Times New Roman" w:hAnsi="Times New Roman"/>
              </w:rPr>
              <w:t>Electric Project Approval of Solar Power Generation Facilities (GES) within 100 kWe - 300 kWe (including 300 kWe)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F3BA6B" w14:textId="27328867" w:rsidR="6F691FB8" w:rsidRPr="008902F2" w:rsidRDefault="6F691FB8" w:rsidP="6F691FB8">
            <w:pPr>
              <w:spacing w:after="0" w:line="240" w:lineRule="auto"/>
              <w:rPr>
                <w:rFonts w:ascii="Times New Roman" w:hAnsi="Times New Roman"/>
              </w:rPr>
            </w:pPr>
            <w:r w:rsidRPr="008902F2">
              <w:rPr>
                <w:rFonts w:ascii="Times New Roman" w:hAnsi="Times New Roman"/>
              </w:rPr>
              <w:t>2633,6</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EBD834" w14:textId="469F7342" w:rsidR="6F691FB8" w:rsidRPr="008902F2" w:rsidRDefault="6F691FB8" w:rsidP="6F691FB8">
            <w:pPr>
              <w:spacing w:after="0" w:line="240" w:lineRule="auto"/>
              <w:rPr>
                <w:rFonts w:ascii="Times New Roman" w:hAnsi="Times New Roman"/>
              </w:rPr>
            </w:pPr>
            <w:r w:rsidRPr="008902F2">
              <w:rPr>
                <w:rFonts w:ascii="Times New Roman" w:hAnsi="Times New Roman"/>
              </w:rPr>
              <w:t>Acceptance of Solar Power Generation Facilities (GES) within 100 kWe - 300 kWe (including 300 kWe)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7E7897" w14:textId="5182D078"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3804,9</w:t>
            </w:r>
          </w:p>
        </w:tc>
      </w:tr>
      <w:tr w:rsidR="6F691FB8" w:rsidRPr="008902F2" w14:paraId="5BCB0614" w14:textId="77777777" w:rsidTr="6F691FB8">
        <w:trPr>
          <w:trHeight w:val="81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0D002" w14:textId="5A77BB59"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Electric Project Approval for Solar Power Generation Facilities (GES) within 300 kWe - 500 kWe (including 500 kWe)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E90833" w14:textId="778C0B23" w:rsidR="6F691FB8" w:rsidRPr="008902F2" w:rsidRDefault="6F691FB8" w:rsidP="6F691FB8">
            <w:pPr>
              <w:spacing w:after="0" w:line="240" w:lineRule="auto"/>
              <w:rPr>
                <w:rFonts w:ascii="Times New Roman" w:hAnsi="Times New Roman"/>
              </w:rPr>
            </w:pPr>
            <w:r w:rsidRPr="008902F2">
              <w:rPr>
                <w:rFonts w:ascii="Times New Roman" w:hAnsi="Times New Roman"/>
              </w:rPr>
              <w:t>5634,6</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955D62" w14:textId="0C0757BA"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Acceptance of Solar Power Generation Facilities (GES) within 300 kWe - 500 kWe (including 500 kWe)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D61E4A" w14:textId="2A088EF5"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5749,1</w:t>
            </w:r>
          </w:p>
        </w:tc>
      </w:tr>
      <w:tr w:rsidR="6F691FB8" w:rsidRPr="008902F2" w14:paraId="596C45D7" w14:textId="77777777" w:rsidTr="6F691FB8">
        <w:trPr>
          <w:trHeight w:val="600"/>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EEA473" w14:textId="071386EE"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Electrical Project Approval for Solar Power Generation Facilities (GES) within 500 kWe - 700 kWe (including 700 kWe)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E5F379" w14:textId="4B968DE6" w:rsidR="6F691FB8" w:rsidRPr="008902F2" w:rsidRDefault="6F691FB8" w:rsidP="6F691FB8">
            <w:pPr>
              <w:spacing w:after="0" w:line="240" w:lineRule="auto"/>
              <w:rPr>
                <w:rFonts w:ascii="Times New Roman" w:hAnsi="Times New Roman"/>
              </w:rPr>
            </w:pPr>
            <w:r w:rsidRPr="008902F2">
              <w:rPr>
                <w:rFonts w:ascii="Times New Roman" w:hAnsi="Times New Roman"/>
              </w:rPr>
              <w:t>9292,7</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6337BC" w14:textId="3419F7B8"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Acceptance of Solar Power Generation Facilities (GES) within 500 kWe - 700 kWe (including 700 kWe)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0BA882" w14:textId="4AF0AE1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10179,9</w:t>
            </w:r>
          </w:p>
        </w:tc>
      </w:tr>
      <w:tr w:rsidR="6F691FB8" w:rsidRPr="008902F2" w14:paraId="01713508" w14:textId="77777777" w:rsidTr="6F691FB8">
        <w:trPr>
          <w:trHeight w:val="525"/>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8225A4" w14:textId="6B4588D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Electric Project Approval of Solar Power Generation Facilities (GES) within 700 kWe - 1 MWe (excluding 1 MWe)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92CD3B" w14:textId="5190F3C9" w:rsidR="6F691FB8" w:rsidRPr="008902F2" w:rsidRDefault="6F691FB8" w:rsidP="6F691FB8">
            <w:pPr>
              <w:spacing w:after="0" w:line="240" w:lineRule="auto"/>
              <w:rPr>
                <w:rFonts w:ascii="Times New Roman" w:hAnsi="Times New Roman"/>
              </w:rPr>
            </w:pPr>
            <w:r w:rsidRPr="008902F2">
              <w:rPr>
                <w:rFonts w:ascii="Times New Roman" w:hAnsi="Times New Roman"/>
              </w:rPr>
              <w:t>12813,8</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A3E85C" w14:textId="0EE7516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Acceptance of Solar Power Generation Facilities (GES) within 700 kWe - 1 MWe (excluding 1 MWe) under YEKDEM (Renewable Energy Support Mechanism)</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3FF384" w14:textId="314E3573"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12950,6</w:t>
            </w:r>
          </w:p>
        </w:tc>
      </w:tr>
      <w:tr w:rsidR="6F691FB8" w:rsidRPr="008902F2" w14:paraId="1BFBBA88" w14:textId="77777777" w:rsidTr="6F691FB8">
        <w:trPr>
          <w:trHeight w:val="1815"/>
        </w:trPr>
        <w:tc>
          <w:tcPr>
            <w:tcW w:w="3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94C8F5" w14:textId="2DC005DF"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Approval of Electrical Projects for Solar Power Generation Facilities (GES) within 1 MWe and above under YEKDEM (Renewable Energy Support Mechanism); For each MWe in GES production facilities within the scope of YEKDEM and above 1 MWe, an additional project approval service fee is charged at a rate of 50% of the service fee in the 700 kWe - 1 MWe range.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46B9D3" w14:textId="7C4548FC" w:rsidR="6F691FB8" w:rsidRPr="008902F2" w:rsidRDefault="6F691FB8" w:rsidP="6F691FB8">
            <w:pPr>
              <w:spacing w:after="0" w:line="240" w:lineRule="auto"/>
              <w:rPr>
                <w:rFonts w:ascii="Times New Roman" w:hAnsi="Times New Roman"/>
              </w:rPr>
            </w:pPr>
            <w:r w:rsidRPr="008902F2">
              <w:rPr>
                <w:rFonts w:ascii="Times New Roman" w:hAnsi="Times New Roman"/>
              </w:rPr>
              <w:t>6407,5</w:t>
            </w:r>
          </w:p>
        </w:tc>
        <w:tc>
          <w:tcPr>
            <w:tcW w:w="378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8D1180" w14:textId="15D220D7"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Acceptance Fee for Each MWe of Solar Power Generation Facilities (GES) within 1 MWe and above under YEKDEM (Renewable Energy Support Mechanism); For each MWe in GES production facilities within the scope of YEKDEM and above 1 MWe, an additional acceptance fee is charged at a rate of 50% of the fee in the 700 kWe - 1 MWe range.</w:t>
            </w:r>
          </w:p>
        </w:tc>
        <w:tc>
          <w:tcPr>
            <w:tcW w:w="91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86E41E" w14:textId="18542EB7"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6475,9</w:t>
            </w:r>
          </w:p>
        </w:tc>
      </w:tr>
    </w:tbl>
    <w:p w14:paraId="359B8DD4" w14:textId="68A8513C" w:rsidR="002C3099" w:rsidRPr="008902F2" w:rsidRDefault="002C3099" w:rsidP="6F691FB8">
      <w:pPr>
        <w:tabs>
          <w:tab w:val="left" w:pos="566"/>
        </w:tabs>
        <w:spacing w:after="0" w:line="240" w:lineRule="auto"/>
        <w:ind w:left="720"/>
        <w:rPr>
          <w:rFonts w:ascii="Times New Roman" w:eastAsia="Times New Roman" w:hAnsi="Times New Roman"/>
          <w:color w:val="000000" w:themeColor="text1"/>
          <w:sz w:val="24"/>
          <w:szCs w:val="24"/>
        </w:rPr>
      </w:pPr>
    </w:p>
    <w:p w14:paraId="56E19F37" w14:textId="5AFE60D4" w:rsidR="002C3099" w:rsidRDefault="00E600A3" w:rsidP="6F691FB8">
      <w:pPr>
        <w:spacing w:after="0" w:line="240" w:lineRule="auto"/>
        <w:ind w:left="720" w:right="-50"/>
        <w:rPr>
          <w:rFonts w:ascii="Times New Roman" w:hAnsi="Times New Roman"/>
          <w:color w:val="000000" w:themeColor="text1"/>
        </w:rPr>
      </w:pPr>
      <w:r w:rsidRPr="00E600A3">
        <w:rPr>
          <w:rFonts w:ascii="Times New Roman" w:hAnsi="Times New Roman"/>
          <w:color w:val="000000" w:themeColor="text1"/>
        </w:rPr>
        <w:t>• In accordance with the Board Decision dated 29.12.2022 and numbered 11529-13 published in the Official Gazette dated 30.12.2022 and numbered 32059 (2nd Repeat) and Article 2 of the Board Decision dated 21/10/2021 and numbered 10505, the technical quality measurement service fee It has been decided to be implemented as follows, starting from 1/1/2023.</w:t>
      </w:r>
    </w:p>
    <w:p w14:paraId="6BD578DC" w14:textId="77777777" w:rsidR="00E600A3" w:rsidRPr="008902F2" w:rsidRDefault="00E600A3" w:rsidP="6F691FB8">
      <w:pPr>
        <w:spacing w:after="0" w:line="240" w:lineRule="auto"/>
        <w:ind w:left="720" w:right="-50"/>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20"/>
        <w:gridCol w:w="1440"/>
        <w:gridCol w:w="1410"/>
      </w:tblGrid>
      <w:tr w:rsidR="6F691FB8" w:rsidRPr="008902F2" w14:paraId="20BC60C2" w14:textId="77777777" w:rsidTr="6F691FB8">
        <w:trPr>
          <w:trHeight w:val="315"/>
        </w:trPr>
        <w:tc>
          <w:tcPr>
            <w:tcW w:w="5370" w:type="dxa"/>
            <w:gridSpan w:val="3"/>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C7BE4D" w14:textId="3AC7380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Technical Quality Measurement Service Fees</w:t>
            </w:r>
          </w:p>
        </w:tc>
      </w:tr>
      <w:tr w:rsidR="6F691FB8" w:rsidRPr="008902F2" w14:paraId="65DAA41D" w14:textId="77777777" w:rsidTr="6F691FB8">
        <w:trPr>
          <w:trHeight w:val="315"/>
        </w:trPr>
        <w:tc>
          <w:tcPr>
            <w:tcW w:w="5370" w:type="dxa"/>
            <w:gridSpan w:val="3"/>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2BB1D6" w14:textId="65433F4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2023</w:t>
            </w:r>
          </w:p>
        </w:tc>
      </w:tr>
      <w:tr w:rsidR="6F691FB8" w:rsidRPr="008902F2" w14:paraId="7068366A" w14:textId="77777777" w:rsidTr="6F691FB8">
        <w:trPr>
          <w:trHeight w:val="315"/>
        </w:trPr>
        <w:tc>
          <w:tcPr>
            <w:tcW w:w="2520" w:type="dxa"/>
            <w:vMerge w:val="restart"/>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DEA582" w14:textId="20D5902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Device Class</w:t>
            </w:r>
          </w:p>
        </w:tc>
        <w:tc>
          <w:tcPr>
            <w:tcW w:w="2850"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AFA833" w14:textId="6D8E6B8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Price (TL)</w:t>
            </w:r>
          </w:p>
        </w:tc>
      </w:tr>
      <w:tr w:rsidR="6F691FB8" w:rsidRPr="008902F2" w14:paraId="199DA419" w14:textId="77777777" w:rsidTr="6F691FB8">
        <w:trPr>
          <w:trHeight w:val="315"/>
        </w:trPr>
        <w:tc>
          <w:tcPr>
            <w:tcW w:w="2520" w:type="dxa"/>
            <w:vMerge/>
            <w:tcBorders>
              <w:left w:val="single" w:sz="0" w:space="0" w:color="auto"/>
              <w:bottom w:val="single" w:sz="0" w:space="0" w:color="auto"/>
              <w:right w:val="single" w:sz="0" w:space="0" w:color="auto"/>
            </w:tcBorders>
            <w:vAlign w:val="center"/>
          </w:tcPr>
          <w:p w14:paraId="0E796778" w14:textId="77777777" w:rsidR="00A660AB" w:rsidRPr="008902F2" w:rsidRDefault="00A660AB">
            <w:pP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FC82FD" w14:textId="6D82042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AG </w:t>
            </w:r>
          </w:p>
        </w:tc>
        <w:tc>
          <w:tcPr>
            <w:tcW w:w="141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D03258" w14:textId="4D9F0CA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OG</w:t>
            </w:r>
          </w:p>
        </w:tc>
      </w:tr>
      <w:tr w:rsidR="6F691FB8" w:rsidRPr="008902F2" w14:paraId="6AA7FD06" w14:textId="77777777" w:rsidTr="6F691FB8">
        <w:trPr>
          <w:trHeight w:val="315"/>
        </w:trPr>
        <w:tc>
          <w:tcPr>
            <w:tcW w:w="25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A95EEA" w14:textId="48416DFB" w:rsidR="6F691FB8" w:rsidRPr="008902F2" w:rsidRDefault="6F691FB8" w:rsidP="6F691FB8">
            <w:pPr>
              <w:spacing w:after="0" w:line="240" w:lineRule="auto"/>
              <w:ind w:firstLineChars="100" w:firstLine="220"/>
              <w:rPr>
                <w:rFonts w:ascii="Times New Roman" w:hAnsi="Times New Roman"/>
                <w:color w:val="000000" w:themeColor="text1"/>
              </w:rPr>
            </w:pPr>
            <w:r w:rsidRPr="008902F2">
              <w:rPr>
                <w:rFonts w:ascii="Times New Roman" w:hAnsi="Times New Roman"/>
                <w:color w:val="000000" w:themeColor="text1"/>
              </w:rPr>
              <w:lastRenderedPageBreak/>
              <w:t xml:space="preserve">S Class </w:t>
            </w:r>
          </w:p>
        </w:tc>
        <w:tc>
          <w:tcPr>
            <w:tcW w:w="1440" w:type="dxa"/>
            <w:tcBorders>
              <w:top w:val="single" w:sz="6" w:space="0" w:color="auto"/>
              <w:left w:val="single" w:sz="6" w:space="0" w:color="auto"/>
              <w:bottom w:val="single" w:sz="6" w:space="0" w:color="auto"/>
              <w:right w:val="single" w:sz="6" w:space="0" w:color="auto"/>
            </w:tcBorders>
            <w:tcMar>
              <w:left w:w="60" w:type="dxa"/>
              <w:right w:w="60" w:type="dxa"/>
            </w:tcMar>
          </w:tcPr>
          <w:p w14:paraId="6EFDCC40" w14:textId="1386B4AC"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202,5</w:t>
            </w:r>
          </w:p>
        </w:tc>
        <w:tc>
          <w:tcPr>
            <w:tcW w:w="1410" w:type="dxa"/>
            <w:tcBorders>
              <w:top w:val="single" w:sz="6" w:space="0" w:color="auto"/>
              <w:left w:val="single" w:sz="6" w:space="0" w:color="auto"/>
              <w:bottom w:val="single" w:sz="6" w:space="0" w:color="auto"/>
              <w:right w:val="single" w:sz="6" w:space="0" w:color="auto"/>
            </w:tcBorders>
            <w:tcMar>
              <w:left w:w="60" w:type="dxa"/>
              <w:right w:w="60" w:type="dxa"/>
            </w:tcMar>
          </w:tcPr>
          <w:p w14:paraId="798A5E32" w14:textId="5F0B505C"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540,3</w:t>
            </w:r>
          </w:p>
        </w:tc>
      </w:tr>
      <w:tr w:rsidR="6F691FB8" w:rsidRPr="008902F2" w14:paraId="52A95E43" w14:textId="77777777" w:rsidTr="6F691FB8">
        <w:trPr>
          <w:trHeight w:val="315"/>
        </w:trPr>
        <w:tc>
          <w:tcPr>
            <w:tcW w:w="25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DFBC86" w14:textId="796A45F8" w:rsidR="6F691FB8" w:rsidRPr="008902F2" w:rsidRDefault="6F691FB8" w:rsidP="6F691FB8">
            <w:pPr>
              <w:spacing w:after="0" w:line="240" w:lineRule="auto"/>
              <w:ind w:firstLineChars="100" w:firstLine="220"/>
              <w:rPr>
                <w:rFonts w:ascii="Times New Roman" w:hAnsi="Times New Roman"/>
                <w:color w:val="000000" w:themeColor="text1"/>
              </w:rPr>
            </w:pPr>
            <w:r w:rsidRPr="008902F2">
              <w:rPr>
                <w:rFonts w:ascii="Times New Roman" w:hAnsi="Times New Roman"/>
                <w:color w:val="000000" w:themeColor="text1"/>
              </w:rPr>
              <w:t xml:space="preserve">A Class </w:t>
            </w:r>
          </w:p>
        </w:tc>
        <w:tc>
          <w:tcPr>
            <w:tcW w:w="1440" w:type="dxa"/>
            <w:tcBorders>
              <w:top w:val="single" w:sz="6" w:space="0" w:color="auto"/>
              <w:left w:val="single" w:sz="6" w:space="0" w:color="auto"/>
              <w:bottom w:val="single" w:sz="6" w:space="0" w:color="auto"/>
              <w:right w:val="single" w:sz="6" w:space="0" w:color="auto"/>
            </w:tcBorders>
            <w:tcMar>
              <w:left w:w="60" w:type="dxa"/>
              <w:right w:w="60" w:type="dxa"/>
            </w:tcMar>
          </w:tcPr>
          <w:p w14:paraId="613F2CC2" w14:textId="7A24525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311,6</w:t>
            </w:r>
          </w:p>
        </w:tc>
        <w:tc>
          <w:tcPr>
            <w:tcW w:w="1410" w:type="dxa"/>
            <w:tcBorders>
              <w:top w:val="single" w:sz="6" w:space="0" w:color="auto"/>
              <w:left w:val="single" w:sz="6" w:space="0" w:color="auto"/>
              <w:bottom w:val="single" w:sz="6" w:space="0" w:color="auto"/>
              <w:right w:val="single" w:sz="6" w:space="0" w:color="auto"/>
            </w:tcBorders>
            <w:tcMar>
              <w:left w:w="60" w:type="dxa"/>
              <w:right w:w="60" w:type="dxa"/>
            </w:tcMar>
          </w:tcPr>
          <w:p w14:paraId="3EDEA167" w14:textId="1DE5AAF5"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831,2</w:t>
            </w:r>
          </w:p>
        </w:tc>
      </w:tr>
    </w:tbl>
    <w:p w14:paraId="34091EAA" w14:textId="3F24AF42" w:rsidR="002C3099" w:rsidRPr="008902F2" w:rsidRDefault="002C3099" w:rsidP="00E600A3">
      <w:pPr>
        <w:spacing w:after="160" w:line="259" w:lineRule="auto"/>
        <w:rPr>
          <w:rFonts w:ascii="Times New Roman" w:hAnsi="Times New Roman"/>
          <w:color w:val="000000" w:themeColor="text1"/>
        </w:rPr>
      </w:pPr>
    </w:p>
    <w:p w14:paraId="44FF4C3F" w14:textId="77777777" w:rsidR="00E600A3" w:rsidRPr="00E600A3" w:rsidRDefault="00E600A3" w:rsidP="00A86526">
      <w:pPr>
        <w:pStyle w:val="ListeParagraf"/>
        <w:numPr>
          <w:ilvl w:val="0"/>
          <w:numId w:val="13"/>
        </w:numPr>
        <w:spacing w:after="160" w:line="259" w:lineRule="auto"/>
        <w:rPr>
          <w:rFonts w:ascii="Times New Roman" w:hAnsi="Times New Roman"/>
          <w:color w:val="000000" w:themeColor="text1"/>
        </w:rPr>
      </w:pPr>
      <w:r w:rsidRPr="00E600A3">
        <w:rPr>
          <w:rFonts w:ascii="Times New Roman" w:hAnsi="Times New Roman"/>
          <w:color w:val="000000" w:themeColor="text1"/>
        </w:rPr>
        <w:t>• By the Board Decision dated 29.12.2022 and numbered 11538, published in the Official Gazette dated 30.12.2022 and numbered 32059 (2nd Repeat);</w:t>
      </w:r>
    </w:p>
    <w:p w14:paraId="27B1BB7B" w14:textId="1A690B1C" w:rsidR="002C3099" w:rsidRDefault="00E600A3" w:rsidP="00A86526">
      <w:pPr>
        <w:pStyle w:val="ListeParagraf"/>
        <w:numPr>
          <w:ilvl w:val="0"/>
          <w:numId w:val="13"/>
        </w:numPr>
        <w:spacing w:after="160" w:line="259" w:lineRule="auto"/>
        <w:rPr>
          <w:rFonts w:ascii="Times New Roman" w:hAnsi="Times New Roman"/>
          <w:color w:val="000000" w:themeColor="text1"/>
        </w:rPr>
      </w:pPr>
      <w:r w:rsidRPr="00E600A3">
        <w:rPr>
          <w:rFonts w:ascii="Times New Roman" w:hAnsi="Times New Roman"/>
          <w:color w:val="000000" w:themeColor="text1"/>
        </w:rPr>
        <w:t xml:space="preserve">1. The projected YEKDEM cost per unit amount of energy supplied for 2023 will be approved as follows, 2. In the months when the projected YEKDEM cost is negative, the projected YEKDEM cost, which is a reference for bilateral agreements, and the projected YEKDEM cost used in the calculations of the last resource supply tariff for high-consumption consumers will be approved. YEKDEM </w:t>
      </w:r>
      <w:r>
        <w:rPr>
          <w:rFonts w:ascii="Times New Roman" w:hAnsi="Times New Roman"/>
          <w:color w:val="000000" w:themeColor="text1"/>
        </w:rPr>
        <w:t>cost is determined as "0 TL/MWh”</w:t>
      </w:r>
      <w:r w:rsidRPr="00E600A3">
        <w:rPr>
          <w:rFonts w:ascii="Times New Roman" w:hAnsi="Times New Roman"/>
          <w:color w:val="000000" w:themeColor="text1"/>
        </w:rPr>
        <w:t>.</w:t>
      </w:r>
    </w:p>
    <w:p w14:paraId="4ADBF415" w14:textId="77777777" w:rsidR="00E600A3" w:rsidRPr="00E600A3" w:rsidRDefault="00E600A3" w:rsidP="00E600A3">
      <w:pPr>
        <w:pStyle w:val="ListeParagraf"/>
        <w:spacing w:after="160" w:line="259" w:lineRule="auto"/>
        <w:ind w:left="1440"/>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3075"/>
      </w:tblGrid>
      <w:tr w:rsidR="6F691FB8" w:rsidRPr="008902F2" w14:paraId="2A3D8C9F" w14:textId="77777777" w:rsidTr="6F691FB8">
        <w:trPr>
          <w:trHeight w:val="825"/>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E357A1" w14:textId="643ABF5C" w:rsidR="6F691FB8" w:rsidRPr="008902F2" w:rsidRDefault="6F691FB8" w:rsidP="6F691FB8">
            <w:pPr>
              <w:jc w:val="center"/>
              <w:rPr>
                <w:rFonts w:ascii="Times New Roman" w:eastAsia="Arial" w:hAnsi="Times New Roman"/>
              </w:rPr>
            </w:pPr>
            <w:r w:rsidRPr="008902F2">
              <w:rPr>
                <w:rFonts w:ascii="Times New Roman" w:eastAsia="Arial" w:hAnsi="Times New Roman"/>
                <w:b/>
                <w:bCs/>
              </w:rPr>
              <w:t>Months</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244B58" w14:textId="613520C7" w:rsidR="6F691FB8" w:rsidRPr="008902F2" w:rsidRDefault="6F691FB8" w:rsidP="6F691FB8">
            <w:pPr>
              <w:jc w:val="center"/>
              <w:rPr>
                <w:rFonts w:ascii="Times New Roman" w:eastAsia="Arial" w:hAnsi="Times New Roman"/>
              </w:rPr>
            </w:pPr>
            <w:r w:rsidRPr="008902F2">
              <w:rPr>
                <w:rFonts w:ascii="Times New Roman" w:eastAsia="Arial" w:hAnsi="Times New Roman"/>
                <w:b/>
                <w:bCs/>
              </w:rPr>
              <w:t>2023 Projected YEKDEM Cost (TL/MWh)</w:t>
            </w:r>
          </w:p>
        </w:tc>
      </w:tr>
      <w:tr w:rsidR="6F691FB8" w:rsidRPr="008902F2" w14:paraId="57BF83F4"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10EA62" w14:textId="5987CC2F" w:rsidR="6F691FB8" w:rsidRPr="008902F2" w:rsidRDefault="6F691FB8" w:rsidP="6F691FB8">
            <w:pPr>
              <w:rPr>
                <w:rFonts w:ascii="Times New Roman" w:eastAsia="Arial" w:hAnsi="Times New Roman"/>
              </w:rPr>
            </w:pPr>
            <w:r w:rsidRPr="008902F2">
              <w:rPr>
                <w:rFonts w:ascii="Times New Roman" w:eastAsia="Arial" w:hAnsi="Times New Roman"/>
                <w:b/>
                <w:bCs/>
              </w:rPr>
              <w:t xml:space="preserve">January </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6DB34C10" w14:textId="41BDAFD7" w:rsidR="6F691FB8" w:rsidRPr="008902F2" w:rsidRDefault="6F691FB8" w:rsidP="6F691FB8">
            <w:pPr>
              <w:jc w:val="center"/>
              <w:rPr>
                <w:rFonts w:ascii="Times New Roman" w:eastAsia="Arial" w:hAnsi="Times New Roman"/>
              </w:rPr>
            </w:pPr>
            <w:r w:rsidRPr="008902F2">
              <w:rPr>
                <w:rFonts w:ascii="Times New Roman" w:eastAsia="Arial" w:hAnsi="Times New Roman"/>
              </w:rPr>
              <w:t>-1.092,75</w:t>
            </w:r>
          </w:p>
        </w:tc>
      </w:tr>
      <w:tr w:rsidR="6F691FB8" w:rsidRPr="008902F2" w14:paraId="5054825C"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73F342" w14:textId="7E95B4B2" w:rsidR="6F691FB8" w:rsidRPr="008902F2" w:rsidRDefault="6F691FB8" w:rsidP="6F691FB8">
            <w:pPr>
              <w:rPr>
                <w:rFonts w:ascii="Times New Roman" w:eastAsia="Arial" w:hAnsi="Times New Roman"/>
              </w:rPr>
            </w:pPr>
            <w:r w:rsidRPr="008902F2">
              <w:rPr>
                <w:rFonts w:ascii="Times New Roman" w:eastAsia="Arial" w:hAnsi="Times New Roman"/>
                <w:b/>
                <w:bCs/>
              </w:rPr>
              <w:t>February</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146FA37A" w14:textId="0FDB6B92" w:rsidR="6F691FB8" w:rsidRPr="008902F2" w:rsidRDefault="6F691FB8" w:rsidP="6F691FB8">
            <w:pPr>
              <w:jc w:val="center"/>
              <w:rPr>
                <w:rFonts w:ascii="Times New Roman" w:eastAsia="Arial" w:hAnsi="Times New Roman"/>
              </w:rPr>
            </w:pPr>
            <w:r w:rsidRPr="008902F2">
              <w:rPr>
                <w:rFonts w:ascii="Times New Roman" w:eastAsia="Arial" w:hAnsi="Times New Roman"/>
              </w:rPr>
              <w:t>-1.219,81</w:t>
            </w:r>
          </w:p>
        </w:tc>
      </w:tr>
      <w:tr w:rsidR="6F691FB8" w:rsidRPr="008902F2" w14:paraId="629443CB"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18E0E2" w14:textId="1F938BEE" w:rsidR="6F691FB8" w:rsidRPr="008902F2" w:rsidRDefault="6F691FB8" w:rsidP="6F691FB8">
            <w:pPr>
              <w:rPr>
                <w:rFonts w:ascii="Times New Roman" w:eastAsia="Arial" w:hAnsi="Times New Roman"/>
              </w:rPr>
            </w:pPr>
            <w:r w:rsidRPr="008902F2">
              <w:rPr>
                <w:rFonts w:ascii="Times New Roman" w:eastAsia="Arial" w:hAnsi="Times New Roman"/>
                <w:b/>
                <w:bCs/>
              </w:rPr>
              <w:t>March</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21CD3BA5" w14:textId="6CB18839" w:rsidR="6F691FB8" w:rsidRPr="008902F2" w:rsidRDefault="6F691FB8" w:rsidP="6F691FB8">
            <w:pPr>
              <w:jc w:val="center"/>
              <w:rPr>
                <w:rFonts w:ascii="Times New Roman" w:eastAsia="Arial" w:hAnsi="Times New Roman"/>
              </w:rPr>
            </w:pPr>
            <w:r w:rsidRPr="008902F2">
              <w:rPr>
                <w:rFonts w:ascii="Times New Roman" w:eastAsia="Arial" w:hAnsi="Times New Roman"/>
              </w:rPr>
              <w:t>-1.509,27</w:t>
            </w:r>
          </w:p>
        </w:tc>
      </w:tr>
      <w:tr w:rsidR="6F691FB8" w:rsidRPr="008902F2" w14:paraId="79489897"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8586F4" w14:textId="309E3BFD" w:rsidR="6F691FB8" w:rsidRPr="008902F2" w:rsidRDefault="6F691FB8" w:rsidP="6F691FB8">
            <w:pPr>
              <w:rPr>
                <w:rFonts w:ascii="Times New Roman" w:eastAsia="Arial" w:hAnsi="Times New Roman"/>
              </w:rPr>
            </w:pPr>
            <w:r w:rsidRPr="008902F2">
              <w:rPr>
                <w:rFonts w:ascii="Times New Roman" w:eastAsia="Arial" w:hAnsi="Times New Roman"/>
                <w:b/>
                <w:bCs/>
              </w:rPr>
              <w:t>April</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47D8D823" w14:textId="01786C17" w:rsidR="6F691FB8" w:rsidRPr="008902F2" w:rsidRDefault="6F691FB8" w:rsidP="6F691FB8">
            <w:pPr>
              <w:jc w:val="center"/>
              <w:rPr>
                <w:rFonts w:ascii="Times New Roman" w:eastAsia="Arial" w:hAnsi="Times New Roman"/>
              </w:rPr>
            </w:pPr>
            <w:r w:rsidRPr="008902F2">
              <w:rPr>
                <w:rFonts w:ascii="Times New Roman" w:eastAsia="Arial" w:hAnsi="Times New Roman"/>
              </w:rPr>
              <w:t>-1.418,62</w:t>
            </w:r>
          </w:p>
        </w:tc>
      </w:tr>
      <w:tr w:rsidR="6F691FB8" w:rsidRPr="008902F2" w14:paraId="039A2F31"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1A4BAB" w14:textId="389BBB6D" w:rsidR="6F691FB8" w:rsidRPr="008902F2" w:rsidRDefault="6F691FB8" w:rsidP="6F691FB8">
            <w:pPr>
              <w:rPr>
                <w:rFonts w:ascii="Times New Roman" w:eastAsia="Arial" w:hAnsi="Times New Roman"/>
              </w:rPr>
            </w:pPr>
            <w:r w:rsidRPr="008902F2">
              <w:rPr>
                <w:rFonts w:ascii="Times New Roman" w:eastAsia="Arial" w:hAnsi="Times New Roman"/>
                <w:b/>
                <w:bCs/>
              </w:rPr>
              <w:t>May</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707F47BF" w14:textId="13D9E5B2" w:rsidR="6F691FB8" w:rsidRPr="008902F2" w:rsidRDefault="6F691FB8" w:rsidP="6F691FB8">
            <w:pPr>
              <w:jc w:val="center"/>
              <w:rPr>
                <w:rFonts w:ascii="Times New Roman" w:eastAsia="Arial" w:hAnsi="Times New Roman"/>
              </w:rPr>
            </w:pPr>
            <w:r w:rsidRPr="008902F2">
              <w:rPr>
                <w:rFonts w:ascii="Times New Roman" w:eastAsia="Arial" w:hAnsi="Times New Roman"/>
              </w:rPr>
              <w:t>-1.139,23</w:t>
            </w:r>
          </w:p>
        </w:tc>
      </w:tr>
      <w:tr w:rsidR="6F691FB8" w:rsidRPr="008902F2" w14:paraId="58FEA544"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D0C2F" w14:textId="492DFFF4" w:rsidR="6F691FB8" w:rsidRPr="008902F2" w:rsidRDefault="6F691FB8" w:rsidP="6F691FB8">
            <w:pPr>
              <w:rPr>
                <w:rFonts w:ascii="Times New Roman" w:eastAsia="Arial" w:hAnsi="Times New Roman"/>
              </w:rPr>
            </w:pPr>
            <w:r w:rsidRPr="008902F2">
              <w:rPr>
                <w:rFonts w:ascii="Times New Roman" w:eastAsia="Arial" w:hAnsi="Times New Roman"/>
                <w:b/>
                <w:bCs/>
              </w:rPr>
              <w:t>June</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0ADC80F1" w14:textId="364BDF8F" w:rsidR="6F691FB8" w:rsidRPr="008902F2" w:rsidRDefault="6F691FB8" w:rsidP="6F691FB8">
            <w:pPr>
              <w:jc w:val="center"/>
              <w:rPr>
                <w:rFonts w:ascii="Times New Roman" w:eastAsia="Arial" w:hAnsi="Times New Roman"/>
              </w:rPr>
            </w:pPr>
            <w:r w:rsidRPr="008902F2">
              <w:rPr>
                <w:rFonts w:ascii="Times New Roman" w:eastAsia="Arial" w:hAnsi="Times New Roman"/>
              </w:rPr>
              <w:t>-1.134,13</w:t>
            </w:r>
          </w:p>
        </w:tc>
      </w:tr>
      <w:tr w:rsidR="6F691FB8" w:rsidRPr="008902F2" w14:paraId="7BDE5141"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5530E4" w14:textId="2B8B1A45" w:rsidR="6F691FB8" w:rsidRPr="008902F2" w:rsidRDefault="6F691FB8" w:rsidP="6F691FB8">
            <w:pPr>
              <w:rPr>
                <w:rFonts w:ascii="Times New Roman" w:eastAsia="Arial" w:hAnsi="Times New Roman"/>
              </w:rPr>
            </w:pPr>
            <w:r w:rsidRPr="008902F2">
              <w:rPr>
                <w:rFonts w:ascii="Times New Roman" w:eastAsia="Arial" w:hAnsi="Times New Roman"/>
                <w:b/>
                <w:bCs/>
              </w:rPr>
              <w:t>July</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2CE52D21" w14:textId="045F21E0" w:rsidR="6F691FB8" w:rsidRPr="008902F2" w:rsidRDefault="6F691FB8" w:rsidP="6F691FB8">
            <w:pPr>
              <w:jc w:val="center"/>
              <w:rPr>
                <w:rFonts w:ascii="Times New Roman" w:eastAsia="Arial" w:hAnsi="Times New Roman"/>
              </w:rPr>
            </w:pPr>
            <w:r w:rsidRPr="008902F2">
              <w:rPr>
                <w:rFonts w:ascii="Times New Roman" w:eastAsia="Arial" w:hAnsi="Times New Roman"/>
              </w:rPr>
              <w:t>-1.260,29</w:t>
            </w:r>
          </w:p>
        </w:tc>
      </w:tr>
      <w:tr w:rsidR="6F691FB8" w:rsidRPr="008902F2" w14:paraId="0A2AD453"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356A3C" w14:textId="7F4FDCD5" w:rsidR="6F691FB8" w:rsidRPr="008902F2" w:rsidRDefault="6F691FB8" w:rsidP="6F691FB8">
            <w:pPr>
              <w:rPr>
                <w:rFonts w:ascii="Times New Roman" w:eastAsia="Arial" w:hAnsi="Times New Roman"/>
              </w:rPr>
            </w:pPr>
            <w:r w:rsidRPr="008902F2">
              <w:rPr>
                <w:rFonts w:ascii="Times New Roman" w:eastAsia="Arial" w:hAnsi="Times New Roman"/>
                <w:b/>
                <w:bCs/>
              </w:rPr>
              <w:t>August</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4BE3A476" w14:textId="5B68443D" w:rsidR="6F691FB8" w:rsidRPr="008902F2" w:rsidRDefault="6F691FB8" w:rsidP="6F691FB8">
            <w:pPr>
              <w:jc w:val="center"/>
              <w:rPr>
                <w:rFonts w:ascii="Times New Roman" w:eastAsia="Arial" w:hAnsi="Times New Roman"/>
              </w:rPr>
            </w:pPr>
            <w:r w:rsidRPr="008902F2">
              <w:rPr>
                <w:rFonts w:ascii="Times New Roman" w:eastAsia="Arial" w:hAnsi="Times New Roman"/>
              </w:rPr>
              <w:t>-1.183,68</w:t>
            </w:r>
          </w:p>
        </w:tc>
      </w:tr>
      <w:tr w:rsidR="6F691FB8" w:rsidRPr="008902F2" w14:paraId="138E9AC5"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5E9D38" w14:textId="1FD332AF" w:rsidR="6F691FB8" w:rsidRPr="008902F2" w:rsidRDefault="6F691FB8" w:rsidP="6F691FB8">
            <w:pPr>
              <w:rPr>
                <w:rFonts w:ascii="Times New Roman" w:eastAsia="Arial" w:hAnsi="Times New Roman"/>
              </w:rPr>
            </w:pPr>
            <w:r w:rsidRPr="008902F2">
              <w:rPr>
                <w:rFonts w:ascii="Times New Roman" w:eastAsia="Arial" w:hAnsi="Times New Roman"/>
                <w:b/>
                <w:bCs/>
              </w:rPr>
              <w:t>September</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5D7E7E08" w14:textId="375BB467" w:rsidR="6F691FB8" w:rsidRPr="008902F2" w:rsidRDefault="6F691FB8" w:rsidP="6F691FB8">
            <w:pPr>
              <w:jc w:val="center"/>
              <w:rPr>
                <w:rFonts w:ascii="Times New Roman" w:eastAsia="Arial" w:hAnsi="Times New Roman"/>
              </w:rPr>
            </w:pPr>
            <w:r w:rsidRPr="008902F2">
              <w:rPr>
                <w:rFonts w:ascii="Times New Roman" w:eastAsia="Arial" w:hAnsi="Times New Roman"/>
              </w:rPr>
              <w:t>-956,62</w:t>
            </w:r>
          </w:p>
        </w:tc>
      </w:tr>
      <w:tr w:rsidR="6F691FB8" w:rsidRPr="008902F2" w14:paraId="6AD1B7E7"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8D57C2" w14:textId="43A08E42" w:rsidR="6F691FB8" w:rsidRPr="008902F2" w:rsidRDefault="6F691FB8" w:rsidP="6F691FB8">
            <w:pPr>
              <w:rPr>
                <w:rFonts w:ascii="Times New Roman" w:eastAsia="Arial" w:hAnsi="Times New Roman"/>
              </w:rPr>
            </w:pPr>
            <w:r w:rsidRPr="008902F2">
              <w:rPr>
                <w:rFonts w:ascii="Times New Roman" w:eastAsia="Arial" w:hAnsi="Times New Roman"/>
                <w:b/>
                <w:bCs/>
              </w:rPr>
              <w:t>October</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385197B3" w14:textId="044E0D33" w:rsidR="6F691FB8" w:rsidRPr="008902F2" w:rsidRDefault="6F691FB8" w:rsidP="6F691FB8">
            <w:pPr>
              <w:jc w:val="center"/>
              <w:rPr>
                <w:rFonts w:ascii="Times New Roman" w:eastAsia="Arial" w:hAnsi="Times New Roman"/>
              </w:rPr>
            </w:pPr>
            <w:r w:rsidRPr="008902F2">
              <w:rPr>
                <w:rFonts w:ascii="Times New Roman" w:eastAsia="Arial" w:hAnsi="Times New Roman"/>
              </w:rPr>
              <w:t>-728,97</w:t>
            </w:r>
          </w:p>
        </w:tc>
      </w:tr>
      <w:tr w:rsidR="6F691FB8" w:rsidRPr="008902F2" w14:paraId="6C04302A"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848D17" w14:textId="7AD2F5F4" w:rsidR="6F691FB8" w:rsidRPr="008902F2" w:rsidRDefault="6F691FB8" w:rsidP="6F691FB8">
            <w:pPr>
              <w:rPr>
                <w:rFonts w:ascii="Times New Roman" w:eastAsia="Arial" w:hAnsi="Times New Roman"/>
              </w:rPr>
            </w:pPr>
            <w:r w:rsidRPr="008902F2">
              <w:rPr>
                <w:rFonts w:ascii="Times New Roman" w:eastAsia="Arial" w:hAnsi="Times New Roman"/>
                <w:b/>
                <w:bCs/>
              </w:rPr>
              <w:t>November</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460CD049" w14:textId="0AB6E67C" w:rsidR="6F691FB8" w:rsidRPr="008902F2" w:rsidRDefault="6F691FB8" w:rsidP="6F691FB8">
            <w:pPr>
              <w:jc w:val="center"/>
              <w:rPr>
                <w:rFonts w:ascii="Times New Roman" w:eastAsia="Arial" w:hAnsi="Times New Roman"/>
              </w:rPr>
            </w:pPr>
            <w:r w:rsidRPr="008902F2">
              <w:rPr>
                <w:rFonts w:ascii="Times New Roman" w:eastAsia="Arial" w:hAnsi="Times New Roman"/>
              </w:rPr>
              <w:t>-778,28</w:t>
            </w:r>
          </w:p>
        </w:tc>
      </w:tr>
      <w:tr w:rsidR="6F691FB8" w:rsidRPr="008902F2" w14:paraId="64C0D9C4" w14:textId="77777777" w:rsidTr="6F691FB8">
        <w:trPr>
          <w:trHeight w:val="270"/>
        </w:trPr>
        <w:tc>
          <w:tcPr>
            <w:tcW w:w="15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AB57CE" w14:textId="327488C6" w:rsidR="6F691FB8" w:rsidRPr="008902F2" w:rsidRDefault="6F691FB8" w:rsidP="6F691FB8">
            <w:pPr>
              <w:rPr>
                <w:rFonts w:ascii="Times New Roman" w:eastAsia="Arial" w:hAnsi="Times New Roman"/>
              </w:rPr>
            </w:pPr>
            <w:r w:rsidRPr="008902F2">
              <w:rPr>
                <w:rFonts w:ascii="Times New Roman" w:eastAsia="Arial" w:hAnsi="Times New Roman"/>
                <w:b/>
                <w:bCs/>
              </w:rPr>
              <w:t>December</w:t>
            </w:r>
          </w:p>
        </w:tc>
        <w:tc>
          <w:tcPr>
            <w:tcW w:w="3075" w:type="dxa"/>
            <w:tcBorders>
              <w:top w:val="single" w:sz="6" w:space="0" w:color="auto"/>
              <w:left w:val="single" w:sz="6" w:space="0" w:color="auto"/>
              <w:bottom w:val="single" w:sz="6" w:space="0" w:color="auto"/>
              <w:right w:val="single" w:sz="6" w:space="0" w:color="auto"/>
            </w:tcBorders>
            <w:tcMar>
              <w:left w:w="60" w:type="dxa"/>
              <w:right w:w="60" w:type="dxa"/>
            </w:tcMar>
          </w:tcPr>
          <w:p w14:paraId="150BDDF0" w14:textId="683BB5BA" w:rsidR="6F691FB8" w:rsidRPr="008902F2" w:rsidRDefault="6F691FB8" w:rsidP="6F691FB8">
            <w:pPr>
              <w:jc w:val="center"/>
              <w:rPr>
                <w:rFonts w:ascii="Times New Roman" w:eastAsia="Arial" w:hAnsi="Times New Roman"/>
              </w:rPr>
            </w:pPr>
            <w:r w:rsidRPr="008902F2">
              <w:rPr>
                <w:rFonts w:ascii="Times New Roman" w:eastAsia="Arial" w:hAnsi="Times New Roman"/>
              </w:rPr>
              <w:t>-961,62</w:t>
            </w:r>
          </w:p>
        </w:tc>
      </w:tr>
    </w:tbl>
    <w:p w14:paraId="3967EF20" w14:textId="50A0B138" w:rsidR="002C3099" w:rsidRPr="008902F2" w:rsidRDefault="002C3099" w:rsidP="6F691FB8">
      <w:pPr>
        <w:spacing w:after="160" w:line="259" w:lineRule="auto"/>
        <w:ind w:left="720"/>
        <w:rPr>
          <w:rFonts w:ascii="Times New Roman" w:hAnsi="Times New Roman"/>
          <w:color w:val="000000" w:themeColor="text1"/>
        </w:rPr>
      </w:pPr>
    </w:p>
    <w:p w14:paraId="54096A39" w14:textId="7B84402C" w:rsidR="002C3099" w:rsidRPr="008902F2" w:rsidRDefault="002C3099" w:rsidP="6F691FB8">
      <w:pPr>
        <w:spacing w:after="160" w:line="259" w:lineRule="auto"/>
        <w:ind w:left="720"/>
        <w:rPr>
          <w:rFonts w:ascii="Times New Roman" w:hAnsi="Times New Roman"/>
          <w:color w:val="000000" w:themeColor="text1"/>
        </w:rPr>
      </w:pPr>
    </w:p>
    <w:p w14:paraId="54A762F6" w14:textId="133A33CE" w:rsidR="002C3099" w:rsidRPr="008902F2" w:rsidRDefault="6F691FB8" w:rsidP="6F691FB8">
      <w:pPr>
        <w:pStyle w:val="Balk3"/>
        <w:spacing w:before="0" w:after="240"/>
        <w:rPr>
          <w:rFonts w:ascii="Times New Roman" w:eastAsia="Calibri" w:hAnsi="Times New Roman" w:cs="Times New Roman"/>
          <w:color w:val="000000" w:themeColor="text1"/>
        </w:rPr>
      </w:pPr>
      <w:bookmarkStart w:id="149" w:name="_Toc143113432"/>
      <w:r w:rsidRPr="008902F2">
        <w:rPr>
          <w:rFonts w:ascii="Times New Roman" w:eastAsia="Calibri" w:hAnsi="Times New Roman" w:cs="Times New Roman"/>
          <w:color w:val="000000" w:themeColor="text1"/>
        </w:rPr>
        <w:t>4.</w:t>
      </w:r>
      <w:r w:rsidR="19DC1F4E" w:rsidRPr="008902F2">
        <w:rPr>
          <w:rFonts w:ascii="Times New Roman" w:eastAsia="Calibri" w:hAnsi="Times New Roman" w:cs="Times New Roman"/>
          <w:color w:val="000000" w:themeColor="text1"/>
        </w:rPr>
        <w:t xml:space="preserve">1.8. </w:t>
      </w:r>
      <w:r w:rsidR="6BA9880E" w:rsidRPr="008902F2">
        <w:rPr>
          <w:rFonts w:ascii="Times New Roman" w:eastAsia="Calibri" w:hAnsi="Times New Roman" w:cs="Times New Roman"/>
          <w:color w:val="000000" w:themeColor="text1"/>
        </w:rPr>
        <w:t>License Fees</w:t>
      </w:r>
      <w:bookmarkEnd w:id="149"/>
    </w:p>
    <w:p w14:paraId="56D7F50C" w14:textId="1ECA99E5"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In accordance with the Board Decision dated 15.12.2022 and numbered 11458 published in the Official Gazette dated 17.12.2022 and numbered 32046, and in accordance with Article 43 of the Electricity Market License Regulation, obtaining associate license and license, annual license, license renewal, associate license and license amendment, associate license and License copying fees have been determined.</w:t>
      </w:r>
    </w:p>
    <w:p w14:paraId="1A7CDBAA" w14:textId="3AE212F2" w:rsidR="002C3099" w:rsidRPr="008902F2" w:rsidRDefault="6BA9880E" w:rsidP="6F691FB8">
      <w:pPr>
        <w:pStyle w:val="Balk2"/>
        <w:tabs>
          <w:tab w:val="left" w:pos="7200"/>
        </w:tabs>
        <w:spacing w:after="240"/>
        <w:rPr>
          <w:rFonts w:ascii="Times New Roman" w:eastAsia="Calibri" w:hAnsi="Times New Roman" w:cs="Times New Roman"/>
          <w:szCs w:val="22"/>
        </w:rPr>
      </w:pPr>
      <w:r w:rsidRPr="008902F2">
        <w:rPr>
          <w:rFonts w:ascii="Times New Roman" w:eastAsia="Calibri" w:hAnsi="Times New Roman" w:cs="Times New Roman"/>
          <w:szCs w:val="22"/>
        </w:rPr>
        <w:t xml:space="preserve"> </w:t>
      </w:r>
      <w:bookmarkStart w:id="150" w:name="_Toc143113433"/>
      <w:r w:rsidR="5A8D5771" w:rsidRPr="008902F2">
        <w:rPr>
          <w:rFonts w:ascii="Times New Roman" w:eastAsia="Calibri" w:hAnsi="Times New Roman" w:cs="Times New Roman"/>
          <w:szCs w:val="22"/>
        </w:rPr>
        <w:t xml:space="preserve">4.2. </w:t>
      </w:r>
      <w:r w:rsidRPr="008902F2">
        <w:rPr>
          <w:rFonts w:ascii="Times New Roman" w:eastAsia="Calibri" w:hAnsi="Times New Roman" w:cs="Times New Roman"/>
          <w:szCs w:val="22"/>
        </w:rPr>
        <w:t>Charge Market Service Tariffs</w:t>
      </w:r>
      <w:bookmarkEnd w:id="150"/>
    </w:p>
    <w:p w14:paraId="427A76EA" w14:textId="68FB6715"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The Electricity Market Law No. 6446 (the Law):</w:t>
      </w:r>
    </w:p>
    <w:p w14:paraId="63ABBF99" w14:textId="57D198C1"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lastRenderedPageBreak/>
        <w:t>The third paragraph of Additional Article 5 states, "The price of charging services shall be freely determined in accordance with the procedures and principles prepared by the Authority. It is essential that the price of charging services does not distort or restrict competition or disrupt or hinder the provision of charging services. In determining the price of charging services, investment and operation costs related to the establishment of charging stations and the creation of charging infrastructure, costs of electricity procurement, and similar costs, as well as legal obligations such as taxes, fees, and funds, and reasonable profitability, shall be taken into account. The determined price of charging services shall be announced by the charging station operators and the charging network operator license holders on digital platforms."</w:t>
      </w:r>
    </w:p>
    <w:p w14:paraId="66910BC4" w14:textId="15D29BFA"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The fourth subparagraph (e) of Additional Article 5 states, "In the event that activities or agreements are carried out under the scope of charging services with the intention of preventing, distorting, or restricting competition, or if such activities or agreements have or may have such an effect that disrupts charging services, the Authority is authorized to determine the base and/or ceiling prices to be applied at the regional or national level, for each stage of the activities, as well as to take necessary measures, each time for a period not exceeding three months. Depending on the assessment of these effects, the Authority may apply a minimum and maximum limit to the prices applied within the scope of charging services."</w:t>
      </w:r>
    </w:p>
    <w:p w14:paraId="726D643A" w14:textId="54457726"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According to the Law, charging network operator license holders are required to notify the Authority of the charging service prices they implement, taking into consideration the investment and operation costs related to the establishment of charging stations and the creation of charging infrastructure, costs of electricity procurement and similar costs, taxes, fees, funds, and reasonable profitability.</w:t>
      </w:r>
    </w:p>
    <w:p w14:paraId="77E9E4D9" w14:textId="255E3FEF"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According to the Charging Service Regulation, the following aspects must be taken into consideration when determining the price of charging services:</w:t>
      </w:r>
    </w:p>
    <w:p w14:paraId="40C79ADC" w14:textId="3910D650"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Free market conditions are taken as a basis for pricing.</w:t>
      </w:r>
    </w:p>
    <w:p w14:paraId="54036359" w14:textId="061BBDA0"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Charging network operators must present pricing information in a simple, clear, and easily comparable manner.</w:t>
      </w:r>
    </w:p>
    <w:p w14:paraId="158350C1" w14:textId="563585D4"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The charging network operator must announce the charging service prices applied at charging stations in real-time on their own website, digital platforms, and at the charging stations themselves for accessible viewing.</w:t>
      </w:r>
    </w:p>
    <w:p w14:paraId="2200B94A" w14:textId="3854C0D6"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A standardized unit energy price (TL/kWh) should be used as the pricing format for all payment methods.</w:t>
      </w:r>
    </w:p>
    <w:p w14:paraId="3ACFD188" w14:textId="1292B748"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Different prices may be applied for different types and capacities of charging units.</w:t>
      </w:r>
    </w:p>
    <w:p w14:paraId="66B93173" w14:textId="167317E5"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Apart from the fee calculated based on the charging service price, no additional fees such as connection fees, initiation fees, or charging equipment usage fees can be charged, regardless of their names.</w:t>
      </w:r>
    </w:p>
    <w:p w14:paraId="2B8DFADC" w14:textId="2EF805A4"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The charging service price applied by charging network operators will not exceed 25% above the lowest charging service price applied to users under loyalty agreements.</w:t>
      </w:r>
    </w:p>
    <w:p w14:paraId="1EC7FAFC" w14:textId="00476C0E"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If a fee is charged from users for the reservation service provided by the charging network operator, this fee will be refunded to the user after they have received the charging service as part of the respective reservation.</w:t>
      </w:r>
    </w:p>
    <w:p w14:paraId="571AC421" w14:textId="144095C0"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Charging network operators may charge additional fees from users who do not leave the charging station as long as the user is informed that additional fees will be charged and as long as the charging service is fully completed.</w:t>
      </w:r>
    </w:p>
    <w:p w14:paraId="613073C1" w14:textId="7D3C91EF" w:rsidR="002C3099" w:rsidRPr="008902F2" w:rsidRDefault="6BA9880E" w:rsidP="6F691FB8">
      <w:pPr>
        <w:ind w:firstLine="360"/>
        <w:rPr>
          <w:rFonts w:ascii="Times New Roman" w:hAnsi="Times New Roman"/>
          <w:color w:val="000000" w:themeColor="text1"/>
        </w:rPr>
      </w:pPr>
      <w:r w:rsidRPr="008902F2">
        <w:rPr>
          <w:rFonts w:ascii="Times New Roman" w:hAnsi="Times New Roman"/>
          <w:color w:val="000000" w:themeColor="text1"/>
        </w:rPr>
        <w:t xml:space="preserve">In accordance with the outlined aspects, the price declarations provided by charging network operator license holders for their market activities within the scope of their licenses are regularly monitored and examined by our </w:t>
      </w:r>
      <w:r w:rsidRPr="008902F2">
        <w:rPr>
          <w:rFonts w:ascii="Times New Roman" w:hAnsi="Times New Roman"/>
          <w:color w:val="000000" w:themeColor="text1"/>
        </w:rPr>
        <w:lastRenderedPageBreak/>
        <w:t>Authority. Developments in domestic charging service prices are compared with price movements in other advanced country markets. Furthermore, our Authority continues its efforts to establish a Free Access Platform to enable users to view the prices of all publicly available charging stations. In this way, besides the environmental advantages of electric vehicles, taking into account their advanced technological features, the aim is to enable electric vehicle users to track prices that are suitable for the characteristics of their vehicles.</w:t>
      </w:r>
    </w:p>
    <w:p w14:paraId="649D47CE" w14:textId="535953FB" w:rsidR="002C3099" w:rsidRPr="008902F2" w:rsidRDefault="6F691FB8" w:rsidP="6F691FB8">
      <w:pPr>
        <w:pStyle w:val="Balk3"/>
        <w:spacing w:before="0" w:after="240"/>
        <w:rPr>
          <w:rFonts w:ascii="Times New Roman" w:eastAsia="Calibri" w:hAnsi="Times New Roman" w:cs="Times New Roman"/>
          <w:color w:val="000000" w:themeColor="text1"/>
        </w:rPr>
      </w:pPr>
      <w:bookmarkStart w:id="151" w:name="_Toc143113434"/>
      <w:r w:rsidRPr="008902F2">
        <w:rPr>
          <w:rFonts w:ascii="Times New Roman" w:eastAsia="Calibri" w:hAnsi="Times New Roman" w:cs="Times New Roman"/>
          <w:color w:val="000000" w:themeColor="text1"/>
        </w:rPr>
        <w:t>4.</w:t>
      </w:r>
      <w:r w:rsidR="3B0DDED7" w:rsidRPr="008902F2">
        <w:rPr>
          <w:rFonts w:ascii="Times New Roman" w:eastAsia="Calibri" w:hAnsi="Times New Roman" w:cs="Times New Roman"/>
          <w:color w:val="000000" w:themeColor="text1"/>
        </w:rPr>
        <w:t xml:space="preserve">2.1. </w:t>
      </w:r>
      <w:r w:rsidR="6BA9880E" w:rsidRPr="008902F2">
        <w:rPr>
          <w:rFonts w:ascii="Times New Roman" w:eastAsia="Calibri" w:hAnsi="Times New Roman" w:cs="Times New Roman"/>
          <w:color w:val="000000" w:themeColor="text1"/>
        </w:rPr>
        <w:t>License Fees</w:t>
      </w:r>
      <w:bookmarkEnd w:id="151"/>
    </w:p>
    <w:p w14:paraId="1CB14A61" w14:textId="19D2966A" w:rsidR="002C3099" w:rsidRPr="008902F2" w:rsidRDefault="6BA9880E" w:rsidP="00A86526">
      <w:pPr>
        <w:pStyle w:val="ListeParagraf"/>
        <w:numPr>
          <w:ilvl w:val="0"/>
          <w:numId w:val="12"/>
        </w:numPr>
        <w:spacing w:after="160" w:line="259" w:lineRule="auto"/>
        <w:rPr>
          <w:rFonts w:ascii="Times New Roman" w:hAnsi="Times New Roman"/>
          <w:color w:val="000000" w:themeColor="text1"/>
        </w:rPr>
      </w:pPr>
      <w:r w:rsidRPr="008902F2">
        <w:rPr>
          <w:rFonts w:ascii="Times New Roman" w:hAnsi="Times New Roman"/>
          <w:color w:val="000000" w:themeColor="text1"/>
        </w:rPr>
        <w:t>With the Board Decision dated 31.03.2022 and numbered 10895 published in the Official Gazette dated 02.04.2022 and numbered 31797, the fees for obtaining licenses, license amendments and copying licenses to be applied in 2022 regarding the Charge network operator license are determined as follows: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95"/>
        <w:gridCol w:w="1815"/>
      </w:tblGrid>
      <w:tr w:rsidR="6F691FB8" w:rsidRPr="008902F2" w14:paraId="28463B05" w14:textId="77777777" w:rsidTr="6F691FB8">
        <w:trPr>
          <w:trHeight w:val="165"/>
        </w:trPr>
        <w:tc>
          <w:tcPr>
            <w:tcW w:w="409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071F8CB9" w14:textId="0829AE94"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Price Type</w:t>
            </w:r>
          </w:p>
        </w:tc>
        <w:tc>
          <w:tcPr>
            <w:tcW w:w="181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2C6C94DB" w14:textId="6B5D7245"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Price (TL)</w:t>
            </w:r>
          </w:p>
        </w:tc>
      </w:tr>
      <w:tr w:rsidR="6F691FB8" w:rsidRPr="008902F2" w14:paraId="0A0E1878" w14:textId="77777777" w:rsidTr="6F691FB8">
        <w:trPr>
          <w:trHeight w:val="165"/>
        </w:trPr>
        <w:tc>
          <w:tcPr>
            <w:tcW w:w="409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38635843" w14:textId="6D538F0C"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License fee</w:t>
            </w:r>
          </w:p>
        </w:tc>
        <w:tc>
          <w:tcPr>
            <w:tcW w:w="181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213B5587" w14:textId="1B98203D"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300.000</w:t>
            </w:r>
          </w:p>
        </w:tc>
      </w:tr>
      <w:tr w:rsidR="6F691FB8" w:rsidRPr="008902F2" w14:paraId="1A05F571" w14:textId="77777777" w:rsidTr="6F691FB8">
        <w:trPr>
          <w:trHeight w:val="165"/>
        </w:trPr>
        <w:tc>
          <w:tcPr>
            <w:tcW w:w="409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414E8601" w14:textId="460D29BF"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License modification fee</w:t>
            </w:r>
          </w:p>
        </w:tc>
        <w:tc>
          <w:tcPr>
            <w:tcW w:w="181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7D059E7A" w14:textId="349F7BEF"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14.000</w:t>
            </w:r>
          </w:p>
        </w:tc>
      </w:tr>
      <w:tr w:rsidR="6F691FB8" w:rsidRPr="008902F2" w14:paraId="21251063" w14:textId="77777777" w:rsidTr="6F691FB8">
        <w:trPr>
          <w:trHeight w:val="165"/>
        </w:trPr>
        <w:tc>
          <w:tcPr>
            <w:tcW w:w="409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5BFF5CF2" w14:textId="05B4E683"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License copy fee</w:t>
            </w:r>
          </w:p>
        </w:tc>
        <w:tc>
          <w:tcPr>
            <w:tcW w:w="1815" w:type="dxa"/>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tcPr>
          <w:p w14:paraId="4D22E7A5" w14:textId="7D7B3ADB" w:rsidR="6F691FB8" w:rsidRPr="008902F2" w:rsidRDefault="6F691FB8" w:rsidP="6F691FB8">
            <w:pPr>
              <w:spacing w:after="0" w:line="240" w:lineRule="auto"/>
              <w:jc w:val="center"/>
              <w:rPr>
                <w:rFonts w:ascii="Times New Roman" w:eastAsia="Arial" w:hAnsi="Times New Roman"/>
                <w:color w:val="484848"/>
              </w:rPr>
            </w:pPr>
            <w:r w:rsidRPr="008902F2">
              <w:rPr>
                <w:rFonts w:ascii="Times New Roman" w:eastAsia="Arial" w:hAnsi="Times New Roman"/>
                <w:color w:val="484848"/>
              </w:rPr>
              <w:t>3.000</w:t>
            </w:r>
          </w:p>
        </w:tc>
      </w:tr>
    </w:tbl>
    <w:p w14:paraId="36D7A54B" w14:textId="7A920D53" w:rsidR="002C3099" w:rsidRPr="008902F2" w:rsidRDefault="002C3099" w:rsidP="6F691FB8">
      <w:pPr>
        <w:ind w:left="720"/>
        <w:rPr>
          <w:rFonts w:ascii="Times New Roman" w:hAnsi="Times New Roman"/>
          <w:color w:val="000000" w:themeColor="text1"/>
        </w:rPr>
      </w:pPr>
    </w:p>
    <w:p w14:paraId="7CD67686" w14:textId="17ECD3F0" w:rsidR="002C3099" w:rsidRPr="008902F2" w:rsidRDefault="002C3099" w:rsidP="6F691FB8">
      <w:pPr>
        <w:ind w:left="720"/>
        <w:rPr>
          <w:rFonts w:ascii="Times New Roman" w:hAnsi="Times New Roman"/>
          <w:color w:val="000000" w:themeColor="text1"/>
        </w:rPr>
      </w:pPr>
    </w:p>
    <w:p w14:paraId="1DAC79B3" w14:textId="667250A9" w:rsidR="002C3099" w:rsidRPr="008902F2" w:rsidRDefault="002C3099" w:rsidP="6F691FB8">
      <w:pPr>
        <w:rPr>
          <w:rFonts w:ascii="Times New Roman" w:hAnsi="Times New Roman"/>
          <w:color w:val="000000" w:themeColor="text1"/>
        </w:rPr>
      </w:pPr>
    </w:p>
    <w:p w14:paraId="347CC9C0" w14:textId="39BF9B7A" w:rsidR="002C3099" w:rsidRPr="008902F2" w:rsidRDefault="002C3099" w:rsidP="6F691FB8">
      <w:pPr>
        <w:rPr>
          <w:rFonts w:ascii="Times New Roman" w:hAnsi="Times New Roman"/>
          <w:color w:val="000000" w:themeColor="text1"/>
        </w:rPr>
      </w:pPr>
    </w:p>
    <w:p w14:paraId="2BF728F9" w14:textId="7D6BE68E" w:rsidR="002C3099" w:rsidRPr="008902F2" w:rsidRDefault="002C3099" w:rsidP="6F691FB8">
      <w:pPr>
        <w:rPr>
          <w:rFonts w:ascii="Times New Roman" w:hAnsi="Times New Roman"/>
          <w:color w:val="000000" w:themeColor="text1"/>
        </w:rPr>
      </w:pPr>
    </w:p>
    <w:p w14:paraId="48CF0398" w14:textId="08161A3B"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The fees for obtaining, amending, and issuing copies of the "Charging Network Operator License," to be applied in 2023, have been determined in accordance with the 7th paragraph of Article 5 (i) of Law No. 4628 on the Establishment and Duties of the Energy Market Regulatory Authority, the 4th paragraph of Additional Article 5 of Law No. 6446 on the Electricity Market, and Article 11 of the "Charging Service Regulation," through the Resolution No. 11459 dated 15.12.2022 and published in the Official Gazette No. 32046 dated 17.12.2022.</w:t>
      </w:r>
    </w:p>
    <w:p w14:paraId="479DB5C1" w14:textId="24F798EE" w:rsidR="002C3099" w:rsidRPr="008902F2" w:rsidRDefault="6F691FB8" w:rsidP="6F691FB8">
      <w:pPr>
        <w:pStyle w:val="Balk2"/>
        <w:tabs>
          <w:tab w:val="left" w:pos="7200"/>
        </w:tabs>
        <w:spacing w:after="240"/>
        <w:rPr>
          <w:rFonts w:ascii="Times New Roman" w:eastAsia="Calibri" w:hAnsi="Times New Roman" w:cs="Times New Roman"/>
          <w:szCs w:val="22"/>
        </w:rPr>
      </w:pPr>
      <w:bookmarkStart w:id="152" w:name="_Toc143113435"/>
      <w:r w:rsidRPr="008902F2">
        <w:rPr>
          <w:rFonts w:ascii="Times New Roman" w:eastAsia="Calibri" w:hAnsi="Times New Roman" w:cs="Times New Roman"/>
          <w:szCs w:val="22"/>
        </w:rPr>
        <w:t>4.</w:t>
      </w:r>
      <w:r w:rsidR="7585617D" w:rsidRPr="008902F2">
        <w:rPr>
          <w:rFonts w:ascii="Times New Roman" w:eastAsia="Calibri" w:hAnsi="Times New Roman" w:cs="Times New Roman"/>
          <w:szCs w:val="22"/>
        </w:rPr>
        <w:t xml:space="preserve">3. </w:t>
      </w:r>
      <w:r w:rsidR="6BA9880E" w:rsidRPr="008902F2">
        <w:rPr>
          <w:rFonts w:ascii="Times New Roman" w:eastAsia="Calibri" w:hAnsi="Times New Roman" w:cs="Times New Roman"/>
          <w:szCs w:val="22"/>
        </w:rPr>
        <w:t>Natural Gas Market Tariffs</w:t>
      </w:r>
      <w:bookmarkEnd w:id="152"/>
      <w:r w:rsidR="002C3099" w:rsidRPr="008902F2">
        <w:rPr>
          <w:rFonts w:ascii="Times New Roman" w:hAnsi="Times New Roman" w:cs="Times New Roman"/>
        </w:rPr>
        <w:tab/>
      </w:r>
    </w:p>
    <w:p w14:paraId="2D0A55D6" w14:textId="2D89BFCB"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Regulations regarding the natural gas market tariffs are made within the scope of the Natural Gas Market Law No. 4646 and the Natural Gas Market Tariffs Regulation prepared based on this Law.</w:t>
      </w:r>
    </w:p>
    <w:p w14:paraId="70781EA3" w14:textId="65AFED05" w:rsidR="002C3099" w:rsidRPr="008902F2" w:rsidRDefault="6F691FB8" w:rsidP="6F691FB8">
      <w:pPr>
        <w:pStyle w:val="Balk3"/>
        <w:spacing w:before="0" w:after="240" w:line="240" w:lineRule="auto"/>
        <w:rPr>
          <w:rFonts w:ascii="Times New Roman" w:eastAsia="Calibri" w:hAnsi="Times New Roman" w:cs="Times New Roman"/>
          <w:color w:val="000000" w:themeColor="text1"/>
        </w:rPr>
      </w:pPr>
      <w:bookmarkStart w:id="153" w:name="_Toc143113436"/>
      <w:r w:rsidRPr="008902F2">
        <w:rPr>
          <w:rFonts w:ascii="Times New Roman" w:eastAsia="Calibri" w:hAnsi="Times New Roman" w:cs="Times New Roman"/>
          <w:color w:val="000000" w:themeColor="text1"/>
        </w:rPr>
        <w:t>4.</w:t>
      </w:r>
      <w:r w:rsidR="721610EE" w:rsidRPr="008902F2">
        <w:rPr>
          <w:rFonts w:ascii="Times New Roman" w:eastAsia="Calibri" w:hAnsi="Times New Roman" w:cs="Times New Roman"/>
          <w:color w:val="000000" w:themeColor="text1"/>
        </w:rPr>
        <w:t xml:space="preserve">3.1. </w:t>
      </w:r>
      <w:r w:rsidR="6BA9880E" w:rsidRPr="008902F2">
        <w:rPr>
          <w:rFonts w:ascii="Times New Roman" w:eastAsia="Calibri" w:hAnsi="Times New Roman" w:cs="Times New Roman"/>
          <w:color w:val="000000" w:themeColor="text1"/>
        </w:rPr>
        <w:t>Transmission and Shipment Control Tariffs</w:t>
      </w:r>
      <w:bookmarkEnd w:id="153"/>
    </w:p>
    <w:p w14:paraId="1B90B318" w14:textId="7C10F6D4"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As per the "Principles and Procedures for Determining the Revenue Ceilings for Natural Gas Transmission License Holder Companies' Tariffs," accepted with the Decision No. 4638-1 dated 03.10.2013, the resolution regarding the determination of BOTAS's transmission and dispatch control fees for the year 2023 was issued on 29.12.2022 with the Decision No. 11523. This resolution was published in the Official Gazette No. 32059 on 30.12.2022 and has been effective as of 01.01.2023. The upper limits of the transmission capacity charges determined by this Decision are presented in Table 4.18.</w:t>
      </w:r>
    </w:p>
    <w:p w14:paraId="77CF9F3E" w14:textId="31CB9757"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4.18: Transmission Capacity Fee Upper Limits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55"/>
        <w:gridCol w:w="1635"/>
        <w:gridCol w:w="1875"/>
      </w:tblGrid>
      <w:tr w:rsidR="6F691FB8" w:rsidRPr="008902F2" w14:paraId="40E243FC" w14:textId="77777777" w:rsidTr="6F691FB8">
        <w:trPr>
          <w:trHeight w:val="15"/>
        </w:trPr>
        <w:tc>
          <w:tcPr>
            <w:tcW w:w="50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552DF041" w14:textId="4F93C3C1" w:rsidR="6F691FB8" w:rsidRPr="008902F2" w:rsidRDefault="6F691FB8" w:rsidP="6F691FB8">
            <w:pPr>
              <w:spacing w:after="0"/>
              <w:jc w:val="left"/>
              <w:rPr>
                <w:rFonts w:ascii="Times New Roman" w:hAnsi="Times New Roman"/>
                <w:color w:val="FFFFFF" w:themeColor="background1"/>
              </w:rPr>
            </w:pPr>
            <w:r w:rsidRPr="008902F2">
              <w:rPr>
                <w:rFonts w:ascii="Times New Roman" w:hAnsi="Times New Roman"/>
                <w:b/>
                <w:bCs/>
                <w:color w:val="FFFFFF" w:themeColor="background1"/>
              </w:rPr>
              <w:t>Points</w:t>
            </w: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5473B2DE" w14:textId="7A5F6F22"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(TL/Sm</w:t>
            </w:r>
            <w:r w:rsidRPr="008902F2">
              <w:rPr>
                <w:rFonts w:ascii="Times New Roman" w:hAnsi="Times New Roman"/>
                <w:b/>
                <w:bCs/>
                <w:color w:val="FFFFFF" w:themeColor="background1"/>
                <w:vertAlign w:val="superscript"/>
              </w:rPr>
              <w:t>3</w:t>
            </w:r>
            <w:r w:rsidRPr="008902F2">
              <w:rPr>
                <w:rFonts w:ascii="Times New Roman" w:hAnsi="Times New Roman"/>
                <w:b/>
                <w:bCs/>
                <w:color w:val="FFFFFF" w:themeColor="background1"/>
              </w:rPr>
              <w:t>-Day)</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2AC72FBB" w14:textId="143C5688" w:rsidR="6F691FB8" w:rsidRPr="008902F2" w:rsidRDefault="6F691FB8" w:rsidP="6F691FB8">
            <w:pPr>
              <w:spacing w:after="0"/>
              <w:jc w:val="center"/>
              <w:rPr>
                <w:rFonts w:ascii="Times New Roman" w:hAnsi="Times New Roman"/>
                <w:color w:val="FFFFFF" w:themeColor="background1"/>
              </w:rPr>
            </w:pPr>
            <w:r w:rsidRPr="008902F2">
              <w:rPr>
                <w:rFonts w:ascii="Times New Roman" w:hAnsi="Times New Roman"/>
                <w:b/>
                <w:bCs/>
                <w:color w:val="FFFFFF" w:themeColor="background1"/>
              </w:rPr>
              <w:t>(TL/kWh-Day)</w:t>
            </w:r>
          </w:p>
        </w:tc>
      </w:tr>
      <w:tr w:rsidR="6F691FB8" w:rsidRPr="008902F2" w14:paraId="2F25C0AE" w14:textId="77777777" w:rsidTr="6F691FB8">
        <w:trPr>
          <w:trHeight w:val="15"/>
        </w:trPr>
        <w:tc>
          <w:tcPr>
            <w:tcW w:w="50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1F8C64E" w14:textId="3CACF5FD"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Entry Points</w:t>
            </w: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4492E7C" w14:textId="5B0B7CDF" w:rsidR="6F691FB8" w:rsidRPr="008902F2" w:rsidRDefault="6F691FB8" w:rsidP="6F691FB8">
            <w:pPr>
              <w:spacing w:after="0"/>
              <w:jc w:val="center"/>
              <w:rPr>
                <w:rFonts w:ascii="Times New Roman" w:hAnsi="Times New Roman"/>
              </w:rPr>
            </w:pPr>
            <w:r w:rsidRPr="008902F2">
              <w:rPr>
                <w:rFonts w:ascii="Times New Roman" w:hAnsi="Times New Roman"/>
              </w:rPr>
              <w:t>0,003897</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FAA28C6" w14:textId="1F6BA9CD" w:rsidR="6F691FB8" w:rsidRPr="008902F2" w:rsidRDefault="6F691FB8" w:rsidP="6F691FB8">
            <w:pPr>
              <w:spacing w:after="0"/>
              <w:jc w:val="center"/>
              <w:rPr>
                <w:rFonts w:ascii="Times New Roman" w:hAnsi="Times New Roman"/>
              </w:rPr>
            </w:pPr>
            <w:r w:rsidRPr="008902F2">
              <w:rPr>
                <w:rFonts w:ascii="Times New Roman" w:hAnsi="Times New Roman"/>
              </w:rPr>
              <w:t>0,00036626</w:t>
            </w:r>
          </w:p>
        </w:tc>
      </w:tr>
      <w:tr w:rsidR="6F691FB8" w:rsidRPr="008902F2" w14:paraId="1DF319E5" w14:textId="77777777" w:rsidTr="6F691FB8">
        <w:trPr>
          <w:trHeight w:val="15"/>
        </w:trPr>
        <w:tc>
          <w:tcPr>
            <w:tcW w:w="50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AD3434C" w14:textId="53DD578A"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t>Exit point</w:t>
            </w: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F7E6CE0" w14:textId="0A30E2A6" w:rsidR="6F691FB8" w:rsidRPr="008902F2" w:rsidRDefault="6F691FB8" w:rsidP="6F691FB8">
            <w:pPr>
              <w:spacing w:after="0"/>
              <w:jc w:val="center"/>
              <w:rPr>
                <w:rFonts w:ascii="Times New Roman" w:hAnsi="Times New Roman"/>
              </w:rPr>
            </w:pPr>
            <w:r w:rsidRPr="008902F2">
              <w:rPr>
                <w:rFonts w:ascii="Times New Roman" w:hAnsi="Times New Roman"/>
              </w:rPr>
              <w:t>0,093650</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B099285" w14:textId="17CE90E6" w:rsidR="6F691FB8" w:rsidRPr="008902F2" w:rsidRDefault="6F691FB8" w:rsidP="6F691FB8">
            <w:pPr>
              <w:spacing w:after="0"/>
              <w:jc w:val="center"/>
              <w:rPr>
                <w:rFonts w:ascii="Times New Roman" w:hAnsi="Times New Roman"/>
              </w:rPr>
            </w:pPr>
            <w:r w:rsidRPr="008902F2">
              <w:rPr>
                <w:rFonts w:ascii="Times New Roman" w:hAnsi="Times New Roman"/>
              </w:rPr>
              <w:t>0,00880169</w:t>
            </w:r>
          </w:p>
        </w:tc>
      </w:tr>
      <w:tr w:rsidR="6F691FB8" w:rsidRPr="008902F2" w14:paraId="6D925EBE" w14:textId="77777777" w:rsidTr="6F691FB8">
        <w:trPr>
          <w:trHeight w:val="15"/>
        </w:trPr>
        <w:tc>
          <w:tcPr>
            <w:tcW w:w="50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8E8D77F" w14:textId="783FC1D5" w:rsidR="6F691FB8" w:rsidRPr="008902F2" w:rsidRDefault="6F691FB8" w:rsidP="6F691FB8">
            <w:pPr>
              <w:spacing w:after="0"/>
              <w:rPr>
                <w:rFonts w:ascii="Times New Roman" w:hAnsi="Times New Roman"/>
                <w:color w:val="000000" w:themeColor="text1"/>
              </w:rPr>
            </w:pPr>
            <w:r w:rsidRPr="008902F2">
              <w:rPr>
                <w:rFonts w:ascii="Times New Roman" w:hAnsi="Times New Roman"/>
                <w:color w:val="000000" w:themeColor="text1"/>
              </w:rPr>
              <w:lastRenderedPageBreak/>
              <w:t>Export Exit Point (Greece)</w:t>
            </w: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E862106" w14:textId="28011FE8" w:rsidR="6F691FB8" w:rsidRPr="008902F2" w:rsidRDefault="6F691FB8" w:rsidP="6F691FB8">
            <w:pPr>
              <w:spacing w:after="0"/>
              <w:jc w:val="center"/>
              <w:rPr>
                <w:rFonts w:ascii="Times New Roman" w:hAnsi="Times New Roman"/>
              </w:rPr>
            </w:pPr>
            <w:r w:rsidRPr="008902F2">
              <w:rPr>
                <w:rFonts w:ascii="Times New Roman" w:hAnsi="Times New Roman"/>
              </w:rPr>
              <w:t>0,293176</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0A2FBAF" w14:textId="6E2C5FF9" w:rsidR="6F691FB8" w:rsidRPr="008902F2" w:rsidRDefault="6F691FB8" w:rsidP="6F691FB8">
            <w:pPr>
              <w:spacing w:after="0"/>
              <w:jc w:val="center"/>
              <w:rPr>
                <w:rFonts w:ascii="Times New Roman" w:hAnsi="Times New Roman"/>
              </w:rPr>
            </w:pPr>
            <w:r w:rsidRPr="008902F2">
              <w:rPr>
                <w:rFonts w:ascii="Times New Roman" w:hAnsi="Times New Roman"/>
              </w:rPr>
              <w:t>0,02755414</w:t>
            </w:r>
          </w:p>
        </w:tc>
      </w:tr>
    </w:tbl>
    <w:p w14:paraId="75D0188A" w14:textId="28EB89D5" w:rsidR="002C3099" w:rsidRPr="008902F2" w:rsidRDefault="002C3099" w:rsidP="6F691FB8">
      <w:pPr>
        <w:spacing w:after="0"/>
        <w:rPr>
          <w:rFonts w:ascii="Times New Roman" w:hAnsi="Times New Roman"/>
          <w:color w:val="000000" w:themeColor="text1"/>
        </w:rPr>
      </w:pPr>
    </w:p>
    <w:p w14:paraId="5D6ABF38" w14:textId="3719646F"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The upper limit of BOTAS's transmission service fee has been determined as follows by the same Regulatory Decision:</w:t>
      </w:r>
    </w:p>
    <w:p w14:paraId="0E6FCA13" w14:textId="599203D9"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4.19: BOTAŞ Transmission Service Fee Upper Limit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75"/>
        <w:gridCol w:w="1635"/>
        <w:gridCol w:w="1875"/>
      </w:tblGrid>
      <w:tr w:rsidR="6F691FB8" w:rsidRPr="008902F2" w14:paraId="152EBAE2" w14:textId="77777777" w:rsidTr="6F691FB8">
        <w:trPr>
          <w:trHeight w:val="390"/>
        </w:trPr>
        <w:tc>
          <w:tcPr>
            <w:tcW w:w="30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2D93AD83" w14:textId="4F45BA40" w:rsidR="6F691FB8" w:rsidRPr="008902F2" w:rsidRDefault="6F691FB8" w:rsidP="6F691FB8">
            <w:pPr>
              <w:rPr>
                <w:rFonts w:ascii="Times New Roman" w:hAnsi="Times New Roman"/>
                <w:color w:val="FFFFFF" w:themeColor="background1"/>
              </w:rPr>
            </w:pP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3B8A81CC" w14:textId="5951BD81"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(TL/Sm</w:t>
            </w:r>
            <w:r w:rsidRPr="008902F2">
              <w:rPr>
                <w:rFonts w:ascii="Times New Roman" w:hAnsi="Times New Roman"/>
                <w:b/>
                <w:bCs/>
                <w:color w:val="FFFFFF" w:themeColor="background1"/>
                <w:vertAlign w:val="superscript"/>
              </w:rPr>
              <w:t>3</w:t>
            </w:r>
            <w:r w:rsidRPr="008902F2">
              <w:rPr>
                <w:rFonts w:ascii="Times New Roman" w:hAnsi="Times New Roman"/>
                <w:b/>
                <w:bCs/>
                <w:color w:val="FFFFFF" w:themeColor="background1"/>
              </w:rPr>
              <w:t>)</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0F578B66" w14:textId="54E9B4B2"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(TL/kWh)</w:t>
            </w:r>
          </w:p>
        </w:tc>
      </w:tr>
      <w:tr w:rsidR="6F691FB8" w:rsidRPr="008902F2" w14:paraId="2111D64F" w14:textId="77777777" w:rsidTr="6F691FB8">
        <w:trPr>
          <w:trHeight w:val="390"/>
        </w:trPr>
        <w:tc>
          <w:tcPr>
            <w:tcW w:w="30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A965C6D" w14:textId="09376E0A" w:rsidR="6F691FB8" w:rsidRPr="008902F2" w:rsidRDefault="6F691FB8" w:rsidP="6F691FB8">
            <w:pPr>
              <w:rPr>
                <w:rFonts w:ascii="Times New Roman" w:hAnsi="Times New Roman"/>
                <w:color w:val="000000" w:themeColor="text1"/>
              </w:rPr>
            </w:pPr>
            <w:r w:rsidRPr="008902F2">
              <w:rPr>
                <w:rFonts w:ascii="Times New Roman" w:hAnsi="Times New Roman"/>
                <w:color w:val="000000" w:themeColor="text1"/>
              </w:rPr>
              <w:t>Transmission Service Fee</w:t>
            </w:r>
          </w:p>
        </w:tc>
        <w:tc>
          <w:tcPr>
            <w:tcW w:w="16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F9910D3" w14:textId="4805CEFC" w:rsidR="6F691FB8" w:rsidRPr="008902F2" w:rsidRDefault="6F691FB8" w:rsidP="6F691FB8">
            <w:pPr>
              <w:jc w:val="center"/>
              <w:rPr>
                <w:rFonts w:ascii="Times New Roman" w:hAnsi="Times New Roman"/>
              </w:rPr>
            </w:pPr>
            <w:r w:rsidRPr="008902F2">
              <w:rPr>
                <w:rFonts w:ascii="Times New Roman" w:hAnsi="Times New Roman"/>
              </w:rPr>
              <w:t>0,125916</w:t>
            </w:r>
          </w:p>
        </w:tc>
        <w:tc>
          <w:tcPr>
            <w:tcW w:w="18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4DF808E" w14:textId="126135A6" w:rsidR="6F691FB8" w:rsidRPr="008902F2" w:rsidRDefault="6F691FB8" w:rsidP="6F691FB8">
            <w:pPr>
              <w:jc w:val="center"/>
              <w:rPr>
                <w:rFonts w:ascii="Times New Roman" w:hAnsi="Times New Roman"/>
              </w:rPr>
            </w:pPr>
            <w:r w:rsidRPr="008902F2">
              <w:rPr>
                <w:rFonts w:ascii="Times New Roman" w:hAnsi="Times New Roman"/>
              </w:rPr>
              <w:t>0,01183421</w:t>
            </w:r>
          </w:p>
        </w:tc>
      </w:tr>
    </w:tbl>
    <w:p w14:paraId="0EACB179" w14:textId="62DFD215" w:rsidR="002C3099" w:rsidRPr="008902F2" w:rsidRDefault="6BA9880E" w:rsidP="6F691FB8">
      <w:pPr>
        <w:spacing w:before="240"/>
        <w:rPr>
          <w:rFonts w:ascii="Times New Roman" w:hAnsi="Times New Roman"/>
          <w:color w:val="000000" w:themeColor="text1"/>
        </w:rPr>
      </w:pPr>
      <w:r w:rsidRPr="008902F2">
        <w:rPr>
          <w:rFonts w:ascii="Times New Roman" w:hAnsi="Times New Roman"/>
          <w:color w:val="000000" w:themeColor="text1"/>
        </w:rPr>
        <w:t>The Regulatory Decision dated 29.12.2022 and published in the Official Gazette numbered 32059, based on the "Principles and Procedures for Determining the Revenue Ceilings of Natural Gas Transmission License Holder Companies' Tariffs" accepted by the Regulatory Decision dated 03.10.2013 numbered 4638-1, includes the determination of the annual revenue requirements for the third implementation period of BOTAŞ, the transmission license holder with the license numbered DİL/148-17/021 and dated 23.05.2003, in line with the aforementioned principles.</w:t>
      </w:r>
    </w:p>
    <w:p w14:paraId="1F15D9CB" w14:textId="1463F9CA" w:rsidR="002C3099" w:rsidRPr="008902F2" w:rsidRDefault="6BA9880E" w:rsidP="6F691FB8">
      <w:pPr>
        <w:spacing w:before="240"/>
        <w:rPr>
          <w:rFonts w:ascii="Times New Roman" w:hAnsi="Times New Roman"/>
          <w:color w:val="000000" w:themeColor="text1"/>
        </w:rPr>
      </w:pPr>
      <w:r w:rsidRPr="008902F2">
        <w:rPr>
          <w:rFonts w:ascii="Times New Roman" w:hAnsi="Times New Roman"/>
          <w:color w:val="000000" w:themeColor="text1"/>
        </w:rPr>
        <w:t>With this Decision, the fourth implementation period for BOTAŞ's transmission and dispatch control tariffs has been determined as 2023 - 2025. The real reasonable return rate for transmission and dispatch control tariffs has been set at 12.37% (pre-tax), and the net real reasonable return rate at 11.649% (pre-tax). The annual investment cap and revenue requirements for BOTAŞ's fourth implementation period are presented in Table 4.20 and 4.21, respectively.</w:t>
      </w:r>
    </w:p>
    <w:p w14:paraId="3F7D25E8" w14:textId="55F7248E"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4.20: BOTAŞ Third Implementation Period Investment Ceiling</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60"/>
        <w:gridCol w:w="2475"/>
        <w:gridCol w:w="2475"/>
        <w:gridCol w:w="2475"/>
      </w:tblGrid>
      <w:tr w:rsidR="6F691FB8" w:rsidRPr="008902F2" w14:paraId="7561F795" w14:textId="77777777" w:rsidTr="6F691FB8">
        <w:trPr>
          <w:trHeight w:val="300"/>
        </w:trPr>
        <w:tc>
          <w:tcPr>
            <w:tcW w:w="24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77944106" w14:textId="7C9491E4" w:rsidR="6F691FB8" w:rsidRPr="008902F2" w:rsidRDefault="6F691FB8" w:rsidP="6F691FB8">
            <w:pPr>
              <w:rPr>
                <w:rFonts w:ascii="Times New Roman" w:hAnsi="Times New Roman"/>
                <w:color w:val="FFFFFF" w:themeColor="background1"/>
              </w:rPr>
            </w:pP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507782B8" w14:textId="18FE1DB2"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2020</w:t>
            </w: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74D454EA" w14:textId="5542530F"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2021</w:t>
            </w: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07AE8516" w14:textId="46DABC00"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2022</w:t>
            </w:r>
          </w:p>
        </w:tc>
      </w:tr>
      <w:tr w:rsidR="6F691FB8" w:rsidRPr="008902F2" w14:paraId="2E3F41AF" w14:textId="77777777" w:rsidTr="6F691FB8">
        <w:trPr>
          <w:trHeight w:val="300"/>
        </w:trPr>
        <w:tc>
          <w:tcPr>
            <w:tcW w:w="24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00661F9" w14:textId="093A27A2" w:rsidR="6F691FB8" w:rsidRPr="008902F2" w:rsidRDefault="6F691FB8" w:rsidP="6F691FB8">
            <w:pPr>
              <w:rPr>
                <w:rFonts w:ascii="Times New Roman" w:hAnsi="Times New Roman"/>
                <w:color w:val="000000" w:themeColor="text1"/>
              </w:rPr>
            </w:pPr>
            <w:r w:rsidRPr="008902F2">
              <w:rPr>
                <w:rFonts w:ascii="Times New Roman" w:hAnsi="Times New Roman"/>
                <w:color w:val="000000" w:themeColor="text1"/>
              </w:rPr>
              <w:t>Investment Ceiling (TL)1</w:t>
            </w: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277D952" w14:textId="5D987FC6"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754.116.406</w:t>
            </w: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30EC74D" w14:textId="3F671F3C"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1.152.083.349</w:t>
            </w:r>
          </w:p>
        </w:tc>
        <w:tc>
          <w:tcPr>
            <w:tcW w:w="24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C484853" w14:textId="2B95B05D"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640.263.000</w:t>
            </w:r>
          </w:p>
        </w:tc>
      </w:tr>
    </w:tbl>
    <w:p w14:paraId="28EE616F" w14:textId="5A3DF01B" w:rsidR="002C3099" w:rsidRPr="008902F2" w:rsidRDefault="6BA9880E" w:rsidP="6F691FB8">
      <w:pPr>
        <w:rPr>
          <w:rFonts w:ascii="Times New Roman" w:hAnsi="Times New Roman"/>
          <w:sz w:val="18"/>
          <w:szCs w:val="18"/>
        </w:rPr>
      </w:pPr>
      <w:r w:rsidRPr="008902F2">
        <w:rPr>
          <w:rFonts w:ascii="Times New Roman" w:hAnsi="Times New Roman"/>
          <w:color w:val="000000" w:themeColor="text1"/>
          <w:sz w:val="18"/>
          <w:szCs w:val="18"/>
          <w:vertAlign w:val="superscript"/>
        </w:rPr>
        <w:t>1</w:t>
      </w:r>
      <w:r w:rsidRPr="008902F2">
        <w:rPr>
          <w:rFonts w:ascii="Times New Roman" w:hAnsi="Times New Roman"/>
          <w:color w:val="000000" w:themeColor="text1"/>
          <w:sz w:val="18"/>
          <w:szCs w:val="18"/>
        </w:rPr>
        <w:t>These amounts are at D-PPI = 1780.05 prices.</w:t>
      </w:r>
    </w:p>
    <w:p w14:paraId="4AD1255B" w14:textId="05424490"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4.21: BOTAŞ Third Implementation Period Revenue Requirement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81"/>
        <w:gridCol w:w="2378"/>
        <w:gridCol w:w="2378"/>
        <w:gridCol w:w="2378"/>
      </w:tblGrid>
      <w:tr w:rsidR="6F691FB8" w:rsidRPr="008902F2" w14:paraId="22557FAF" w14:textId="77777777" w:rsidTr="6F691FB8">
        <w:trPr>
          <w:trHeight w:val="300"/>
        </w:trPr>
        <w:tc>
          <w:tcPr>
            <w:tcW w:w="278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53AA2ACA" w14:textId="26A20BE0" w:rsidR="6F691FB8" w:rsidRPr="008902F2" w:rsidRDefault="6F691FB8" w:rsidP="6F691FB8">
            <w:pPr>
              <w:rPr>
                <w:rFonts w:ascii="Times New Roman" w:hAnsi="Times New Roman"/>
                <w:color w:val="FFFFFF" w:themeColor="background1"/>
                <w:sz w:val="20"/>
                <w:szCs w:val="20"/>
              </w:rPr>
            </w:pP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090368C0" w14:textId="51DC153F"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2020</w:t>
            </w: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210900F1" w14:textId="06D8337B"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2021</w:t>
            </w: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tcPr>
          <w:p w14:paraId="7AD85ABE" w14:textId="7B49B3D1"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2022</w:t>
            </w:r>
          </w:p>
        </w:tc>
      </w:tr>
      <w:tr w:rsidR="6F691FB8" w:rsidRPr="008902F2" w14:paraId="6DCDCF92" w14:textId="77777777" w:rsidTr="6F691FB8">
        <w:trPr>
          <w:trHeight w:val="300"/>
        </w:trPr>
        <w:tc>
          <w:tcPr>
            <w:tcW w:w="2781"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3F91B3D" w14:textId="463E0318" w:rsidR="6F691FB8" w:rsidRPr="008902F2" w:rsidRDefault="6F691FB8" w:rsidP="6F691FB8">
            <w:pPr>
              <w:rPr>
                <w:rFonts w:ascii="Times New Roman" w:hAnsi="Times New Roman"/>
                <w:color w:val="000000" w:themeColor="text1"/>
              </w:rPr>
            </w:pPr>
            <w:r w:rsidRPr="008902F2">
              <w:rPr>
                <w:rFonts w:ascii="Times New Roman" w:hAnsi="Times New Roman"/>
                <w:color w:val="000000" w:themeColor="text1"/>
              </w:rPr>
              <w:t>Income Requirement (TL)1</w:t>
            </w: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8A7F084" w14:textId="052BCBE6"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14.895.493.164</w:t>
            </w: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E2B007E" w14:textId="2E319705"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15.629.628.382</w:t>
            </w:r>
          </w:p>
        </w:tc>
        <w:tc>
          <w:tcPr>
            <w:tcW w:w="237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61F8C7B4" w14:textId="1F610092" w:rsidR="6F691FB8" w:rsidRPr="008902F2" w:rsidRDefault="6F691FB8" w:rsidP="6F691FB8">
            <w:pPr>
              <w:jc w:val="center"/>
              <w:rPr>
                <w:rFonts w:ascii="Times New Roman" w:hAnsi="Times New Roman"/>
                <w:color w:val="000000" w:themeColor="text1"/>
              </w:rPr>
            </w:pPr>
            <w:r w:rsidRPr="008902F2">
              <w:rPr>
                <w:rFonts w:ascii="Times New Roman" w:hAnsi="Times New Roman"/>
                <w:color w:val="000000" w:themeColor="text1"/>
              </w:rPr>
              <w:t>16.113.389.132</w:t>
            </w:r>
          </w:p>
        </w:tc>
      </w:tr>
    </w:tbl>
    <w:p w14:paraId="0D6AE082" w14:textId="76036BA0" w:rsidR="002C3099" w:rsidRPr="008902F2" w:rsidRDefault="6BA9880E" w:rsidP="6F691FB8">
      <w:pPr>
        <w:rPr>
          <w:rFonts w:ascii="Times New Roman" w:hAnsi="Times New Roman"/>
          <w:color w:val="000000" w:themeColor="text1"/>
          <w:sz w:val="14"/>
          <w:szCs w:val="14"/>
        </w:rPr>
      </w:pPr>
      <w:r w:rsidRPr="008902F2">
        <w:rPr>
          <w:rFonts w:ascii="Times New Roman" w:hAnsi="Times New Roman"/>
          <w:color w:val="000000" w:themeColor="text1"/>
          <w:sz w:val="18"/>
          <w:szCs w:val="18"/>
          <w:vertAlign w:val="superscript"/>
        </w:rPr>
        <w:t>1These amounts are at D-PPI = 1780.05 prices.</w:t>
      </w:r>
    </w:p>
    <w:p w14:paraId="22158F13" w14:textId="33154E39" w:rsidR="002C3099" w:rsidRPr="008902F2" w:rsidRDefault="6F691FB8" w:rsidP="6F691FB8">
      <w:pPr>
        <w:pStyle w:val="Balk3"/>
        <w:spacing w:before="0" w:after="240" w:line="240" w:lineRule="auto"/>
        <w:rPr>
          <w:rFonts w:ascii="Times New Roman" w:eastAsia="Calibri" w:hAnsi="Times New Roman" w:cs="Times New Roman"/>
          <w:color w:val="000000" w:themeColor="text1"/>
        </w:rPr>
      </w:pPr>
      <w:bookmarkStart w:id="154" w:name="_Toc143113437"/>
      <w:r w:rsidRPr="008902F2">
        <w:rPr>
          <w:rFonts w:ascii="Times New Roman" w:eastAsia="Calibri" w:hAnsi="Times New Roman" w:cs="Times New Roman"/>
          <w:color w:val="000000" w:themeColor="text1"/>
        </w:rPr>
        <w:t>4.</w:t>
      </w:r>
      <w:r w:rsidR="46F0FE63" w:rsidRPr="008902F2">
        <w:rPr>
          <w:rFonts w:ascii="Times New Roman" w:eastAsia="Calibri" w:hAnsi="Times New Roman" w:cs="Times New Roman"/>
          <w:color w:val="000000" w:themeColor="text1"/>
        </w:rPr>
        <w:t>3.</w:t>
      </w:r>
      <w:r w:rsidR="54D55F25" w:rsidRPr="008902F2">
        <w:rPr>
          <w:rFonts w:ascii="Times New Roman" w:eastAsia="Calibri" w:hAnsi="Times New Roman" w:cs="Times New Roman"/>
          <w:color w:val="000000" w:themeColor="text1"/>
        </w:rPr>
        <w:t>2.</w:t>
      </w:r>
      <w:r w:rsidR="46F0FE63" w:rsidRPr="008902F2">
        <w:rPr>
          <w:rFonts w:ascii="Times New Roman" w:eastAsia="Calibri" w:hAnsi="Times New Roman" w:cs="Times New Roman"/>
          <w:color w:val="000000" w:themeColor="text1"/>
        </w:rPr>
        <w:t xml:space="preserve"> </w:t>
      </w:r>
      <w:r w:rsidR="6BA9880E" w:rsidRPr="008902F2">
        <w:rPr>
          <w:rFonts w:ascii="Times New Roman" w:eastAsia="Calibri" w:hAnsi="Times New Roman" w:cs="Times New Roman"/>
          <w:color w:val="000000" w:themeColor="text1"/>
        </w:rPr>
        <w:t>Market Operation Tariff</w:t>
      </w:r>
      <w:bookmarkEnd w:id="154"/>
    </w:p>
    <w:p w14:paraId="28556BE4" w14:textId="06508D56"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13.12.2022, with the Regulatory Decision dated 08.12.2022 and published in the Official Gazette numbered 32042, decisions have been made regarding the determination of fees as stated in the "Method Statement for the Fees to be Applied for Meeting the Operating Revenue Ceiling of the Organized Wholesale Natural Gas Market" (</w:t>
      </w:r>
      <w:r w:rsidR="00024118" w:rsidRPr="008902F2">
        <w:rPr>
          <w:rFonts w:ascii="Times New Roman" w:hAnsi="Times New Roman"/>
          <w:color w:val="000000" w:themeColor="text1"/>
        </w:rPr>
        <w:t>Decision</w:t>
      </w:r>
      <w:r w:rsidRPr="008902F2">
        <w:rPr>
          <w:rFonts w:ascii="Times New Roman" w:hAnsi="Times New Roman"/>
          <w:color w:val="000000" w:themeColor="text1"/>
        </w:rPr>
        <w:t xml:space="preserve"> 11437), and also regarding the determination of fees as stated in the "Method Statement for the Fees and Commissions to be Applied for Meeting the Operating Revenue Ceiling of the Futures Natural Gas Market" (</w:t>
      </w:r>
      <w:r w:rsidR="00024118" w:rsidRPr="008902F2">
        <w:rPr>
          <w:rFonts w:ascii="Times New Roman" w:hAnsi="Times New Roman"/>
          <w:color w:val="000000" w:themeColor="text1"/>
        </w:rPr>
        <w:t>Decision</w:t>
      </w:r>
      <w:r w:rsidRPr="008902F2">
        <w:rPr>
          <w:rFonts w:ascii="Times New Roman" w:hAnsi="Times New Roman"/>
          <w:color w:val="000000" w:themeColor="text1"/>
        </w:rPr>
        <w:t xml:space="preserve"> 11438).</w:t>
      </w:r>
    </w:p>
    <w:p w14:paraId="250C1C3D" w14:textId="07EB185F" w:rsidR="002C3099" w:rsidRPr="008902F2" w:rsidRDefault="6BA9880E" w:rsidP="6F691FB8">
      <w:pPr>
        <w:keepNext/>
        <w:keepLines/>
        <w:spacing w:before="200" w:after="0"/>
        <w:jc w:val="center"/>
        <w:rPr>
          <w:rFonts w:ascii="Times New Roman" w:eastAsia="Cambria" w:hAnsi="Times New Roman"/>
        </w:rPr>
      </w:pPr>
      <w:r w:rsidRPr="008902F2">
        <w:rPr>
          <w:rStyle w:val="Gl"/>
          <w:rFonts w:ascii="Times New Roman" w:eastAsia="Cambria" w:hAnsi="Times New Roman"/>
        </w:rPr>
        <w:t>Tabl</w:t>
      </w:r>
      <w:r w:rsidR="00D239FA" w:rsidRPr="008902F2">
        <w:rPr>
          <w:rStyle w:val="Gl"/>
          <w:rFonts w:ascii="Times New Roman" w:eastAsia="Cambria" w:hAnsi="Times New Roman"/>
        </w:rPr>
        <w:t>e</w:t>
      </w:r>
      <w:r w:rsidRPr="008902F2">
        <w:rPr>
          <w:rStyle w:val="Gl"/>
          <w:rFonts w:ascii="Times New Roman" w:eastAsia="Cambria" w:hAnsi="Times New Roman"/>
        </w:rPr>
        <w:t xml:space="preserve"> 4.22: EPİAŞ 2023 Market Operation Revenue Ceiling (TL)</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115"/>
        <w:gridCol w:w="1770"/>
      </w:tblGrid>
      <w:tr w:rsidR="6F691FB8" w:rsidRPr="008902F2" w14:paraId="63E81E95" w14:textId="77777777" w:rsidTr="6F691FB8">
        <w:trPr>
          <w:trHeight w:val="315"/>
        </w:trPr>
        <w:tc>
          <w:tcPr>
            <w:tcW w:w="8115"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Mar>
              <w:left w:w="60" w:type="dxa"/>
              <w:right w:w="60" w:type="dxa"/>
            </w:tcMar>
            <w:vAlign w:val="center"/>
          </w:tcPr>
          <w:p w14:paraId="7D5BC0AF" w14:textId="614B2399" w:rsidR="6F691FB8" w:rsidRPr="008902F2" w:rsidRDefault="6F691FB8" w:rsidP="6F691FB8">
            <w:pPr>
              <w:spacing w:after="0" w:line="240" w:lineRule="auto"/>
              <w:rPr>
                <w:rFonts w:ascii="Times New Roman" w:hAnsi="Times New Roman"/>
              </w:rPr>
            </w:pPr>
            <w:r w:rsidRPr="008902F2">
              <w:rPr>
                <w:rFonts w:ascii="Times New Roman" w:hAnsi="Times New Roman"/>
              </w:rPr>
              <w:t>2023 Market Operation Income Cap - Natural Gas Market Share (TL - CPI=1353.61)</w:t>
            </w:r>
          </w:p>
        </w:tc>
        <w:tc>
          <w:tcPr>
            <w:tcW w:w="1770"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Mar>
              <w:left w:w="60" w:type="dxa"/>
              <w:right w:w="60" w:type="dxa"/>
            </w:tcMar>
            <w:vAlign w:val="center"/>
          </w:tcPr>
          <w:p w14:paraId="000BF6DF" w14:textId="0908C893"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26.651.671</w:t>
            </w:r>
          </w:p>
        </w:tc>
      </w:tr>
    </w:tbl>
    <w:p w14:paraId="1DEDB24A" w14:textId="40983A06" w:rsidR="002C3099" w:rsidRPr="008902F2" w:rsidRDefault="002C3099" w:rsidP="6F691FB8">
      <w:pPr>
        <w:rPr>
          <w:rFonts w:ascii="Times New Roman" w:hAnsi="Times New Roman"/>
          <w:sz w:val="18"/>
          <w:szCs w:val="18"/>
        </w:rPr>
      </w:pPr>
    </w:p>
    <w:p w14:paraId="0266E814" w14:textId="22F62DBD" w:rsidR="002C3099" w:rsidRPr="008902F2" w:rsidRDefault="6F691FB8" w:rsidP="6F691FB8">
      <w:pPr>
        <w:pStyle w:val="Balk3"/>
        <w:spacing w:after="240"/>
        <w:rPr>
          <w:rFonts w:ascii="Times New Roman" w:eastAsia="Calibri" w:hAnsi="Times New Roman" w:cs="Times New Roman"/>
        </w:rPr>
      </w:pPr>
      <w:bookmarkStart w:id="155" w:name="_Toc143113438"/>
      <w:r w:rsidRPr="008902F2">
        <w:rPr>
          <w:rFonts w:ascii="Times New Roman" w:eastAsia="Calibri" w:hAnsi="Times New Roman" w:cs="Times New Roman"/>
        </w:rPr>
        <w:lastRenderedPageBreak/>
        <w:t>4.</w:t>
      </w:r>
      <w:r w:rsidR="236C6F66" w:rsidRPr="008902F2">
        <w:rPr>
          <w:rFonts w:ascii="Times New Roman" w:eastAsia="Calibri" w:hAnsi="Times New Roman" w:cs="Times New Roman"/>
        </w:rPr>
        <w:t xml:space="preserve">3.3. </w:t>
      </w:r>
      <w:r w:rsidR="6BA9880E" w:rsidRPr="008902F2">
        <w:rPr>
          <w:rFonts w:ascii="Times New Roman" w:eastAsia="Calibri" w:hAnsi="Times New Roman" w:cs="Times New Roman"/>
        </w:rPr>
        <w:t>Connection Tariffs</w:t>
      </w:r>
      <w:bookmarkEnd w:id="155"/>
    </w:p>
    <w:p w14:paraId="58A11935" w14:textId="6C6E013B"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On 24.12.2022, a decision has been made regarding the determination of fees as stated in the "Principles and Procedures Regarding Connection and Service Fees in the Natural Gas Distribution Sector" (</w:t>
      </w:r>
      <w:r w:rsidR="00024118" w:rsidRPr="008902F2">
        <w:rPr>
          <w:rFonts w:ascii="Times New Roman" w:hAnsi="Times New Roman"/>
          <w:color w:val="000000" w:themeColor="text1"/>
        </w:rPr>
        <w:t>Decision</w:t>
      </w:r>
      <w:r w:rsidRPr="008902F2">
        <w:rPr>
          <w:rFonts w:ascii="Times New Roman" w:hAnsi="Times New Roman"/>
          <w:color w:val="000000" w:themeColor="text1"/>
        </w:rPr>
        <w:t xml:space="preserve"> 11485) which was published in the Official Gazette numbered 32053 on 22.12.2022. The updated fees for the year 2023 are listed in Table 4.23.</w:t>
      </w:r>
    </w:p>
    <w:p w14:paraId="4CE648CE" w14:textId="2233D88F" w:rsidR="002C3099" w:rsidRPr="008902F2" w:rsidRDefault="6BA9880E"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4.23: Connection Tariffs Determined for Distribution Companies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525"/>
        <w:gridCol w:w="855"/>
        <w:gridCol w:w="855"/>
      </w:tblGrid>
      <w:tr w:rsidR="6F691FB8" w:rsidRPr="008902F2" w14:paraId="76240509"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057D5BE0" w14:textId="457BB40F" w:rsidR="6F691FB8" w:rsidRPr="008902F2" w:rsidRDefault="6F691FB8" w:rsidP="6F691FB8">
            <w:pPr>
              <w:jc w:val="left"/>
              <w:rPr>
                <w:rFonts w:ascii="Times New Roman" w:hAnsi="Times New Roman"/>
                <w:color w:val="FFFFFF" w:themeColor="background1"/>
              </w:rPr>
            </w:pPr>
            <w:r w:rsidRPr="008902F2">
              <w:rPr>
                <w:rFonts w:ascii="Times New Roman" w:hAnsi="Times New Roman"/>
                <w:b/>
                <w:bCs/>
                <w:color w:val="FFFFFF" w:themeColor="background1"/>
              </w:rPr>
              <w:t>CONNECTION FEES</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0601D3C8" w14:textId="7A3ACEC7"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 xml:space="preserve">2022 </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6CAE9E64" w14:textId="1C04084F"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2023</w:t>
            </w:r>
          </w:p>
        </w:tc>
      </w:tr>
      <w:tr w:rsidR="6F691FB8" w:rsidRPr="008902F2" w14:paraId="6A5BD8FC"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02FDDED5" w14:textId="3090FA0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Subscriber Connection Fee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717A25F" w14:textId="2AC0BB5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1158</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8D10A9B" w14:textId="118E7BB6"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2135</w:t>
            </w:r>
          </w:p>
        </w:tc>
      </w:tr>
      <w:tr w:rsidR="6F691FB8" w:rsidRPr="008902F2" w14:paraId="5BDF148F"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296830A2" w14:textId="4CF5E01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Additional Subscriber Connection Fee (TL/100 m2)</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929D22A" w14:textId="3CE51D6D"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1007</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E0603BD" w14:textId="66158F8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1857</w:t>
            </w:r>
          </w:p>
        </w:tc>
      </w:tr>
      <w:tr w:rsidR="6F691FB8" w:rsidRPr="008902F2" w14:paraId="563849CF"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7C62095" w14:textId="1A9936D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Connection Control and Approval Fee (For the first 100 meters)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50BD952" w14:textId="0D6DD897"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790</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F82FA75" w14:textId="62BEFFEC"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1457</w:t>
            </w:r>
          </w:p>
        </w:tc>
      </w:tr>
      <w:tr w:rsidR="6F691FB8" w:rsidRPr="008902F2" w14:paraId="1A89412F"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053E9DBC" w14:textId="2FC21098"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Connection Control and Approval Fee (For each additional 1 meter)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1E62164" w14:textId="3D9A86C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4,9</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CD9B6FC" w14:textId="4531CC57"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9</w:t>
            </w:r>
          </w:p>
        </w:tc>
      </w:tr>
      <w:tr w:rsidR="6F691FB8" w:rsidRPr="008902F2" w14:paraId="0059EE9A"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D9497BE" w14:textId="2A5C93B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Insurance Fee Combi (TL/Piece)</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6B954E7" w14:textId="0F3E9A7E"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733</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F4EF474" w14:textId="24BE9140"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1352</w:t>
            </w:r>
          </w:p>
        </w:tc>
      </w:tr>
      <w:tr w:rsidR="6F691FB8" w:rsidRPr="008902F2" w14:paraId="22FFB271"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2815CAA3" w14:textId="437A135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Security Fee Stove (TL/Housing)</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E8ACD9D" w14:textId="1F2989C9"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650</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C57DF18" w14:textId="0C9F1BE5"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1199</w:t>
            </w:r>
          </w:p>
        </w:tc>
      </w:tr>
      <w:tr w:rsidR="6F691FB8" w:rsidRPr="008902F2" w14:paraId="5AD0E7F1"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79E566A" w14:textId="15CB87E5"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Assurance Fee Central System (TL/BBS)</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963996F" w14:textId="200DD55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650</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2A77BFA" w14:textId="75F4D164"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1199</w:t>
            </w:r>
          </w:p>
        </w:tc>
      </w:tr>
      <w:tr w:rsidR="6F691FB8" w:rsidRPr="008902F2" w14:paraId="077E4FFF"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72FD467" w14:textId="65B4267C"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lang w:val="en"/>
              </w:rPr>
              <w:t>Guarantee Fee January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80B2426" w14:textId="1D69A77D"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42</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CB3CD16" w14:textId="77168029"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77</w:t>
            </w:r>
          </w:p>
        </w:tc>
      </w:tr>
      <w:tr w:rsidR="6F691FB8" w:rsidRPr="008902F2" w14:paraId="4AA4B52E"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31F3242" w14:textId="2CECBC2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Guarantee Fee Geyser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A07C810" w14:textId="5F3E00EF"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83</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5E85D7C" w14:textId="15D1B042"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153</w:t>
            </w:r>
          </w:p>
        </w:tc>
      </w:tr>
      <w:tr w:rsidR="6F691FB8" w:rsidRPr="008902F2" w14:paraId="224A14DF"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D287E9D" w14:textId="022BA7D0"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Prepaid Meter Change Fee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030915A" w14:textId="6F1C037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371</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9943A38" w14:textId="62A20D45"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684</w:t>
            </w:r>
          </w:p>
        </w:tc>
      </w:tr>
      <w:tr w:rsidR="6F691FB8" w:rsidRPr="008902F2" w14:paraId="3C974FA9"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B3AF647" w14:textId="7A404BA8"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Counter Opening and Closing Fee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95AAFCC" w14:textId="2D64F91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36</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4D9E68B" w14:textId="3DC49BA9"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66</w:t>
            </w:r>
          </w:p>
        </w:tc>
      </w:tr>
      <w:tr w:rsidR="6F691FB8" w:rsidRPr="008902F2" w14:paraId="4FE46AA2" w14:textId="77777777" w:rsidTr="6F691FB8">
        <w:trPr>
          <w:trHeight w:val="15"/>
        </w:trPr>
        <w:tc>
          <w:tcPr>
            <w:tcW w:w="652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9D35644" w14:textId="1A316DE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Service Box Dismantling Fee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8E53074" w14:textId="204A3782"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315</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3D2F601" w14:textId="775216AD"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581</w:t>
            </w:r>
          </w:p>
        </w:tc>
      </w:tr>
    </w:tbl>
    <w:p w14:paraId="1AB61051" w14:textId="4F5A5A7E" w:rsidR="002C3099" w:rsidRPr="008902F2" w:rsidRDefault="002C3099" w:rsidP="6F691FB8">
      <w:pPr>
        <w:rPr>
          <w:rFonts w:ascii="Times New Roman" w:hAnsi="Times New Roman"/>
          <w:color w:val="000000" w:themeColor="text1"/>
        </w:rPr>
      </w:pPr>
    </w:p>
    <w:p w14:paraId="60BF8161" w14:textId="033F612E" w:rsidR="002C3099" w:rsidRPr="008902F2" w:rsidRDefault="6F691FB8" w:rsidP="6F691FB8">
      <w:pPr>
        <w:pStyle w:val="Balk3"/>
        <w:spacing w:after="240"/>
        <w:rPr>
          <w:rFonts w:ascii="Times New Roman" w:eastAsia="Calibri" w:hAnsi="Times New Roman" w:cs="Times New Roman"/>
          <w:color w:val="000000" w:themeColor="text1"/>
        </w:rPr>
      </w:pPr>
      <w:bookmarkStart w:id="156" w:name="_Toc143113439"/>
      <w:r w:rsidRPr="008902F2">
        <w:rPr>
          <w:rFonts w:ascii="Times New Roman" w:eastAsia="Calibri" w:hAnsi="Times New Roman" w:cs="Times New Roman"/>
          <w:color w:val="000000" w:themeColor="text1"/>
        </w:rPr>
        <w:t>4.</w:t>
      </w:r>
      <w:r w:rsidR="39B90070" w:rsidRPr="008902F2">
        <w:rPr>
          <w:rFonts w:ascii="Times New Roman" w:eastAsia="Calibri" w:hAnsi="Times New Roman" w:cs="Times New Roman"/>
          <w:color w:val="000000" w:themeColor="text1"/>
        </w:rPr>
        <w:t xml:space="preserve">3.4. </w:t>
      </w:r>
      <w:r w:rsidR="6BA9880E" w:rsidRPr="008902F2">
        <w:rPr>
          <w:rFonts w:ascii="Times New Roman" w:eastAsia="Calibri" w:hAnsi="Times New Roman" w:cs="Times New Roman"/>
          <w:color w:val="000000" w:themeColor="text1"/>
        </w:rPr>
        <w:t>Fees for Internal Installation Project Approval, Controlling, Testing and Commissioning Procedures</w:t>
      </w:r>
      <w:bookmarkEnd w:id="156"/>
    </w:p>
    <w:p w14:paraId="2B97DD79" w14:textId="317FC2C1"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On 24.12.2022, the decision (</w:t>
      </w:r>
      <w:r w:rsidR="00024118" w:rsidRPr="008902F2">
        <w:rPr>
          <w:rFonts w:ascii="Times New Roman" w:hAnsi="Times New Roman"/>
          <w:color w:val="000000" w:themeColor="text1"/>
        </w:rPr>
        <w:t>Decision</w:t>
      </w:r>
      <w:r w:rsidRPr="008902F2">
        <w:rPr>
          <w:rFonts w:ascii="Times New Roman" w:hAnsi="Times New Roman"/>
          <w:color w:val="000000" w:themeColor="text1"/>
        </w:rPr>
        <w:t xml:space="preserve"> 11485) regarding the upper limits of fees for natural gas distribution companies' internal installation project approval, inspection, testing, and commissioning processes has been published in the Official Gazette numbered 32053. The updated fees for the year 2023 are presented in Table 4.24.</w:t>
      </w:r>
    </w:p>
    <w:p w14:paraId="0D5F43EE" w14:textId="77777777" w:rsidR="00F52D5E" w:rsidRPr="008902F2" w:rsidRDefault="00F52D5E" w:rsidP="6F691FB8">
      <w:pPr>
        <w:spacing w:after="0"/>
        <w:rPr>
          <w:rFonts w:ascii="Times New Roman" w:hAnsi="Times New Roman"/>
          <w:color w:val="000000" w:themeColor="text1"/>
        </w:rPr>
      </w:pPr>
    </w:p>
    <w:p w14:paraId="57354EA1" w14:textId="55DF9F5B" w:rsidR="002C3099" w:rsidRPr="008902F2" w:rsidRDefault="6BA9880E" w:rsidP="6F691FB8">
      <w:pPr>
        <w:keepNext/>
        <w:keepLines/>
        <w:spacing w:after="240" w:line="269" w:lineRule="auto"/>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4.24: Internal Installation Project Approval, Control, Test and Commissioning Upper Costs Determined by the Institution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85"/>
        <w:gridCol w:w="1950"/>
        <w:gridCol w:w="2085"/>
      </w:tblGrid>
      <w:tr w:rsidR="6F691FB8" w:rsidRPr="008902F2" w14:paraId="40FA64B9"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2ABABBA0" w14:textId="45B2D4DF" w:rsidR="6F691FB8" w:rsidRPr="008902F2" w:rsidRDefault="6F691FB8" w:rsidP="6F691FB8">
            <w:pPr>
              <w:jc w:val="left"/>
              <w:rPr>
                <w:rFonts w:ascii="Times New Roman" w:hAnsi="Times New Roman"/>
                <w:color w:val="FFFFFF" w:themeColor="background1"/>
              </w:rPr>
            </w:pPr>
            <w:r w:rsidRPr="008902F2">
              <w:rPr>
                <w:rFonts w:ascii="Times New Roman" w:hAnsi="Times New Roman"/>
                <w:b/>
                <w:bCs/>
                <w:color w:val="FFFFFF" w:themeColor="background1"/>
              </w:rPr>
              <w:t>INTERIOR INSTALLATION PROCESS FEES</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5CA3D39A" w14:textId="744AF02B"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2022</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548DD4" w:themeFill="text2" w:themeFillTint="99"/>
            <w:tcMar>
              <w:left w:w="60" w:type="dxa"/>
              <w:right w:w="60" w:type="dxa"/>
            </w:tcMar>
            <w:vAlign w:val="center"/>
          </w:tcPr>
          <w:p w14:paraId="2FAB599D" w14:textId="25AD300E" w:rsidR="6F691FB8" w:rsidRPr="008902F2" w:rsidRDefault="6F691FB8" w:rsidP="6F691FB8">
            <w:pPr>
              <w:jc w:val="center"/>
              <w:rPr>
                <w:rFonts w:ascii="Times New Roman" w:hAnsi="Times New Roman"/>
                <w:color w:val="FFFFFF" w:themeColor="background1"/>
              </w:rPr>
            </w:pPr>
            <w:r w:rsidRPr="008902F2">
              <w:rPr>
                <w:rFonts w:ascii="Times New Roman" w:hAnsi="Times New Roman"/>
                <w:b/>
                <w:bCs/>
                <w:color w:val="FFFFFF" w:themeColor="background1"/>
              </w:rPr>
              <w:t>2023</w:t>
            </w:r>
          </w:p>
        </w:tc>
      </w:tr>
      <w:tr w:rsidR="6F691FB8" w:rsidRPr="008902F2" w14:paraId="276DA5FF"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22917228" w14:textId="4315940D"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COUNTER TYPE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8197F56" w14:textId="675FADEA"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 </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195FDCF" w14:textId="1B92DF6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w:t>
            </w:r>
          </w:p>
        </w:tc>
      </w:tr>
      <w:tr w:rsidR="6F691FB8" w:rsidRPr="008902F2" w14:paraId="6A5D891B"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C99D06D" w14:textId="19DF758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G4, G6 (TL/</w:t>
            </w:r>
            <w:r w:rsidRPr="008902F2">
              <w:rPr>
                <w:rFonts w:ascii="Times New Roman" w:hAnsi="Times New Roman"/>
              </w:rPr>
              <w:t xml:space="preserve"> </w:t>
            </w:r>
            <w:r w:rsidRPr="008902F2">
              <w:rPr>
                <w:rFonts w:ascii="Times New Roman" w:hAnsi="Times New Roman"/>
                <w:color w:val="000000" w:themeColor="text1"/>
              </w:rPr>
              <w:t>Piece)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B74E8AE" w14:textId="27773F17"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63</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0C8DF5C" w14:textId="09E67244"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116</w:t>
            </w:r>
          </w:p>
        </w:tc>
      </w:tr>
      <w:tr w:rsidR="6F691FB8" w:rsidRPr="008902F2" w14:paraId="1F08F3A5"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DA113CE" w14:textId="5521D7F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G10, G16, G25 (TL/</w:t>
            </w:r>
            <w:r w:rsidRPr="008902F2">
              <w:rPr>
                <w:rFonts w:ascii="Times New Roman" w:hAnsi="Times New Roman"/>
              </w:rPr>
              <w:t xml:space="preserve"> </w:t>
            </w:r>
            <w:r w:rsidRPr="008902F2">
              <w:rPr>
                <w:rFonts w:ascii="Times New Roman" w:hAnsi="Times New Roman"/>
                <w:color w:val="000000" w:themeColor="text1"/>
              </w:rPr>
              <w:t>Piece)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3FCF4C2" w14:textId="09355652"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118</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1102C9D" w14:textId="6EE43F8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218</w:t>
            </w:r>
          </w:p>
        </w:tc>
      </w:tr>
      <w:tr w:rsidR="6F691FB8" w:rsidRPr="008902F2" w14:paraId="3864389A"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DFFAF91" w14:textId="192AD2F6"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G40, G65, G100 (TL/</w:t>
            </w:r>
            <w:r w:rsidRPr="008902F2">
              <w:rPr>
                <w:rFonts w:ascii="Times New Roman" w:hAnsi="Times New Roman"/>
              </w:rPr>
              <w:t xml:space="preserve"> </w:t>
            </w:r>
            <w:r w:rsidRPr="008902F2">
              <w:rPr>
                <w:rFonts w:ascii="Times New Roman" w:hAnsi="Times New Roman"/>
                <w:color w:val="000000" w:themeColor="text1"/>
              </w:rPr>
              <w:t>Piece)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003C48E" w14:textId="201F7FE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235</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C30EDFB" w14:textId="7054A7D0"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433</w:t>
            </w:r>
          </w:p>
        </w:tc>
      </w:tr>
      <w:tr w:rsidR="6F691FB8" w:rsidRPr="008902F2" w14:paraId="04B99F48"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99E16C9" w14:textId="195DBFF0"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G160, G250, G400 (TL/</w:t>
            </w:r>
            <w:r w:rsidRPr="008902F2">
              <w:rPr>
                <w:rFonts w:ascii="Times New Roman" w:hAnsi="Times New Roman"/>
              </w:rPr>
              <w:t xml:space="preserve"> </w:t>
            </w:r>
            <w:r w:rsidRPr="008902F2">
              <w:rPr>
                <w:rFonts w:ascii="Times New Roman" w:hAnsi="Times New Roman"/>
                <w:color w:val="000000" w:themeColor="text1"/>
              </w:rPr>
              <w:t>Piece)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D71F812" w14:textId="5175956D"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358</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A52F393" w14:textId="68CB6E18"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660</w:t>
            </w:r>
          </w:p>
        </w:tc>
      </w:tr>
      <w:tr w:rsidR="6F691FB8" w:rsidRPr="008902F2" w14:paraId="7276F99D"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C7AC9FB" w14:textId="43063F6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Greater than G400 (TL/</w:t>
            </w:r>
            <w:r w:rsidRPr="008902F2">
              <w:rPr>
                <w:rFonts w:ascii="Times New Roman" w:hAnsi="Times New Roman"/>
              </w:rPr>
              <w:t xml:space="preserve"> </w:t>
            </w:r>
            <w:r w:rsidRPr="008902F2">
              <w:rPr>
                <w:rFonts w:ascii="Times New Roman" w:hAnsi="Times New Roman"/>
                <w:color w:val="000000" w:themeColor="text1"/>
              </w:rPr>
              <w:t>Piece)</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A3E0007" w14:textId="7E61CCC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482</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32709A8" w14:textId="3F4CD9C9"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889</w:t>
            </w:r>
          </w:p>
        </w:tc>
      </w:tr>
      <w:tr w:rsidR="6F691FB8" w:rsidRPr="008902F2" w14:paraId="7141ED0F"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25DE4C0" w14:textId="03C37C07"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Column Line (TL/Projec</w:t>
            </w:r>
            <w:r w:rsidRPr="008902F2">
              <w:rPr>
                <w:rFonts w:ascii="Times New Roman" w:hAnsi="Times New Roman"/>
              </w:rPr>
              <w:t>t</w:t>
            </w:r>
            <w:r w:rsidRPr="008902F2">
              <w:rPr>
                <w:rFonts w:ascii="Times New Roman" w:hAnsi="Times New Roman"/>
                <w:color w:val="000000" w:themeColor="text1"/>
              </w:rPr>
              <w:t>)</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EB0F71F" w14:textId="0C4CED06"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63</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230AC4B" w14:textId="2141640E"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116</w:t>
            </w:r>
          </w:p>
        </w:tc>
      </w:tr>
      <w:tr w:rsidR="6F691FB8" w:rsidRPr="008902F2" w14:paraId="2BF37D52" w14:textId="77777777" w:rsidTr="6F691FB8">
        <w:trPr>
          <w:trHeight w:val="315"/>
        </w:trPr>
        <w:tc>
          <w:tcPr>
            <w:tcW w:w="41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90B22B4" w14:textId="1F7A829C"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Pre-project (TL/Projec</w:t>
            </w:r>
            <w:r w:rsidRPr="008902F2">
              <w:rPr>
                <w:rFonts w:ascii="Times New Roman" w:hAnsi="Times New Roman"/>
              </w:rPr>
              <w:t>t</w:t>
            </w:r>
            <w:r w:rsidRPr="008902F2">
              <w:rPr>
                <w:rFonts w:ascii="Times New Roman" w:hAnsi="Times New Roman"/>
                <w:color w:val="000000" w:themeColor="text1"/>
              </w:rPr>
              <w:t>)</w:t>
            </w:r>
          </w:p>
        </w:tc>
        <w:tc>
          <w:tcPr>
            <w:tcW w:w="195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4BEF575" w14:textId="489F9911"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w:t>
            </w:r>
          </w:p>
        </w:tc>
        <w:tc>
          <w:tcPr>
            <w:tcW w:w="208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B47E16F" w14:textId="417220E8"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39</w:t>
            </w:r>
          </w:p>
        </w:tc>
      </w:tr>
    </w:tbl>
    <w:p w14:paraId="0BDE00CC" w14:textId="097D32B7" w:rsidR="002C3099" w:rsidRPr="008902F2" w:rsidRDefault="002C3099" w:rsidP="6F691FB8">
      <w:pPr>
        <w:rPr>
          <w:rFonts w:ascii="Times New Roman" w:hAnsi="Times New Roman"/>
          <w:color w:val="000000" w:themeColor="text1"/>
        </w:rPr>
      </w:pPr>
    </w:p>
    <w:p w14:paraId="3BAA4DF2" w14:textId="5681E653" w:rsidR="002C3099" w:rsidRPr="008902F2" w:rsidRDefault="6F691FB8" w:rsidP="6F691FB8">
      <w:pPr>
        <w:pStyle w:val="Balk3"/>
        <w:spacing w:after="240"/>
        <w:rPr>
          <w:rFonts w:ascii="Times New Roman" w:eastAsia="Calibri" w:hAnsi="Times New Roman" w:cs="Times New Roman"/>
          <w:color w:val="000000" w:themeColor="text1"/>
        </w:rPr>
      </w:pPr>
      <w:bookmarkStart w:id="157" w:name="_Toc143113440"/>
      <w:r w:rsidRPr="008902F2">
        <w:rPr>
          <w:rFonts w:ascii="Times New Roman" w:eastAsia="Calibri" w:hAnsi="Times New Roman" w:cs="Times New Roman"/>
          <w:color w:val="000000" w:themeColor="text1"/>
        </w:rPr>
        <w:lastRenderedPageBreak/>
        <w:t>4.</w:t>
      </w:r>
      <w:r w:rsidR="6614F39F" w:rsidRPr="008902F2">
        <w:rPr>
          <w:rFonts w:ascii="Times New Roman" w:eastAsia="Calibri" w:hAnsi="Times New Roman" w:cs="Times New Roman"/>
          <w:color w:val="000000" w:themeColor="text1"/>
        </w:rPr>
        <w:t xml:space="preserve">3.5. </w:t>
      </w:r>
      <w:r w:rsidR="6BA9880E" w:rsidRPr="008902F2">
        <w:rPr>
          <w:rFonts w:ascii="Times New Roman" w:eastAsia="Calibri" w:hAnsi="Times New Roman" w:cs="Times New Roman"/>
          <w:color w:val="000000" w:themeColor="text1"/>
        </w:rPr>
        <w:t>Wholesale Tariffs</w:t>
      </w:r>
      <w:bookmarkEnd w:id="157"/>
    </w:p>
    <w:p w14:paraId="4F8D5A02" w14:textId="4299D850"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With the Board Decision dated 22.12.2011 and numbered 3577, it was decided to determine the natural gas wholesale prices freely between the parties, to be implemented as of 01.01.2012 until a new regulation is made on this subject, and this practice still continues.</w:t>
      </w:r>
    </w:p>
    <w:p w14:paraId="027D6779" w14:textId="21D013C4" w:rsidR="002C3099" w:rsidRPr="008902F2" w:rsidRDefault="6F691FB8" w:rsidP="6F691FB8">
      <w:pPr>
        <w:pStyle w:val="Balk3"/>
        <w:spacing w:after="240"/>
        <w:rPr>
          <w:rFonts w:ascii="Times New Roman" w:eastAsia="Calibri" w:hAnsi="Times New Roman" w:cs="Times New Roman"/>
          <w:color w:val="000000" w:themeColor="text1"/>
        </w:rPr>
      </w:pPr>
      <w:bookmarkStart w:id="158" w:name="_Toc143113441"/>
      <w:r w:rsidRPr="008902F2">
        <w:rPr>
          <w:rFonts w:ascii="Times New Roman" w:eastAsia="Calibri" w:hAnsi="Times New Roman" w:cs="Times New Roman"/>
          <w:color w:val="000000" w:themeColor="text1"/>
        </w:rPr>
        <w:t>4.</w:t>
      </w:r>
      <w:r w:rsidR="58018DCA" w:rsidRPr="008902F2">
        <w:rPr>
          <w:rFonts w:ascii="Times New Roman" w:eastAsia="Calibri" w:hAnsi="Times New Roman" w:cs="Times New Roman"/>
          <w:color w:val="000000" w:themeColor="text1"/>
        </w:rPr>
        <w:t xml:space="preserve">3.6. </w:t>
      </w:r>
      <w:r w:rsidR="6BA9880E" w:rsidRPr="008902F2">
        <w:rPr>
          <w:rFonts w:ascii="Times New Roman" w:eastAsia="Calibri" w:hAnsi="Times New Roman" w:cs="Times New Roman"/>
          <w:color w:val="000000" w:themeColor="text1"/>
        </w:rPr>
        <w:t>Retail Tariffs</w:t>
      </w:r>
      <w:bookmarkEnd w:id="158"/>
    </w:p>
    <w:p w14:paraId="69D90475" w14:textId="0F70D1A3" w:rsidR="002C3099" w:rsidRPr="008902F2" w:rsidRDefault="6BA9880E" w:rsidP="6F691FB8">
      <w:pPr>
        <w:spacing w:line="240" w:lineRule="auto"/>
        <w:rPr>
          <w:rFonts w:ascii="Times New Roman" w:hAnsi="Times New Roman"/>
          <w:color w:val="000000" w:themeColor="text1"/>
        </w:rPr>
      </w:pPr>
      <w:r w:rsidRPr="008902F2">
        <w:rPr>
          <w:rFonts w:ascii="Times New Roman" w:hAnsi="Times New Roman"/>
          <w:color w:val="000000" w:themeColor="text1"/>
        </w:rPr>
        <w:t>The following decisions have been taken regarding retail sales tariffs for the 2022-2026 tariff implementation period in accordance with the Natural Gas Distribution Companies Tariff Calculation Methodology (Metodoloji) accepted by the decision (Karar 7139) published in the Official Gazette numbered 30111 on 22.06.2017 and effective from 01.07.2017, and amended by the decision (Karar 11641) dated 09.02.2023, which modifies the decision (Karar 5120-1) dated 10/07/2014:</w:t>
      </w:r>
    </w:p>
    <w:p w14:paraId="7D9E542A" w14:textId="561136BD" w:rsidR="002C3099" w:rsidRPr="008902F2" w:rsidRDefault="002C3099" w:rsidP="6F691FB8">
      <w:pPr>
        <w:spacing w:line="240" w:lineRule="auto"/>
        <w:rPr>
          <w:rFonts w:ascii="Times New Roman" w:hAnsi="Times New Roman"/>
          <w:color w:val="000000" w:themeColor="text1"/>
        </w:rPr>
      </w:pPr>
    </w:p>
    <w:p w14:paraId="637E5C20" w14:textId="0A6EF23C" w:rsidR="002C3099" w:rsidRPr="008902F2" w:rsidRDefault="6BA9880E" w:rsidP="6F691FB8">
      <w:pPr>
        <w:keepNext/>
        <w:keepLines/>
        <w:spacing w:after="0" w:line="269" w:lineRule="auto"/>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4.25: Natural Gas Distribution Companies for which Board Decisions have been taken on Retail Sales Tariffs in 2022</w:t>
      </w:r>
    </w:p>
    <w:p w14:paraId="157754BB" w14:textId="229D9350" w:rsidR="002C3099" w:rsidRPr="008902F2" w:rsidRDefault="002C3099" w:rsidP="6F691FB8">
      <w:pPr>
        <w:spacing w:line="240" w:lineRule="auto"/>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97"/>
        <w:gridCol w:w="1120"/>
        <w:gridCol w:w="972"/>
        <w:gridCol w:w="2726"/>
      </w:tblGrid>
      <w:tr w:rsidR="6F691FB8" w:rsidRPr="008902F2" w14:paraId="67889CFC" w14:textId="77777777" w:rsidTr="6F691FB8">
        <w:trPr>
          <w:trHeight w:val="780"/>
        </w:trPr>
        <w:tc>
          <w:tcPr>
            <w:tcW w:w="5097"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5CFCA79A" w14:textId="5FB9939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Natural Gas Distribution Company Title</w:t>
            </w:r>
          </w:p>
        </w:tc>
        <w:tc>
          <w:tcPr>
            <w:tcW w:w="1120"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78D788E4" w14:textId="0CBAB01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Board Decision Date</w:t>
            </w:r>
          </w:p>
        </w:tc>
        <w:tc>
          <w:tcPr>
            <w:tcW w:w="972"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1334749D" w14:textId="570ED2B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Board Decisions</w:t>
            </w:r>
          </w:p>
        </w:tc>
        <w:tc>
          <w:tcPr>
            <w:tcW w:w="2726"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2E735145" w14:textId="3E9DBCA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Scope</w:t>
            </w:r>
          </w:p>
        </w:tc>
      </w:tr>
      <w:tr w:rsidR="6F691FB8" w:rsidRPr="008902F2" w14:paraId="06CFD62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49BB0FD7" w14:textId="630B76A7" w:rsidR="6F691FB8" w:rsidRPr="008902F2" w:rsidRDefault="6F691FB8" w:rsidP="6F691FB8">
            <w:pPr>
              <w:spacing w:after="0" w:line="240" w:lineRule="auto"/>
              <w:jc w:val="left"/>
              <w:rPr>
                <w:rFonts w:ascii="Times New Roman" w:hAnsi="Times New Roman"/>
              </w:rPr>
            </w:pPr>
            <w:r w:rsidRPr="008902F2">
              <w:rPr>
                <w:rFonts w:ascii="Times New Roman" w:hAnsi="Times New Roman"/>
              </w:rPr>
              <w:t>Doğugaz Bitlis Bingöl Muş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7CEBC9" w14:textId="3F63FE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28.07.2022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C1C14B" w14:textId="4751884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11090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C1A209" w14:textId="70D17879"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75AA6C42"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442BF4EA" w14:textId="76C42640" w:rsidR="6F691FB8" w:rsidRPr="008902F2" w:rsidRDefault="6F691FB8" w:rsidP="6F691FB8">
            <w:pPr>
              <w:spacing w:after="0" w:line="240" w:lineRule="auto"/>
              <w:jc w:val="left"/>
              <w:rPr>
                <w:rFonts w:ascii="Times New Roman" w:hAnsi="Times New Roman"/>
              </w:rPr>
            </w:pPr>
            <w:r w:rsidRPr="008902F2">
              <w:rPr>
                <w:rFonts w:ascii="Times New Roman" w:hAnsi="Times New Roman"/>
              </w:rPr>
              <w:t>Serhat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4D3799" w14:textId="70C44D0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CDAD30" w14:textId="7E1648D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11108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27689C" w14:textId="32DB4FE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36D1C48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119663D2" w14:textId="60926FFA" w:rsidR="6F691FB8" w:rsidRPr="008902F2" w:rsidRDefault="6F691FB8" w:rsidP="6F691FB8">
            <w:pPr>
              <w:spacing w:after="0" w:line="240" w:lineRule="auto"/>
              <w:jc w:val="left"/>
              <w:rPr>
                <w:rFonts w:ascii="Times New Roman" w:hAnsi="Times New Roman"/>
              </w:rPr>
            </w:pPr>
            <w:r w:rsidRPr="008902F2">
              <w:rPr>
                <w:rFonts w:ascii="Times New Roman" w:hAnsi="Times New Roman"/>
              </w:rPr>
              <w:t>Kırgaz Kırıkkale-Kırşehir Doğalgaz Dağıtım Paz. Ve Ticaret A.Ş.</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5CF81D" w14:textId="79D47F4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13DF9B" w14:textId="36E8CB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11150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11B3F6" w14:textId="5C301006"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1D077DBD"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713F4D73" w14:textId="220AED23" w:rsidR="6F691FB8" w:rsidRPr="008902F2" w:rsidRDefault="6F691FB8" w:rsidP="6F691FB8">
            <w:pPr>
              <w:spacing w:after="0" w:line="240" w:lineRule="auto"/>
              <w:jc w:val="left"/>
              <w:rPr>
                <w:rFonts w:ascii="Times New Roman" w:hAnsi="Times New Roman"/>
              </w:rPr>
            </w:pPr>
            <w:r w:rsidRPr="008902F2">
              <w:rPr>
                <w:rFonts w:ascii="Times New Roman" w:hAnsi="Times New Roman"/>
              </w:rPr>
              <w:t>Enerya Aksaray Gaz Dağıtım A.Ş.</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32BCF3" w14:textId="0F967D7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892286" w14:textId="416353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11142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86328D" w14:textId="64232430"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335A8631"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70EB4CCC" w14:textId="1BE29E70" w:rsidR="6F691FB8" w:rsidRPr="008902F2" w:rsidRDefault="6F691FB8" w:rsidP="6F691FB8">
            <w:pPr>
              <w:spacing w:after="0" w:line="240" w:lineRule="auto"/>
              <w:jc w:val="left"/>
              <w:rPr>
                <w:rFonts w:ascii="Times New Roman" w:hAnsi="Times New Roman"/>
              </w:rPr>
            </w:pPr>
            <w:r w:rsidRPr="008902F2">
              <w:rPr>
                <w:rFonts w:ascii="Times New Roman" w:hAnsi="Times New Roman"/>
              </w:rPr>
              <w:t>Aksa Mustafakemalpaşa Susurluk Karacabey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BA99E0" w14:textId="2B2BD7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F6E631" w14:textId="5AD5BBF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11141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8E80BC" w14:textId="61ABC84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751CC9B6"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75A6C8A2" w14:textId="55137EC0" w:rsidR="6F691FB8" w:rsidRPr="008902F2" w:rsidRDefault="6F691FB8" w:rsidP="6F691FB8">
            <w:pPr>
              <w:spacing w:after="0" w:line="240" w:lineRule="auto"/>
              <w:jc w:val="left"/>
              <w:rPr>
                <w:rFonts w:ascii="Times New Roman" w:hAnsi="Times New Roman"/>
              </w:rPr>
            </w:pPr>
            <w:r w:rsidRPr="008902F2">
              <w:rPr>
                <w:rFonts w:ascii="Times New Roman" w:hAnsi="Times New Roman"/>
              </w:rPr>
              <w:t>Aksa Malatya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F1F3FE" w14:textId="6203725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906286" w14:textId="3CB165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11140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A8C816" w14:textId="5D0CDDDA"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Determination of Retail Sales Tariffs for 2022-2026 Tariff Implementation Period</w:t>
            </w:r>
          </w:p>
        </w:tc>
      </w:tr>
      <w:tr w:rsidR="6F691FB8" w:rsidRPr="008902F2" w14:paraId="455B1406"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47885BE3" w14:textId="5E77FD65" w:rsidR="6F691FB8" w:rsidRPr="008902F2" w:rsidRDefault="6F691FB8" w:rsidP="6F691FB8">
            <w:pPr>
              <w:spacing w:after="0" w:line="240" w:lineRule="auto"/>
              <w:jc w:val="left"/>
              <w:rPr>
                <w:rFonts w:ascii="Times New Roman" w:hAnsi="Times New Roman"/>
              </w:rPr>
            </w:pPr>
            <w:r w:rsidRPr="008902F2">
              <w:rPr>
                <w:rFonts w:ascii="Times New Roman" w:hAnsi="Times New Roman"/>
              </w:rPr>
              <w:t>Aksa Balıkesir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9A994B" w14:textId="1D536D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6DC36F" w14:textId="5669B0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11139</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51AC0CBC" w14:textId="25BE2A2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3FC9A28"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1DE72661" w14:textId="59DE1C3D" w:rsidR="6F691FB8" w:rsidRPr="008902F2" w:rsidRDefault="6F691FB8" w:rsidP="6F691FB8">
            <w:pPr>
              <w:spacing w:after="0" w:line="240" w:lineRule="auto"/>
              <w:jc w:val="left"/>
              <w:rPr>
                <w:rFonts w:ascii="Times New Roman" w:hAnsi="Times New Roman"/>
              </w:rPr>
            </w:pPr>
            <w:r w:rsidRPr="008902F2">
              <w:rPr>
                <w:rFonts w:ascii="Times New Roman" w:hAnsi="Times New Roman"/>
              </w:rPr>
              <w:t>Samgaz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F647B7" w14:textId="1D9F963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1D036E" w14:textId="1EC3A57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11138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519D22DC" w14:textId="3D37381B"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90957BF"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63EF7A44" w14:textId="2F03D999" w:rsidR="6F691FB8" w:rsidRPr="008902F2" w:rsidRDefault="6F691FB8" w:rsidP="6F691FB8">
            <w:pPr>
              <w:spacing w:after="0" w:line="240" w:lineRule="auto"/>
              <w:jc w:val="left"/>
              <w:rPr>
                <w:rFonts w:ascii="Times New Roman" w:hAnsi="Times New Roman"/>
              </w:rPr>
            </w:pPr>
            <w:r w:rsidRPr="008902F2">
              <w:rPr>
                <w:rFonts w:ascii="Times New Roman" w:hAnsi="Times New Roman"/>
              </w:rPr>
              <w:t>Selçuk Doğalgaz Dağıtım A.Ş.</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6B472F" w14:textId="4DCF435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25.08.2022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6E0E8B" w14:textId="7415EB8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11137</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F61CB04" w14:textId="59EDE78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648845A"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2CA49C42" w14:textId="42CE7197" w:rsidR="6F691FB8" w:rsidRPr="008902F2" w:rsidRDefault="6F691FB8" w:rsidP="6F691FB8">
            <w:pPr>
              <w:spacing w:after="0" w:line="240" w:lineRule="auto"/>
              <w:jc w:val="left"/>
              <w:rPr>
                <w:rFonts w:ascii="Times New Roman" w:hAnsi="Times New Roman"/>
              </w:rPr>
            </w:pPr>
            <w:r w:rsidRPr="008902F2">
              <w:rPr>
                <w:rFonts w:ascii="Times New Roman" w:hAnsi="Times New Roman"/>
              </w:rPr>
              <w:t>Aksa Afyon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1E52B5" w14:textId="1E2FF28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92FF69" w14:textId="2C1BAB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11168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CFE2D5D" w14:textId="05CCCE6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CF33867"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7296184F" w14:textId="783E9C2F" w:rsidR="6F691FB8" w:rsidRPr="008902F2" w:rsidRDefault="6F691FB8" w:rsidP="6F691FB8">
            <w:pPr>
              <w:spacing w:after="0" w:line="240" w:lineRule="auto"/>
              <w:jc w:val="left"/>
              <w:rPr>
                <w:rFonts w:ascii="Times New Roman" w:hAnsi="Times New Roman"/>
              </w:rPr>
            </w:pPr>
            <w:r w:rsidRPr="008902F2">
              <w:rPr>
                <w:rFonts w:ascii="Times New Roman" w:hAnsi="Times New Roman"/>
              </w:rPr>
              <w:lastRenderedPageBreak/>
              <w:t>Gazdaş Gaziantep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83ADD9" w14:textId="6EA46F7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973DE1" w14:textId="1E7965B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11169</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6944992D" w14:textId="5EB06B3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9B3EDC6"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30705F32" w14:textId="591AA9C3" w:rsidR="6F691FB8" w:rsidRPr="008902F2" w:rsidRDefault="6F691FB8" w:rsidP="6F691FB8">
            <w:pPr>
              <w:spacing w:after="0" w:line="240" w:lineRule="auto"/>
              <w:jc w:val="left"/>
              <w:rPr>
                <w:rFonts w:ascii="Times New Roman" w:hAnsi="Times New Roman"/>
              </w:rPr>
            </w:pPr>
            <w:r w:rsidRPr="008902F2">
              <w:rPr>
                <w:rFonts w:ascii="Times New Roman" w:hAnsi="Times New Roman"/>
              </w:rPr>
              <w:t>Aksa Bandırma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85997F" w14:textId="220F1E8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64CA19" w14:textId="09CAC3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11170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0D9E221" w14:textId="6DBA35C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B389CFD"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06011A24" w14:textId="50A9B1EB" w:rsidR="6F691FB8" w:rsidRPr="008902F2" w:rsidRDefault="6F691FB8" w:rsidP="6F691FB8">
            <w:pPr>
              <w:spacing w:after="0" w:line="240" w:lineRule="auto"/>
              <w:jc w:val="left"/>
              <w:rPr>
                <w:rFonts w:ascii="Times New Roman" w:hAnsi="Times New Roman"/>
              </w:rPr>
            </w:pPr>
            <w:r w:rsidRPr="008902F2">
              <w:rPr>
                <w:rFonts w:ascii="Times New Roman" w:hAnsi="Times New Roman"/>
              </w:rPr>
              <w:t>Polgaz Polatlı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5A7B96" w14:textId="1E186DF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568E28" w14:textId="78FF32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11171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95E25C9" w14:textId="208772EF"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1F5A9C7"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0152C1CA" w14:textId="6E04F9B4" w:rsidR="6F691FB8" w:rsidRPr="008902F2" w:rsidRDefault="6F691FB8" w:rsidP="6F691FB8">
            <w:pPr>
              <w:spacing w:after="0" w:line="240" w:lineRule="auto"/>
              <w:jc w:val="left"/>
              <w:rPr>
                <w:rFonts w:ascii="Times New Roman" w:hAnsi="Times New Roman"/>
              </w:rPr>
            </w:pPr>
            <w:r w:rsidRPr="008902F2">
              <w:rPr>
                <w:rFonts w:ascii="Times New Roman" w:hAnsi="Times New Roman"/>
              </w:rPr>
              <w:t>Çordaş Çorlu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F59AC6" w14:textId="4CF17F4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F53B78" w14:textId="0265D0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11198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C75FFF8" w14:textId="162371D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BAEEA03"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tcPr>
          <w:p w14:paraId="0BAF41F4" w14:textId="4456E481" w:rsidR="6F691FB8" w:rsidRPr="008902F2" w:rsidRDefault="6F691FB8" w:rsidP="6F691FB8">
            <w:pPr>
              <w:spacing w:after="0" w:line="240" w:lineRule="auto"/>
              <w:jc w:val="left"/>
              <w:rPr>
                <w:rFonts w:ascii="Times New Roman" w:hAnsi="Times New Roman"/>
              </w:rPr>
            </w:pPr>
            <w:r w:rsidRPr="008902F2">
              <w:rPr>
                <w:rFonts w:ascii="Times New Roman" w:hAnsi="Times New Roman"/>
              </w:rPr>
              <w:t>İnegöl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C8076A" w14:textId="325E71E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D18902" w14:textId="72A11C3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11197</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10C4FC2" w14:textId="05549CE5"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2315291" w14:textId="77777777" w:rsidTr="6F691FB8">
        <w:trPr>
          <w:trHeight w:val="55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F85563" w14:textId="4224E990"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Torosgaz Isparta Burdur Doğalgaz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CFFA5C" w14:textId="2CA032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D8E6CD" w14:textId="00C3142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11196</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E1B3397" w14:textId="5E04DCB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FC7C96C"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E7EC42" w14:textId="5BAA8CE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Trakya Bölgesi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36BCA1" w14:textId="4B02F97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1A0009" w14:textId="5915FC1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11194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022E3BD" w14:textId="383A41F3"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08A995B"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024F18" w14:textId="5A514BA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Armadaş Arsan Maraş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1BCB8A" w14:textId="365FE1D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8D8FF1" w14:textId="312867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11224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97D68A3" w14:textId="0BBC8424"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B5298E8"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634532" w14:textId="19CA6A0E"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Konya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91CA05" w14:textId="0414B9A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EE9E1B" w14:textId="3EFF76F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11223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F4F4531" w14:textId="3723A2D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51AA07E"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DC9EA7" w14:textId="3A6C68E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Düzce Ereğli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F27F3A" w14:textId="0DA1B38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BDDE75" w14:textId="538DAF8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11222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A626F58" w14:textId="6548EE29"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46240DD1"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4EA2FF" w14:textId="7A4714A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Van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E80F5F" w14:textId="7A374AD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B3BB80" w14:textId="4C78BB4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11221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91152A1" w14:textId="56AE78DC"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49E81B36"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ADB965" w14:textId="5DDF0B03"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İzmir Doğalgaz Dağıtım Ticaret ve Taahhüt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5C9FF2" w14:textId="4CBBE09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BDF464" w14:textId="3CE1B19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11219</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CA6C5D7" w14:textId="6E2F15E7"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DEFEB44"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E257AB" w14:textId="021B293D"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Esgaz Eskişehir Şehiriçi Doğal Gaz Dağıtım Ticaret ve Taahhüt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F7AD02" w14:textId="648087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DC8958" w14:textId="0B4FB5E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F28EE4B" w14:textId="2710354F"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347A40E"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ADCBEE" w14:textId="3CC1EA4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Karaman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759A84" w14:textId="67BF68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59A8A2" w14:textId="0F377DF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11217</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04605D1" w14:textId="25A7C91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853212E"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2DBF02" w14:textId="4BC0E29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Kapadokya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B7460B" w14:textId="6DFF6C9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55A9B7" w14:textId="7A5A22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11215</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AED4BF3" w14:textId="0F658D97"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D97FC0D"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DB2AF4" w14:textId="5CC8ADE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Armagaz Arsan Marmara Doğalgaz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F08FAE" w14:textId="569960B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06DE1C" w14:textId="0DE940E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ECB91C8" w14:textId="5B2DDAFE"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353CEAD" w14:textId="77777777" w:rsidTr="6F691FB8">
        <w:trPr>
          <w:trHeight w:val="540"/>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E7CD38" w14:textId="017C21A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Çanakkale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ADC764" w14:textId="2DB3B7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8CEC0B" w14:textId="42C938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9F055BD" w14:textId="01767C8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6C47A7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67734A" w14:textId="0B136A8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Sivas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75FAE9" w14:textId="053462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63D2A3" w14:textId="60933E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EF93DD2" w14:textId="713D81C4"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8B9115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852143" w14:textId="0C2AE37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lastRenderedPageBreak/>
              <w:t>Aksa Tokat Amasya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2ED5A5" w14:textId="4913DC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C9FC7C" w14:textId="5D3449D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62216E7" w14:textId="0202863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374E97A"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D29E73" w14:textId="581E52A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Elazığ Doğalgaz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CEA5CC" w14:textId="3AF5BE6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DA240E" w14:textId="13E2F5A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11210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56994FDB" w14:textId="5F0AB56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40EB96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611E6C" w14:textId="3D95AC9C"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Aydın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F00739" w14:textId="4301FD1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2BD6C3" w14:textId="38CF06F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11246</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9208712" w14:textId="23F417A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73FA921"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E1560D" w14:textId="2C420CF5"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Antalya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0402A2" w14:textId="379ECA4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121419" w14:textId="6EC1FA2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11245</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78CBB7B" w14:textId="7FD4E50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8B9FA78"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AE893D" w14:textId="19E201D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Siirt Batman Doğalgaz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E04CD3" w14:textId="6BDAAA6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9C3A5D" w14:textId="261E8D2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11264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2C38E51" w14:textId="3EF4FB4B"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2CF6F5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7A0D94" w14:textId="40A1D49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Gümüşhane Bayburt Doğalgaz Dağıtım Anonim Şirket</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CEE28A" w14:textId="7A73C50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B431F1" w14:textId="274CA2C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11263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EC46A72" w14:textId="1A5A8459"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0C0A336"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01F01C" w14:textId="297692B0"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Çukurova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190D56" w14:textId="5BEDE7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C7FE95" w14:textId="3030CA9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11262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57A6F968" w14:textId="371054B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55251EE"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7EF821" w14:textId="3CE9A01D"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Bilecik Bolu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647BE3" w14:textId="6104E8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97C1EB" w14:textId="5624201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11261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89D20BC" w14:textId="6120E54C"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7336876D"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999D90" w14:textId="272BF54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Diyarbakır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0E820F" w14:textId="57F0584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73B19B" w14:textId="47C906D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11260</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52853D1" w14:textId="3D5A6E6E"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81C45FD"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E11E02" w14:textId="75EB7B0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Agdaş Adapazarı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A32C21" w14:textId="7E8D2BE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29.09.2022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F09A7A" w14:textId="6CCF31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11259</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071DAD7" w14:textId="38CB83FD"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B280F2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2C2CAC" w14:textId="043C739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Erzincan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EF61C0" w14:textId="7D18701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B66F93" w14:textId="43C5F7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11296</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E40DA1E" w14:textId="72F75750"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4E933D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85B81A" w14:textId="53C5459C"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Enerya Denizli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F2F964" w14:textId="20A769B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D0D47D" w14:textId="504598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11295</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F92A649" w14:textId="55F179B1"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D9F3645"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6ECBB8" w14:textId="2C53EF9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Şanlıurfa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8BEC68" w14:textId="1A9AFDC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2D90A9" w14:textId="2A5F6F5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11294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199618E" w14:textId="0D6E58C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D3CFCE8"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EF33E9" w14:textId="3E4A4215"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Manisa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64D169" w14:textId="65ABD12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F6DAA2" w14:textId="2A9DD05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11293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8C142AB" w14:textId="1829A701"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4387749"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F4FE89" w14:textId="5339CDA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Kayseri Doğal Gaz Dağıtım Pazarlama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4D223C" w14:textId="6445A9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1ABA2D" w14:textId="35DC875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11313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92BC4BE" w14:textId="3F60026E"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3A2C416"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997295" w14:textId="2C4EC36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Kargaz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977D28" w14:textId="49A6642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1432A4" w14:textId="3986F5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11312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47A5037" w14:textId="1A280F05"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5CACAE5"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174026" w14:textId="1F5C0A5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Çorum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C31EC9" w14:textId="2337DC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D860E9" w14:textId="1AEE9CE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11311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76307542" w14:textId="7338D94E"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70AEEE3"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46084C" w14:textId="050D815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Udaş Uşak Doğalgaz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837CE4" w14:textId="115823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B01C83" w14:textId="7F04BBF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11306</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7CB5C01" w14:textId="28B3E0C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7D85DD1E"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224E52" w14:textId="6B7EBC9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lastRenderedPageBreak/>
              <w:t>Enerya Ereğli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85FBBC" w14:textId="136A517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7F4FC2" w14:textId="450BA11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11305</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04AF734" w14:textId="71127D5D"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F0A676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77AD4C" w14:textId="45D0B32C"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Akmercan Adıyaman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AFBD42" w14:textId="4EF0C39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B044E6" w14:textId="6922304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11303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EFC6EF1" w14:textId="7A5072F4"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F762B1C"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3804A0" w14:textId="126CA9D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Akmercan Batıkar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65CDCB" w14:textId="5676AE1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BB7D55" w14:textId="3E9299D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11304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5BFCD55" w14:textId="4F85B96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861C590"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96900" w14:textId="7068D620"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Akmercan Delta Doğalgaz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3AC735" w14:textId="3334B42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F5589F" w14:textId="50B066B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11354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5908F6B8" w14:textId="19A585AF"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AFF8FDC"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D747AB" w14:textId="152301F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Akmercan Gepa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819967" w14:textId="7B1D9B0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89DDB4" w14:textId="42A0665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11351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34450C4E" w14:textId="5C3A893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3C4A237E"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09BE27" w14:textId="37EE676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Akmercan Muğla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54594E" w14:textId="7E73F1A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4A6E6B" w14:textId="7D664C3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A2FFD81" w14:textId="6AF98A1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E0AB5D1"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4255FD" w14:textId="5F25D2A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Kargaz Kars Ardahan Doğal Gaz Dağıtım Pazarlama Taahhüt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459E52" w14:textId="2544B7F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5D6DBE" w14:textId="0A05262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11347</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4751469" w14:textId="4CC06DF6"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F2FFEB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8202FF" w14:textId="6805A97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İzgaz İzmit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BA8D07" w14:textId="3A80F34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357514" w14:textId="467E046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11346</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8B5921A" w14:textId="72F2FA0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2ABE4197"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611929" w14:textId="2FB061D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Çinigaz Doğal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DBFBBD" w14:textId="0F8B26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86AEC5" w14:textId="310950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11345</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51201A8" w14:textId="75D92BE7"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902C579"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AB3295" w14:textId="38EE9B9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Ordu Giresun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905E0D" w14:textId="0A5DE16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D1B2D1" w14:textId="3F5F165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11344</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4A370B53" w14:textId="063EA59A"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415B9AE6"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F54F86" w14:textId="7018973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Karadeniz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618B2A" w14:textId="48C0541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1BEA11" w14:textId="5DFB06E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11343</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7F3F7D1" w14:textId="63DC33E2"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044887B9"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52159F" w14:textId="27A2DC8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Aksa Gemlik Doğal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0FFF91" w14:textId="2B6B74D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27.10.2022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61F4EF" w14:textId="381AB3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11342</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8B56CFB" w14:textId="13458CC9"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1DDEC9B2"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50B5BD" w14:textId="32B3F65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Başkent Doğalgaz Dağıtım Gayrimenkul Yatırım Ortaklığı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BE899A" w14:textId="19F8F74B"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10.11.2022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2C2574" w14:textId="7807181C"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32011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DF8D839" w14:textId="3881A619"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63CDE8F4"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21D94B" w14:textId="10C20CDB"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Kızılcahamam Doğalgaz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F5E65A" w14:textId="714DAC8E"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12.11.2022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EA5F27" w14:textId="00D39D5F"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32011</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22B9BC9C" w14:textId="1B4239DE"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7BBC2A0B"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8F16E9" w14:textId="44122BF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Bahçeşehir Gaz Dağıtım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804F88" w14:textId="00D086BD"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19.11.2022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FD5D41" w14:textId="5EFB187D"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32018</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02367AFD" w14:textId="2D63D227"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r w:rsidR="6F691FB8" w:rsidRPr="008902F2" w14:paraId="5F34438E" w14:textId="77777777" w:rsidTr="6F691FB8">
        <w:trPr>
          <w:trHeight w:val="525"/>
        </w:trPr>
        <w:tc>
          <w:tcPr>
            <w:tcW w:w="509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B50887" w14:textId="70833BB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İgdaş İstanbul Gaz Dağıtım Sanayi ve Ticaret Anonim Şirketi</w:t>
            </w:r>
          </w:p>
        </w:tc>
        <w:tc>
          <w:tcPr>
            <w:tcW w:w="112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B1A1D0" w14:textId="792D7A1B"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30.12.2022</w:t>
            </w:r>
          </w:p>
        </w:tc>
        <w:tc>
          <w:tcPr>
            <w:tcW w:w="9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39F206" w14:textId="0CAAB195" w:rsidR="6F691FB8" w:rsidRPr="008902F2" w:rsidRDefault="6F691FB8" w:rsidP="6F691FB8">
            <w:pPr>
              <w:spacing w:after="0" w:line="240" w:lineRule="auto"/>
              <w:jc w:val="center"/>
              <w:rPr>
                <w:rFonts w:ascii="Times New Roman" w:eastAsia="Times New Roman" w:hAnsi="Times New Roman"/>
                <w:color w:val="000000" w:themeColor="text1"/>
                <w:sz w:val="20"/>
                <w:szCs w:val="20"/>
              </w:rPr>
            </w:pPr>
            <w:r w:rsidRPr="008902F2">
              <w:rPr>
                <w:rFonts w:ascii="Times New Roman" w:eastAsia="Times New Roman" w:hAnsi="Times New Roman"/>
                <w:color w:val="000000" w:themeColor="text1"/>
                <w:sz w:val="20"/>
                <w:szCs w:val="20"/>
              </w:rPr>
              <w:t>32059</w:t>
            </w:r>
          </w:p>
        </w:tc>
        <w:tc>
          <w:tcPr>
            <w:tcW w:w="2726" w:type="dxa"/>
            <w:tcBorders>
              <w:top w:val="single" w:sz="6" w:space="0" w:color="auto"/>
              <w:left w:val="single" w:sz="6" w:space="0" w:color="auto"/>
              <w:bottom w:val="single" w:sz="6" w:space="0" w:color="auto"/>
              <w:right w:val="single" w:sz="6" w:space="0" w:color="auto"/>
            </w:tcBorders>
            <w:tcMar>
              <w:left w:w="60" w:type="dxa"/>
              <w:right w:w="60" w:type="dxa"/>
            </w:tcMar>
          </w:tcPr>
          <w:p w14:paraId="1E4F40DE" w14:textId="7DFF2B47" w:rsidR="6F691FB8" w:rsidRPr="008902F2" w:rsidRDefault="6F691FB8" w:rsidP="6F691FB8">
            <w:pPr>
              <w:spacing w:after="0" w:line="240" w:lineRule="auto"/>
              <w:rPr>
                <w:rFonts w:ascii="Times New Roman" w:hAnsi="Times New Roman"/>
              </w:rPr>
            </w:pPr>
            <w:r w:rsidRPr="008902F2">
              <w:rPr>
                <w:rFonts w:ascii="Times New Roman" w:hAnsi="Times New Roman"/>
              </w:rPr>
              <w:t>Determination of Retail Sales Tariffs for 2022-2026 Tariff Implementation Period</w:t>
            </w:r>
          </w:p>
        </w:tc>
      </w:tr>
    </w:tbl>
    <w:p w14:paraId="0F103905" w14:textId="119521F6" w:rsidR="002C3099" w:rsidRPr="008902F2" w:rsidRDefault="6F691FB8" w:rsidP="6F691FB8">
      <w:pPr>
        <w:pStyle w:val="Balk3"/>
        <w:spacing w:after="240"/>
        <w:rPr>
          <w:rFonts w:ascii="Times New Roman" w:eastAsia="Calibri" w:hAnsi="Times New Roman" w:cs="Times New Roman"/>
          <w:color w:val="000000" w:themeColor="text1"/>
        </w:rPr>
      </w:pPr>
      <w:bookmarkStart w:id="159" w:name="_Toc143113442"/>
      <w:r w:rsidRPr="008902F2">
        <w:rPr>
          <w:rFonts w:ascii="Times New Roman" w:eastAsia="Calibri" w:hAnsi="Times New Roman" w:cs="Times New Roman"/>
          <w:color w:val="000000" w:themeColor="text1"/>
        </w:rPr>
        <w:t>4.</w:t>
      </w:r>
      <w:r w:rsidR="50E15F89" w:rsidRPr="008902F2">
        <w:rPr>
          <w:rFonts w:ascii="Times New Roman" w:eastAsia="Calibri" w:hAnsi="Times New Roman" w:cs="Times New Roman"/>
          <w:color w:val="000000" w:themeColor="text1"/>
        </w:rPr>
        <w:t xml:space="preserve">3.7. </w:t>
      </w:r>
      <w:r w:rsidR="6BA9880E" w:rsidRPr="008902F2">
        <w:rPr>
          <w:rFonts w:ascii="Times New Roman" w:eastAsia="Calibri" w:hAnsi="Times New Roman" w:cs="Times New Roman"/>
          <w:color w:val="000000" w:themeColor="text1"/>
        </w:rPr>
        <w:t>Other Tariff Board Decisions Regarding the Natural Gas Market</w:t>
      </w:r>
      <w:bookmarkEnd w:id="159"/>
    </w:p>
    <w:p w14:paraId="457C6A3E" w14:textId="74BB67AB"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xml:space="preserve">• With the decision numbered 10785 dated 10.02.2022 and published in the Official Gazette numbered 31748 on 12.02.2022, the investment ceiling amount of the transmission network for the year 2021, stated as "1,151,067,750 TL" in the Article 1 of the decision numbered 10073 published on 13.03.2021 and </w:t>
      </w:r>
      <w:r w:rsidRPr="008902F2">
        <w:rPr>
          <w:rFonts w:ascii="Times New Roman" w:hAnsi="Times New Roman"/>
          <w:color w:val="000000" w:themeColor="text1"/>
        </w:rPr>
        <w:lastRenderedPageBreak/>
        <w:t>entering into effect with the publication in the Official Gazette numbered 31422 on 13.03.2021, has been revised as "1,366,375,300 TL".</w:t>
      </w:r>
    </w:p>
    <w:p w14:paraId="6EA3926B" w14:textId="12D08265" w:rsidR="002C3099" w:rsidRPr="008902F2" w:rsidRDefault="002C3099" w:rsidP="6F691FB8">
      <w:pPr>
        <w:spacing w:after="160" w:line="259" w:lineRule="auto"/>
        <w:ind w:left="720"/>
        <w:rPr>
          <w:rFonts w:ascii="Times New Roman" w:hAnsi="Times New Roman"/>
          <w:color w:val="000000" w:themeColor="text1"/>
        </w:rPr>
      </w:pPr>
    </w:p>
    <w:p w14:paraId="2F4FD50A" w14:textId="0CB11A3A"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numbered 10841 dated 10.03.2022 and published in the Official Gazette numbered 31776 on 12.03.2022, it has been decided in accordance with the 8th subparagraph of the fourth paragraph of Article 4 of the Natural Gas Market Law numbered 4646 and the 22nd article of the Natural Gas Market License Regulation that covers the transit natural gas transmission by Boru Hatları ile Petrol Taşıma A.Ş. (BOTAŞ), to approve the 2022 Natural Gas Transmission Network Investment Program.</w:t>
      </w:r>
    </w:p>
    <w:p w14:paraId="0749F0E5" w14:textId="24B1BC3A" w:rsidR="002C3099" w:rsidRPr="008902F2" w:rsidRDefault="002C3099" w:rsidP="6F691FB8">
      <w:pPr>
        <w:spacing w:after="160" w:line="259" w:lineRule="auto"/>
        <w:ind w:left="720"/>
        <w:rPr>
          <w:rFonts w:ascii="Times New Roman" w:hAnsi="Times New Roman"/>
          <w:color w:val="000000" w:themeColor="text1"/>
        </w:rPr>
      </w:pPr>
    </w:p>
    <w:p w14:paraId="3DB76294" w14:textId="18546FB4" w:rsidR="002C3099" w:rsidRPr="008902F2" w:rsidRDefault="6BA9880E" w:rsidP="6F691FB8">
      <w:pPr>
        <w:spacing w:after="160" w:line="259" w:lineRule="auto"/>
        <w:ind w:left="720"/>
        <w:rPr>
          <w:rFonts w:ascii="Times New Roman" w:hAnsi="Times New Roman"/>
          <w:color w:val="000000" w:themeColor="text1"/>
        </w:rPr>
      </w:pPr>
      <w:r w:rsidRPr="008902F2">
        <w:rPr>
          <w:rFonts w:ascii="Times New Roman" w:hAnsi="Times New Roman"/>
          <w:color w:val="000000" w:themeColor="text1"/>
        </w:rPr>
        <w:t>• With the decision numbered 10881 dated 24.03.2022 and published in the Official Gazette numbered 31790 on 26.03.2022, in accordance with the "Methodology for Tariff Calculation Principles and Procedures for Underground Natural Gas Storage Companies" accepted with the decision numbered 6990 dated 23/03/2017 and published in the Official Gazette numbered 31422 on 13.03.2021, decisions have been taken regarding the storage tariffs for the 2022-2023 tariff application period for Tuz Gölü Natural Gas Underground Storage Facility, which is under the ownership of Boru Hatları ile Petrol Taşıma Anonim Şirketi, with license number DEP/1238-6/155 dated 27.06.2007, and for Silivri Natural Gas Underground Storage Facility, which is under the ownership of Boru Hatları ile Petrol Taşıma Anonim Şirketi, with license number DEP/6457-3/402 dated 01/09/2016.</w:t>
      </w:r>
    </w:p>
    <w:p w14:paraId="343D52E8" w14:textId="78C2FAA7" w:rsidR="002C3099" w:rsidRPr="008902F2" w:rsidRDefault="002C3099" w:rsidP="6F691FB8">
      <w:pPr>
        <w:spacing w:after="160" w:line="259" w:lineRule="auto"/>
        <w:ind w:left="720"/>
        <w:rPr>
          <w:rFonts w:ascii="Times New Roman" w:hAnsi="Times New Roman"/>
          <w:color w:val="000000" w:themeColor="text1"/>
        </w:rPr>
      </w:pPr>
    </w:p>
    <w:p w14:paraId="2CA8C349" w14:textId="73EC096B" w:rsidR="002C3099" w:rsidRPr="008902F2" w:rsidRDefault="6BA9880E" w:rsidP="6F691FB8">
      <w:pPr>
        <w:spacing w:after="160" w:line="259" w:lineRule="auto"/>
        <w:ind w:left="1131"/>
        <w:rPr>
          <w:rFonts w:ascii="Times New Roman" w:hAnsi="Times New Roman"/>
          <w:color w:val="000000" w:themeColor="text1"/>
        </w:rPr>
      </w:pPr>
      <w:r w:rsidRPr="008902F2">
        <w:rPr>
          <w:rFonts w:ascii="Times New Roman" w:hAnsi="Times New Roman"/>
          <w:color w:val="000000" w:themeColor="text1"/>
        </w:rPr>
        <w:t>• With the decision numbered 10990 dated 26.05.2022 and published in the Official Gazette numbered 31848 on 27.05.2022, a decision has been made regarding the cost analysis of investments made in the third tariff application period of natural gas distribution companies, in accordance with the 9th article of the Methodology for Tariff Calculation Principles and Procedures for Natural Gas Distribution Companies, which is determined by the 7139 decision of the Energy Market Regulatory Authority, taking into account the 5/A article (f) and Additional Article 2 of Law No. 4628 on the Organization and Duties of the Energy Market Regulatory Authority, the 11th article of the Natural Gas Market Law numbered 4646, the 28th and 31st articles of the Natural Gas Market License Regulation, and the 8th and 15th articles of the Natural Gas Market Tariffs Regulation.</w:t>
      </w:r>
    </w:p>
    <w:p w14:paraId="44FB8DDC" w14:textId="36FB8124" w:rsidR="002C3099" w:rsidRPr="008902F2" w:rsidRDefault="002C3099" w:rsidP="6F691FB8">
      <w:pPr>
        <w:spacing w:after="160" w:line="259" w:lineRule="auto"/>
        <w:ind w:left="1131"/>
        <w:rPr>
          <w:rFonts w:ascii="Times New Roman" w:hAnsi="Times New Roman"/>
          <w:color w:val="000000" w:themeColor="text1"/>
        </w:rPr>
      </w:pPr>
    </w:p>
    <w:p w14:paraId="699D0D6A" w14:textId="7B2050F4" w:rsidR="002C3099" w:rsidRPr="008902F2" w:rsidRDefault="6BA9880E" w:rsidP="6F691FB8">
      <w:pPr>
        <w:spacing w:after="160" w:line="259" w:lineRule="auto"/>
        <w:ind w:left="1131"/>
        <w:rPr>
          <w:rFonts w:ascii="Times New Roman" w:hAnsi="Times New Roman"/>
          <w:color w:val="000000" w:themeColor="text1"/>
        </w:rPr>
      </w:pPr>
      <w:r w:rsidRPr="008902F2">
        <w:rPr>
          <w:rFonts w:ascii="Times New Roman" w:hAnsi="Times New Roman"/>
          <w:color w:val="000000" w:themeColor="text1"/>
        </w:rPr>
        <w:t>• With the decision numbered 11037 dated 23.06.2022 and published in the Official Gazette numbered 31881 on 29.06.2022, the fifth subparagraph (b) of the 16th article of the Methodology for Tariff Calculation Principles and Procedures for Natural Gas Distribution Companies has been revoked.</w:t>
      </w:r>
    </w:p>
    <w:p w14:paraId="28885600" w14:textId="716D36B9" w:rsidR="002C3099" w:rsidRPr="008902F2" w:rsidRDefault="002C3099" w:rsidP="6F691FB8">
      <w:pPr>
        <w:spacing w:after="160" w:line="259" w:lineRule="auto"/>
        <w:ind w:left="1131"/>
        <w:rPr>
          <w:rFonts w:ascii="Times New Roman" w:hAnsi="Times New Roman"/>
          <w:color w:val="000000" w:themeColor="text1"/>
        </w:rPr>
      </w:pPr>
    </w:p>
    <w:p w14:paraId="2FEC48B6" w14:textId="318C1C5E" w:rsidR="002C3099" w:rsidRPr="008902F2" w:rsidRDefault="6BA9880E" w:rsidP="6F691FB8">
      <w:pPr>
        <w:spacing w:after="160" w:line="259" w:lineRule="auto"/>
        <w:ind w:left="1131"/>
        <w:rPr>
          <w:rFonts w:ascii="Times New Roman" w:hAnsi="Times New Roman"/>
          <w:color w:val="000000" w:themeColor="text1"/>
        </w:rPr>
      </w:pPr>
      <w:r w:rsidRPr="008902F2">
        <w:rPr>
          <w:rFonts w:ascii="Times New Roman" w:hAnsi="Times New Roman"/>
          <w:color w:val="000000" w:themeColor="text1"/>
        </w:rPr>
        <w:t>• With the decision numbered 11038 dated 23.06.2022 and published in the Official Gazette numbered 31881 on 29.06.2022, a decision has been taken to determine the operating expense component in the tariff calculations of the third tariff application period for natural gas distribution companies, in accordance with the Methodology for Tariff Calculation Principles and Procedures (Metodoloji) for Natural Gas Distribution Companies.</w:t>
      </w:r>
    </w:p>
    <w:p w14:paraId="20302A2E" w14:textId="1FAEF694" w:rsidR="002C3099" w:rsidRPr="008902F2" w:rsidRDefault="002C3099" w:rsidP="6F691FB8">
      <w:pPr>
        <w:spacing w:after="160" w:line="259" w:lineRule="auto"/>
        <w:ind w:left="1131"/>
        <w:rPr>
          <w:rFonts w:ascii="Times New Roman" w:hAnsi="Times New Roman"/>
          <w:color w:val="000000" w:themeColor="text1"/>
        </w:rPr>
      </w:pPr>
    </w:p>
    <w:p w14:paraId="698FF501" w14:textId="268F8737" w:rsidR="002C3099" w:rsidRPr="008902F2" w:rsidRDefault="6BA9880E" w:rsidP="6F691FB8">
      <w:pPr>
        <w:spacing w:after="160" w:line="259" w:lineRule="auto"/>
        <w:ind w:left="1131"/>
        <w:rPr>
          <w:rFonts w:ascii="Times New Roman" w:hAnsi="Times New Roman"/>
          <w:color w:val="000000" w:themeColor="text1"/>
        </w:rPr>
      </w:pPr>
      <w:r w:rsidRPr="008902F2">
        <w:rPr>
          <w:rFonts w:ascii="Times New Roman" w:hAnsi="Times New Roman"/>
          <w:color w:val="000000" w:themeColor="text1"/>
        </w:rPr>
        <w:t xml:space="preserve">• With the decision numbered 11048 dated 30.06.2022 and published in the Official Gazette numbered 31883 on 01.07.2022, it has been decided to take into account a real reasonable return rate of 13.25% (pre-tax) and a corrected real reasonable return rate of 12.427% (pre-tax) for the years </w:t>
      </w:r>
      <w:r w:rsidRPr="008902F2">
        <w:rPr>
          <w:rFonts w:ascii="Times New Roman" w:hAnsi="Times New Roman"/>
          <w:color w:val="000000" w:themeColor="text1"/>
        </w:rPr>
        <w:lastRenderedPageBreak/>
        <w:t>2022-2026 in the calculation of system usage fees that natural gas distribution companies will apply during the third tariff application period.</w:t>
      </w:r>
    </w:p>
    <w:p w14:paraId="32090C80" w14:textId="1ECB0B5F" w:rsidR="002C3099" w:rsidRPr="008902F2" w:rsidRDefault="002C3099" w:rsidP="6F691FB8">
      <w:pPr>
        <w:spacing w:after="160" w:line="259" w:lineRule="auto"/>
        <w:ind w:left="1131"/>
        <w:rPr>
          <w:rFonts w:ascii="Times New Roman" w:hAnsi="Times New Roman"/>
          <w:color w:val="000000" w:themeColor="text1"/>
        </w:rPr>
      </w:pPr>
    </w:p>
    <w:p w14:paraId="69AE89CF" w14:textId="3DDF7993" w:rsidR="002C3099" w:rsidRPr="008902F2" w:rsidRDefault="6BA9880E" w:rsidP="6F691FB8">
      <w:pPr>
        <w:spacing w:after="160" w:line="259" w:lineRule="auto"/>
        <w:ind w:left="1131"/>
        <w:rPr>
          <w:rFonts w:ascii="Times New Roman" w:hAnsi="Times New Roman"/>
          <w:color w:val="000000" w:themeColor="text1"/>
        </w:rPr>
      </w:pPr>
      <w:r w:rsidRPr="008902F2">
        <w:rPr>
          <w:rFonts w:ascii="Times New Roman" w:hAnsi="Times New Roman"/>
          <w:color w:val="000000" w:themeColor="text1"/>
        </w:rPr>
        <w:t>• With the decision numbered 11317 dated 20.10.2022 and published in the Official Gazette numbered 31991 on 22.10.2022, in relation to the decision numbered 11038 dated 23.06.20228 inci maddesinin ikinci fıkrası aşağıdaki şekilde değiştirilmiştir.</w:t>
      </w:r>
    </w:p>
    <w:p w14:paraId="719F4DD4" w14:textId="1EB4BE9C" w:rsidR="002C3099" w:rsidRPr="008902F2" w:rsidRDefault="002C3099" w:rsidP="6F691FB8">
      <w:pPr>
        <w:ind w:left="720"/>
        <w:rPr>
          <w:rFonts w:ascii="Times New Roman" w:hAnsi="Times New Roman"/>
          <w:color w:val="000000" w:themeColor="text1"/>
        </w:rPr>
      </w:pPr>
    </w:p>
    <w:p w14:paraId="0E3FC658" w14:textId="020222FE" w:rsidR="002C3099" w:rsidRPr="008902F2" w:rsidRDefault="6BA9880E" w:rsidP="6F691FB8">
      <w:pPr>
        <w:tabs>
          <w:tab w:val="left" w:pos="708"/>
        </w:tabs>
        <w:spacing w:after="160" w:line="259" w:lineRule="auto"/>
        <w:ind w:left="770"/>
        <w:rPr>
          <w:rFonts w:ascii="Times New Roman" w:hAnsi="Times New Roman"/>
          <w:color w:val="000000" w:themeColor="text1"/>
        </w:rPr>
      </w:pPr>
      <w:r w:rsidRPr="008902F2">
        <w:rPr>
          <w:rFonts w:ascii="Times New Roman" w:hAnsi="Times New Roman"/>
          <w:i/>
          <w:iCs/>
          <w:color w:val="000000" w:themeColor="text1"/>
        </w:rPr>
        <w:t>"(2) Stamp Duty, periodic inspection and meter calibration expenses, heating gas expenses, and odorization expenses, if the forecast values of the variables considered in their determination and the actual values during the third tariff application period differ, any deviations arising from such differences shall be corrected in the next tariff application period."</w:t>
      </w:r>
    </w:p>
    <w:p w14:paraId="37816B6B" w14:textId="21BC7143" w:rsidR="002C3099" w:rsidRPr="008902F2" w:rsidRDefault="002C3099" w:rsidP="6F691FB8">
      <w:pPr>
        <w:tabs>
          <w:tab w:val="left" w:pos="708"/>
        </w:tabs>
        <w:spacing w:after="160" w:line="259" w:lineRule="auto"/>
        <w:ind w:left="770"/>
        <w:rPr>
          <w:rFonts w:ascii="Times New Roman" w:hAnsi="Times New Roman"/>
          <w:color w:val="000000" w:themeColor="text1"/>
        </w:rPr>
      </w:pPr>
    </w:p>
    <w:p w14:paraId="78FC6DC2" w14:textId="2F31339B" w:rsidR="002C3099" w:rsidRPr="008902F2" w:rsidRDefault="002C3099" w:rsidP="6F691FB8">
      <w:pPr>
        <w:tabs>
          <w:tab w:val="left" w:pos="708"/>
        </w:tabs>
        <w:spacing w:after="160" w:line="259" w:lineRule="auto"/>
        <w:ind w:left="770"/>
        <w:rPr>
          <w:rFonts w:ascii="Times New Roman" w:hAnsi="Times New Roman"/>
          <w:color w:val="000000" w:themeColor="text1"/>
        </w:rPr>
      </w:pPr>
    </w:p>
    <w:p w14:paraId="56E935C5" w14:textId="0003232E" w:rsidR="002C3099" w:rsidRPr="008902F2" w:rsidRDefault="6BA9880E" w:rsidP="6F691FB8">
      <w:pPr>
        <w:tabs>
          <w:tab w:val="left" w:pos="708"/>
        </w:tabs>
        <w:spacing w:after="160" w:line="259" w:lineRule="auto"/>
        <w:ind w:left="770"/>
        <w:rPr>
          <w:rFonts w:ascii="Times New Roman" w:hAnsi="Times New Roman"/>
          <w:color w:val="000000" w:themeColor="text1"/>
        </w:rPr>
      </w:pPr>
      <w:r w:rsidRPr="008902F2">
        <w:rPr>
          <w:rFonts w:ascii="Times New Roman" w:hAnsi="Times New Roman"/>
          <w:color w:val="000000" w:themeColor="text1"/>
        </w:rPr>
        <w:t>• On December 24, 2022, with the publication of the Official Gazette numbered 32053 and the Board Decision numbered 11485 dated December 22, 2022, a decision was made regarding the determination of the fees included in the "Principles and Procedures for Connection and Service Fees in the Natural Gas Distribution Sector" for the year 2023.</w:t>
      </w:r>
    </w:p>
    <w:p w14:paraId="59B90D81" w14:textId="4E03FA36" w:rsidR="002C3099" w:rsidRPr="008902F2" w:rsidRDefault="002C3099" w:rsidP="6F691FB8">
      <w:pPr>
        <w:tabs>
          <w:tab w:val="left" w:pos="708"/>
        </w:tabs>
        <w:spacing w:after="160" w:line="259" w:lineRule="auto"/>
        <w:ind w:left="770"/>
        <w:rPr>
          <w:rFonts w:ascii="Times New Roman" w:hAnsi="Times New Roman"/>
          <w:color w:val="000000" w:themeColor="text1"/>
        </w:rPr>
      </w:pPr>
    </w:p>
    <w:p w14:paraId="23B47F2C" w14:textId="4B3D3A94" w:rsidR="002C3099" w:rsidRPr="008902F2" w:rsidRDefault="6BA9880E" w:rsidP="6F691FB8">
      <w:pPr>
        <w:tabs>
          <w:tab w:val="left" w:pos="708"/>
        </w:tabs>
        <w:spacing w:after="160" w:line="259" w:lineRule="auto"/>
        <w:ind w:left="770"/>
        <w:rPr>
          <w:rFonts w:ascii="Times New Roman" w:hAnsi="Times New Roman"/>
          <w:color w:val="000000" w:themeColor="text1"/>
        </w:rPr>
      </w:pPr>
      <w:r w:rsidRPr="008902F2">
        <w:rPr>
          <w:rFonts w:ascii="Times New Roman" w:hAnsi="Times New Roman"/>
          <w:color w:val="000000" w:themeColor="text1"/>
        </w:rPr>
        <w:t>• On December 30, 2022, with the publication of the Official Gazette numbered 32059 and the Board Decision numbered 11521 dated December 29, 2022, in accordance with the "Principles and Procedures for Determining the Revenue Ceilings for Natural Gas Transmission License Holding Companies' Tariffs," approved by the Board Decision numbered 4638-1 dated October 3, 2013, and within the framework of the transmission and dispatch control tariffs for the fourth tariff application period of Boru Hatları İle Petrol Taşıma Anonim Şirketi (BOTAŞ), which holds the transmission license numbered DİL/148-17/021 dated May 23, 2003, a decision was made regarding the determination of the annual revenue requirements for transmission and dispatch control tariffs.</w:t>
      </w:r>
    </w:p>
    <w:p w14:paraId="11DE9FD0" w14:textId="78C5ABBD" w:rsidR="002C3099" w:rsidRPr="008902F2" w:rsidRDefault="002C3099" w:rsidP="6F691FB8">
      <w:pPr>
        <w:tabs>
          <w:tab w:val="left" w:pos="708"/>
        </w:tabs>
        <w:spacing w:after="160" w:line="259" w:lineRule="auto"/>
        <w:ind w:left="770"/>
        <w:rPr>
          <w:rFonts w:ascii="Times New Roman" w:hAnsi="Times New Roman"/>
          <w:color w:val="000000" w:themeColor="text1"/>
        </w:rPr>
      </w:pPr>
    </w:p>
    <w:p w14:paraId="1152EF3C" w14:textId="1ECB151C" w:rsidR="002C3099" w:rsidRPr="008902F2" w:rsidRDefault="6BA9880E" w:rsidP="6F691FB8">
      <w:pPr>
        <w:tabs>
          <w:tab w:val="left" w:pos="708"/>
        </w:tabs>
        <w:spacing w:after="160" w:line="259" w:lineRule="auto"/>
        <w:ind w:left="770"/>
        <w:rPr>
          <w:rFonts w:ascii="Times New Roman" w:hAnsi="Times New Roman"/>
          <w:color w:val="000000" w:themeColor="text1"/>
        </w:rPr>
      </w:pPr>
      <w:r w:rsidRPr="008902F2">
        <w:rPr>
          <w:rFonts w:ascii="Times New Roman" w:hAnsi="Times New Roman"/>
          <w:color w:val="000000" w:themeColor="text1"/>
        </w:rPr>
        <w:t>• On December 30, 2022, with the publication of the Official Gazette numbered 32059 and the Board Decision numbered 11522 dated December 29, 2022, in accordance with the "Principles and Procedures for Determining the Revenue Ceilings for Natural Gas Transmission License Holding Companies' Tariffs," approved by the Board Decision numbered 4638-1 dated October 3, 2013, and within the framework of the transmission license numbered DİL/148-17/021 dated May 23, 2003, held by Boru Hatları İle Petrol Taşıma Anonim Şirketi (BOTAŞ), a decision was made to approve the attached Method Notification for the 2023-2025 tariff application period.</w:t>
      </w:r>
    </w:p>
    <w:p w14:paraId="76248260" w14:textId="69281CC6" w:rsidR="002C3099" w:rsidRPr="008902F2" w:rsidRDefault="002C3099" w:rsidP="6F691FB8">
      <w:pPr>
        <w:tabs>
          <w:tab w:val="left" w:pos="708"/>
        </w:tabs>
        <w:spacing w:after="160" w:line="259" w:lineRule="auto"/>
        <w:ind w:left="770"/>
        <w:rPr>
          <w:rFonts w:ascii="Times New Roman" w:hAnsi="Times New Roman"/>
          <w:color w:val="000000" w:themeColor="text1"/>
        </w:rPr>
      </w:pPr>
    </w:p>
    <w:p w14:paraId="636771C2" w14:textId="49616770" w:rsidR="002C3099" w:rsidRPr="008902F2" w:rsidRDefault="6BA9880E" w:rsidP="6F691FB8">
      <w:pPr>
        <w:tabs>
          <w:tab w:val="left" w:pos="708"/>
        </w:tabs>
        <w:spacing w:after="160" w:line="259" w:lineRule="auto"/>
        <w:ind w:left="770"/>
        <w:rPr>
          <w:rFonts w:ascii="Times New Roman" w:hAnsi="Times New Roman"/>
          <w:color w:val="000000" w:themeColor="text1"/>
        </w:rPr>
      </w:pPr>
      <w:r w:rsidRPr="008902F2">
        <w:rPr>
          <w:rFonts w:ascii="Times New Roman" w:hAnsi="Times New Roman"/>
          <w:color w:val="000000" w:themeColor="text1"/>
        </w:rPr>
        <w:t>• On December 30, 2022, with the publication of the Official Gazette numbered 32059 and the Board Decision numbered 11523 dated December 29, 2022, in accordance with the "Principles and Procedures for Determining the Revenue Ceilings for Natural Gas Transmission License Holding Companies' Tariffs," approved by the Board Decision numbered 4638-1 dated October 3, 2013, and within the framework of the transmission license numbered DİL/148-17/021 dated May 23, 2003, held by Boru Hatları İle Petrol Taşıma Anonim Şirketi (BOTAŞ), a decision was made regarding the determination of the revenue ceiling for the year 2023 and the transmission and dispatch control fees to be applied for the relevant year.</w:t>
      </w:r>
    </w:p>
    <w:p w14:paraId="6F0FFA49" w14:textId="5EAC0182" w:rsidR="002C3099" w:rsidRPr="008902F2" w:rsidRDefault="6F691FB8" w:rsidP="6F691FB8">
      <w:pPr>
        <w:pStyle w:val="Balk3"/>
        <w:spacing w:after="240"/>
        <w:rPr>
          <w:rFonts w:ascii="Times New Roman" w:eastAsia="Calibri" w:hAnsi="Times New Roman" w:cs="Times New Roman"/>
          <w:color w:val="000000" w:themeColor="text1"/>
        </w:rPr>
      </w:pPr>
      <w:bookmarkStart w:id="160" w:name="_Toc143113443"/>
      <w:r w:rsidRPr="008902F2">
        <w:rPr>
          <w:rFonts w:ascii="Times New Roman" w:eastAsia="Calibri" w:hAnsi="Times New Roman" w:cs="Times New Roman"/>
          <w:color w:val="000000" w:themeColor="text1"/>
        </w:rPr>
        <w:lastRenderedPageBreak/>
        <w:t>4.</w:t>
      </w:r>
      <w:r w:rsidR="057C47FA" w:rsidRPr="008902F2">
        <w:rPr>
          <w:rFonts w:ascii="Times New Roman" w:eastAsia="Calibri" w:hAnsi="Times New Roman" w:cs="Times New Roman"/>
          <w:color w:val="000000" w:themeColor="text1"/>
        </w:rPr>
        <w:t xml:space="preserve">3.8. </w:t>
      </w:r>
      <w:r w:rsidR="6BA9880E" w:rsidRPr="008902F2">
        <w:rPr>
          <w:rFonts w:ascii="Times New Roman" w:eastAsia="Calibri" w:hAnsi="Times New Roman" w:cs="Times New Roman"/>
          <w:color w:val="000000" w:themeColor="text1"/>
        </w:rPr>
        <w:t>License Fees</w:t>
      </w:r>
      <w:bookmarkEnd w:id="160"/>
    </w:p>
    <w:p w14:paraId="1C90E429" w14:textId="36C26DC3" w:rsidR="002C3099" w:rsidRPr="008902F2" w:rsidRDefault="6BA9880E" w:rsidP="6F691FB8">
      <w:p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On December 22, 2021, in accordance with the Decision of the Authority numbered 10636 dated December 16, 2021, published in the Official Gazette numbered 31697, the participation fee to be applied in the natural gas market for the year 2022 has been determined in line with Article 10 of Law No. 4628, paragraph (B)(a), as amended by Law No. 4646.</w:t>
      </w:r>
    </w:p>
    <w:p w14:paraId="219528D0" w14:textId="169CDF71" w:rsidR="002C3099" w:rsidRPr="008902F2" w:rsidRDefault="002C3099" w:rsidP="6F691FB8">
      <w:pPr>
        <w:tabs>
          <w:tab w:val="left" w:pos="284"/>
          <w:tab w:val="left" w:pos="567"/>
          <w:tab w:val="left" w:pos="709"/>
          <w:tab w:val="left" w:pos="851"/>
        </w:tabs>
        <w:spacing w:after="0"/>
        <w:rPr>
          <w:rFonts w:ascii="Times New Roman" w:hAnsi="Times New Roman"/>
          <w:color w:val="000000" w:themeColor="text1"/>
        </w:rPr>
      </w:pPr>
    </w:p>
    <w:p w14:paraId="50F7409D" w14:textId="1DC324E9" w:rsidR="002C3099" w:rsidRPr="008902F2" w:rsidRDefault="6BA9880E" w:rsidP="6F691FB8">
      <w:p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Furthermore, through the Decision of the Authority numbered 10637 dated December 16, 2021, published in the Official Gazette numbered 31697 on December 22, 2021, the fees for obtaining licenses, annual licenses, license renewals, license amendments, and issuing license copies, as well as the fees for obtaining certificates, certificate renewals, certificate amendments, issuing certificate copies, and certificate endorsements for the year 2022 have been determined in accordance with the Natural Gas Market Licensing Regulation.</w:t>
      </w:r>
    </w:p>
    <w:p w14:paraId="7A74C277" w14:textId="748D83E3" w:rsidR="002C3099" w:rsidRPr="008902F2" w:rsidRDefault="002C3099" w:rsidP="6F691FB8">
      <w:pPr>
        <w:tabs>
          <w:tab w:val="left" w:pos="284"/>
          <w:tab w:val="left" w:pos="567"/>
          <w:tab w:val="left" w:pos="709"/>
          <w:tab w:val="left" w:pos="851"/>
        </w:tabs>
        <w:spacing w:after="0"/>
        <w:rPr>
          <w:rFonts w:ascii="Times New Roman" w:hAnsi="Times New Roman"/>
          <w:color w:val="000000" w:themeColor="text1"/>
        </w:rPr>
      </w:pPr>
    </w:p>
    <w:p w14:paraId="736EDD57" w14:textId="188E4C92" w:rsidR="002C3099" w:rsidRPr="008902F2" w:rsidRDefault="002C3099" w:rsidP="6F691FB8">
      <w:pPr>
        <w:tabs>
          <w:tab w:val="left" w:pos="284"/>
          <w:tab w:val="left" w:pos="567"/>
          <w:tab w:val="left" w:pos="709"/>
          <w:tab w:val="left" w:pos="851"/>
        </w:tabs>
        <w:spacing w:after="0"/>
        <w:rPr>
          <w:rFonts w:ascii="Times New Roman" w:hAnsi="Times New Roman"/>
          <w:color w:val="000000" w:themeColor="text1"/>
        </w:rPr>
      </w:pPr>
    </w:p>
    <w:p w14:paraId="0592D317" w14:textId="69D0D733" w:rsidR="002C3099" w:rsidRPr="008902F2" w:rsidRDefault="6F691FB8" w:rsidP="6F691FB8">
      <w:pPr>
        <w:pStyle w:val="Balk2"/>
        <w:spacing w:before="0" w:after="240"/>
        <w:rPr>
          <w:rFonts w:ascii="Times New Roman" w:eastAsia="Calibri" w:hAnsi="Times New Roman" w:cs="Times New Roman"/>
          <w:szCs w:val="22"/>
        </w:rPr>
      </w:pPr>
      <w:bookmarkStart w:id="161" w:name="_Toc143113444"/>
      <w:r w:rsidRPr="008902F2">
        <w:rPr>
          <w:rFonts w:ascii="Times New Roman" w:eastAsia="Calibri" w:hAnsi="Times New Roman" w:cs="Times New Roman"/>
          <w:szCs w:val="22"/>
        </w:rPr>
        <w:t>4.</w:t>
      </w:r>
      <w:r w:rsidR="6456388A" w:rsidRPr="008902F2">
        <w:rPr>
          <w:rFonts w:ascii="Times New Roman" w:eastAsia="Calibri" w:hAnsi="Times New Roman" w:cs="Times New Roman"/>
          <w:szCs w:val="22"/>
        </w:rPr>
        <w:t xml:space="preserve">4. </w:t>
      </w:r>
      <w:r w:rsidR="6BA9880E" w:rsidRPr="008902F2">
        <w:rPr>
          <w:rFonts w:ascii="Times New Roman" w:eastAsia="Calibri" w:hAnsi="Times New Roman" w:cs="Times New Roman"/>
          <w:szCs w:val="22"/>
        </w:rPr>
        <w:t>Oil Market Tariffs</w:t>
      </w:r>
      <w:bookmarkEnd w:id="161"/>
    </w:p>
    <w:p w14:paraId="00F19EFA" w14:textId="2754A1CE" w:rsidR="002C3099" w:rsidRPr="008902F2" w:rsidRDefault="6BA9880E" w:rsidP="00D154BD">
      <w:pPr>
        <w:spacing w:after="0"/>
        <w:rPr>
          <w:rFonts w:ascii="Times New Roman" w:hAnsi="Times New Roman"/>
          <w:color w:val="000000" w:themeColor="text1"/>
        </w:rPr>
      </w:pPr>
      <w:r w:rsidRPr="008902F2">
        <w:rPr>
          <w:rFonts w:ascii="Times New Roman" w:hAnsi="Times New Roman"/>
          <w:color w:val="000000" w:themeColor="text1"/>
        </w:rPr>
        <w:t>Following the enactment of Law No. 5015 on the Petroleum Market, as of January 1, 2005, a free price regime has been implemented. It is acknowledged that prices in the trade of petroleum will be established taking into account the nearest accessible global free market conditions. For domestic crude oil, the "Market Price" formed at the nearest port or refinery where delivery takes place is accepted as the price.</w:t>
      </w:r>
    </w:p>
    <w:p w14:paraId="7BE96B1E" w14:textId="77777777" w:rsidR="00D154BD" w:rsidRPr="008902F2" w:rsidRDefault="00D154BD" w:rsidP="00D154BD">
      <w:pPr>
        <w:pStyle w:val="ListeParagraf"/>
        <w:tabs>
          <w:tab w:val="left" w:pos="284"/>
          <w:tab w:val="left" w:pos="567"/>
          <w:tab w:val="left" w:pos="709"/>
          <w:tab w:val="left" w:pos="851"/>
        </w:tabs>
        <w:spacing w:after="0"/>
        <w:ind w:left="1440"/>
        <w:rPr>
          <w:rFonts w:ascii="Times New Roman" w:hAnsi="Times New Roman"/>
          <w:color w:val="000000" w:themeColor="text1"/>
        </w:rPr>
      </w:pPr>
    </w:p>
    <w:p w14:paraId="3EEBE5B9" w14:textId="7ED2E6B3" w:rsidR="00D154BD" w:rsidRPr="008902F2" w:rsidRDefault="6BA9880E" w:rsidP="00D154BD">
      <w:pPr>
        <w:spacing w:after="0"/>
        <w:rPr>
          <w:rFonts w:ascii="Times New Roman" w:hAnsi="Times New Roman"/>
          <w:color w:val="000000" w:themeColor="text1"/>
        </w:rPr>
      </w:pPr>
      <w:r w:rsidRPr="008902F2">
        <w:rPr>
          <w:rFonts w:ascii="Times New Roman" w:hAnsi="Times New Roman"/>
          <w:color w:val="000000" w:themeColor="text1"/>
        </w:rPr>
        <w:t>Tariffs in the petroleum market can be categorized into four categories based on the type of transaction.</w:t>
      </w:r>
      <w:r w:rsidR="00024118" w:rsidRPr="008902F2">
        <w:rPr>
          <w:rFonts w:ascii="Times New Roman" w:hAnsi="Times New Roman"/>
          <w:color w:val="000000" w:themeColor="text1"/>
        </w:rPr>
        <w:t xml:space="preserve"> </w:t>
      </w:r>
    </w:p>
    <w:p w14:paraId="7AD8C731" w14:textId="77777777" w:rsidR="00D154BD" w:rsidRPr="008902F2" w:rsidRDefault="00D154BD" w:rsidP="00D154BD">
      <w:pPr>
        <w:pStyle w:val="ListeParagraf"/>
        <w:rPr>
          <w:rFonts w:ascii="Times New Roman" w:hAnsi="Times New Roman"/>
          <w:color w:val="000000" w:themeColor="text1"/>
        </w:rPr>
      </w:pPr>
    </w:p>
    <w:p w14:paraId="04CCFF2A" w14:textId="359353AA" w:rsidR="00D154BD" w:rsidRPr="008902F2" w:rsidRDefault="00D154BD" w:rsidP="00A86526">
      <w:pPr>
        <w:pStyle w:val="ListeParagraf"/>
        <w:numPr>
          <w:ilvl w:val="0"/>
          <w:numId w:val="17"/>
        </w:num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Tariffs Subject to Approval</w:t>
      </w:r>
      <w:r w:rsidR="6BA9880E" w:rsidRPr="008902F2">
        <w:rPr>
          <w:rFonts w:ascii="Times New Roman" w:hAnsi="Times New Roman"/>
          <w:color w:val="000000" w:themeColor="text1"/>
        </w:rPr>
        <w:t xml:space="preserve">: </w:t>
      </w:r>
      <w:r w:rsidRPr="008902F2">
        <w:rPr>
          <w:rFonts w:ascii="Times New Roman" w:hAnsi="Times New Roman"/>
          <w:color w:val="000000" w:themeColor="text1"/>
        </w:rPr>
        <w:t>Refers to the transmission tariff for the transport activity carried out within the scope of the transmission license and the tariffs for the licensed storage activities in the storage facilities connected to the transmission lines.</w:t>
      </w:r>
    </w:p>
    <w:p w14:paraId="3C3A5A6A" w14:textId="77777777" w:rsidR="00D154BD" w:rsidRPr="008902F2" w:rsidRDefault="00D154BD" w:rsidP="00D154BD">
      <w:pPr>
        <w:pStyle w:val="ListeParagraf"/>
        <w:rPr>
          <w:rFonts w:ascii="Times New Roman" w:hAnsi="Times New Roman"/>
          <w:color w:val="000000" w:themeColor="text1"/>
        </w:rPr>
      </w:pPr>
    </w:p>
    <w:p w14:paraId="1399A3DB" w14:textId="77777777" w:rsidR="00D154BD" w:rsidRPr="008902F2" w:rsidRDefault="6BA9880E" w:rsidP="00A86526">
      <w:pPr>
        <w:pStyle w:val="ListeParagraf"/>
        <w:numPr>
          <w:ilvl w:val="0"/>
          <w:numId w:val="17"/>
        </w:num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Tariffs Subject to Notification: These refer to tariffs related to licensed storage activities that start to be applied after being reported to the Authority, and which are not related to processing and transmission lines or connections, as well as changes in the maximum price tariffs of refinery and distributor license holders.</w:t>
      </w:r>
    </w:p>
    <w:p w14:paraId="082FC2DB" w14:textId="77777777" w:rsidR="00D154BD" w:rsidRPr="008902F2" w:rsidRDefault="00D154BD" w:rsidP="00D154BD">
      <w:pPr>
        <w:pStyle w:val="ListeParagraf"/>
        <w:rPr>
          <w:rFonts w:ascii="Times New Roman" w:hAnsi="Times New Roman"/>
          <w:color w:val="000000" w:themeColor="text1"/>
        </w:rPr>
      </w:pPr>
    </w:p>
    <w:p w14:paraId="0A96CAA3" w14:textId="77777777" w:rsidR="00D154BD" w:rsidRPr="008902F2" w:rsidRDefault="6BA9880E" w:rsidP="00A86526">
      <w:pPr>
        <w:pStyle w:val="ListeParagraf"/>
        <w:numPr>
          <w:ilvl w:val="0"/>
          <w:numId w:val="17"/>
        </w:num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Price Announcement: These are prices that do not require approval or notification, and they are displayed on boards placed visibly at fuel stations by dealership license holders. These prices are declared as the maximum fuel prices.</w:t>
      </w:r>
    </w:p>
    <w:p w14:paraId="55E878A6" w14:textId="77777777" w:rsidR="00D154BD" w:rsidRPr="008902F2" w:rsidRDefault="00D154BD" w:rsidP="00D154BD">
      <w:pPr>
        <w:pStyle w:val="ListeParagraf"/>
        <w:rPr>
          <w:rFonts w:ascii="Times New Roman" w:hAnsi="Times New Roman"/>
          <w:color w:val="000000" w:themeColor="text1"/>
        </w:rPr>
      </w:pPr>
    </w:p>
    <w:p w14:paraId="560D2D1E" w14:textId="583529F0" w:rsidR="002C3099" w:rsidRPr="008902F2" w:rsidRDefault="6BA9880E" w:rsidP="00A86526">
      <w:pPr>
        <w:pStyle w:val="ListeParagraf"/>
        <w:numPr>
          <w:ilvl w:val="0"/>
          <w:numId w:val="17"/>
        </w:numPr>
        <w:tabs>
          <w:tab w:val="left" w:pos="284"/>
          <w:tab w:val="left" w:pos="567"/>
          <w:tab w:val="left" w:pos="709"/>
          <w:tab w:val="left" w:pos="851"/>
        </w:tabs>
        <w:spacing w:after="0"/>
        <w:rPr>
          <w:rFonts w:ascii="Times New Roman" w:hAnsi="Times New Roman"/>
          <w:color w:val="000000" w:themeColor="text1"/>
        </w:rPr>
      </w:pPr>
      <w:r w:rsidRPr="008902F2">
        <w:rPr>
          <w:rFonts w:ascii="Times New Roman" w:hAnsi="Times New Roman"/>
          <w:color w:val="000000" w:themeColor="text1"/>
        </w:rPr>
        <w:t>Price List: These refer to changes in the price lists that are reported to the Authority by processing license holders for products covered by their licenses and are put into effect.</w:t>
      </w:r>
    </w:p>
    <w:p w14:paraId="5237DA79" w14:textId="46E1E39D" w:rsidR="002C3099" w:rsidRPr="008902F2" w:rsidRDefault="002C3099" w:rsidP="6F691FB8">
      <w:pPr>
        <w:ind w:left="720"/>
        <w:rPr>
          <w:rFonts w:ascii="Times New Roman" w:hAnsi="Times New Roman"/>
          <w:color w:val="000000" w:themeColor="text1"/>
        </w:rPr>
      </w:pPr>
    </w:p>
    <w:p w14:paraId="6910F111" w14:textId="042D5BAE" w:rsidR="002C3099" w:rsidRPr="008902F2" w:rsidRDefault="002C3099" w:rsidP="6F691FB8">
      <w:pPr>
        <w:spacing w:after="0"/>
        <w:ind w:left="1785"/>
        <w:rPr>
          <w:rFonts w:ascii="Times New Roman" w:hAnsi="Times New Roman"/>
          <w:color w:val="000000" w:themeColor="text1"/>
        </w:rPr>
      </w:pPr>
    </w:p>
    <w:p w14:paraId="44E19A2C" w14:textId="3B2A165F"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Databases have been established for the electronic notification and monitoring of distributor fuel 'wholesale prices' and the 'recommended' or 'maximum prices' that distributors determine on behalf of dealers. The database is updated through electronic notifications from distribution companies. As a result of compiling data in the database, average dealer maximum fuel prices are announced to the public based on provinces, and for the purpose of calculating fuel price differences within the scope of Public Procurement Legislation, the average fuel prices of the top eight companies with the highest transaction volumes are announced for Istanbul's European Side.</w:t>
      </w:r>
    </w:p>
    <w:p w14:paraId="0004CEC3" w14:textId="6BD907A4" w:rsidR="002C3099" w:rsidRPr="008902F2" w:rsidRDefault="002C3099" w:rsidP="6F691FB8">
      <w:pPr>
        <w:spacing w:after="0"/>
        <w:rPr>
          <w:rFonts w:ascii="Times New Roman" w:hAnsi="Times New Roman"/>
          <w:color w:val="000000" w:themeColor="text1"/>
        </w:rPr>
      </w:pPr>
    </w:p>
    <w:p w14:paraId="50F761D7" w14:textId="0FBF9234"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lastRenderedPageBreak/>
        <w:t>Article 10 of Law No. 5015, regarding price formation, states for refinery and distributor license-holding companies: 'Prices related to market activities carried out under refinery and distributor licenses shall be reported to the Authority by license holders as maximum prices prepared by taking into account the nearest accessible global free market formation.' Within the framework of this provision, market actors holding approximately 90% of the market share, being refinery and distributor license holders, apply pricing practices based on their market shares;</w:t>
      </w:r>
    </w:p>
    <w:p w14:paraId="14A3A0F1" w14:textId="5C4ECDCB" w:rsidR="002C3099" w:rsidRPr="008902F2" w:rsidRDefault="002C3099" w:rsidP="6F691FB8">
      <w:pPr>
        <w:spacing w:after="0"/>
        <w:rPr>
          <w:rFonts w:ascii="Times New Roman" w:hAnsi="Times New Roman"/>
          <w:color w:val="000000" w:themeColor="text1"/>
        </w:rPr>
      </w:pPr>
    </w:p>
    <w:p w14:paraId="57A01918" w14:textId="4D194114"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Price formation,</w:t>
      </w:r>
    </w:p>
    <w:p w14:paraId="77577F39" w14:textId="4FCBC23D"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Fuel prices in our country,</w:t>
      </w:r>
    </w:p>
    <w:p w14:paraId="3851D532" w14:textId="7F4985B0"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Changes in these prices over the years,</w:t>
      </w:r>
    </w:p>
    <w:p w14:paraId="24C0DF9D" w14:textId="7B0611F4"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Change of distribution and dealer shares in Türkiye,</w:t>
      </w:r>
    </w:p>
    <w:p w14:paraId="13DCF309" w14:textId="2C3EB03F"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Reflecting price movements to consumers,</w:t>
      </w:r>
    </w:p>
    <w:p w14:paraId="24ED62B9" w14:textId="45D091EB" w:rsidR="002C3099" w:rsidRPr="008902F2" w:rsidRDefault="6BA9880E" w:rsidP="6F691FB8">
      <w:pPr>
        <w:tabs>
          <w:tab w:val="left" w:pos="284"/>
          <w:tab w:val="left" w:pos="567"/>
          <w:tab w:val="left" w:pos="709"/>
          <w:tab w:val="left" w:pos="851"/>
        </w:tabs>
        <w:spacing w:after="0"/>
        <w:ind w:left="284"/>
        <w:rPr>
          <w:rFonts w:ascii="Times New Roman" w:hAnsi="Times New Roman"/>
          <w:color w:val="000000" w:themeColor="text1"/>
        </w:rPr>
      </w:pPr>
      <w:r w:rsidRPr="008902F2">
        <w:rPr>
          <w:rFonts w:ascii="Times New Roman" w:hAnsi="Times New Roman"/>
          <w:color w:val="000000" w:themeColor="text1"/>
        </w:rPr>
        <w:t>• Türkiye-EU comparisons with the prices formed in the closest accessible world free market</w:t>
      </w:r>
    </w:p>
    <w:p w14:paraId="73A8DBB3" w14:textId="6153AC39" w:rsidR="002C3099" w:rsidRPr="008902F2" w:rsidRDefault="002C3099" w:rsidP="6F691FB8">
      <w:pPr>
        <w:tabs>
          <w:tab w:val="left" w:pos="284"/>
          <w:tab w:val="left" w:pos="567"/>
          <w:tab w:val="left" w:pos="709"/>
          <w:tab w:val="left" w:pos="851"/>
        </w:tabs>
        <w:spacing w:after="0"/>
        <w:ind w:left="284"/>
        <w:rPr>
          <w:rFonts w:ascii="Times New Roman" w:hAnsi="Times New Roman"/>
          <w:color w:val="000000" w:themeColor="text1"/>
        </w:rPr>
      </w:pPr>
    </w:p>
    <w:p w14:paraId="32DBD5BB" w14:textId="694819F8" w:rsidR="002C3099" w:rsidRPr="008902F2" w:rsidRDefault="002C3099" w:rsidP="6F691FB8">
      <w:pPr>
        <w:spacing w:after="0"/>
        <w:rPr>
          <w:rFonts w:ascii="Times New Roman" w:hAnsi="Times New Roman"/>
          <w:color w:val="000000" w:themeColor="text1"/>
        </w:rPr>
      </w:pPr>
    </w:p>
    <w:p w14:paraId="10C09C45" w14:textId="54096CA4"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Within this framework, the findings obtained from these examinations are evaluated by meeting with market participants and relevant Ministries at various times. Opinions have been provided on tariff files of companies applying to the Authority for distributor, transmission, and storage licenses. Additionally, processes related to the amendment of storage and transmission tariffs have been concluded.</w:t>
      </w:r>
    </w:p>
    <w:p w14:paraId="72E88552" w14:textId="35960E53" w:rsidR="002C3099" w:rsidRPr="008902F2" w:rsidRDefault="002C3099" w:rsidP="6F691FB8">
      <w:pPr>
        <w:spacing w:after="0"/>
        <w:rPr>
          <w:rFonts w:ascii="Times New Roman" w:hAnsi="Times New Roman"/>
          <w:color w:val="000000" w:themeColor="text1"/>
        </w:rPr>
      </w:pPr>
    </w:p>
    <w:p w14:paraId="631E75BE" w14:textId="789FDD80"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In the third paragraph of Article 8 of the Petroleum Market Pricing System Regulation, it is stated that license applications with "inappropriate tariff files" will be rejected. In this context, license applications made to the Directorate General of the Petroleum Market have been reviewed, and opinions have been provided to the relevant department regarding the tariff files attached to these applications.</w:t>
      </w:r>
    </w:p>
    <w:p w14:paraId="0FCE40E9" w14:textId="40FA40E3" w:rsidR="002C3099" w:rsidRPr="008902F2" w:rsidRDefault="002C3099" w:rsidP="6F691FB8">
      <w:pPr>
        <w:spacing w:after="0"/>
        <w:rPr>
          <w:rFonts w:ascii="Times New Roman" w:hAnsi="Times New Roman"/>
          <w:color w:val="000000" w:themeColor="text1"/>
        </w:rPr>
      </w:pPr>
    </w:p>
    <w:p w14:paraId="5C244ADC" w14:textId="63475E01"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Within the scope of the Energy Market Notification Regulation, the management of the notification system's section related to prices is carried out, price notifications are tracked, and necessary corrections are made.</w:t>
      </w:r>
    </w:p>
    <w:p w14:paraId="49AD6C8E" w14:textId="1F108203" w:rsidR="002C3099" w:rsidRPr="008902F2" w:rsidRDefault="002C3099" w:rsidP="6F691FB8">
      <w:pPr>
        <w:spacing w:after="0"/>
        <w:rPr>
          <w:rFonts w:ascii="Times New Roman" w:hAnsi="Times New Roman"/>
          <w:color w:val="000000" w:themeColor="text1"/>
        </w:rPr>
      </w:pPr>
    </w:p>
    <w:p w14:paraId="3EE7EF91" w14:textId="39673DDB" w:rsidR="002C3099" w:rsidRPr="008902F2" w:rsidRDefault="6BA9880E" w:rsidP="00A86526">
      <w:pPr>
        <w:pStyle w:val="ListeParagraf"/>
        <w:numPr>
          <w:ilvl w:val="0"/>
          <w:numId w:val="11"/>
        </w:numPr>
        <w:spacing w:after="0"/>
        <w:rPr>
          <w:rFonts w:ascii="Times New Roman" w:hAnsi="Times New Roman"/>
          <w:color w:val="000000" w:themeColor="text1"/>
        </w:rPr>
      </w:pPr>
      <w:r w:rsidRPr="008902F2">
        <w:rPr>
          <w:rFonts w:ascii="Times New Roman" w:hAnsi="Times New Roman"/>
          <w:color w:val="000000" w:themeColor="text1"/>
        </w:rPr>
        <w:t xml:space="preserve">In addition to tracking domestic prices through the </w:t>
      </w:r>
      <w:r w:rsidR="00960D2C" w:rsidRPr="008902F2">
        <w:rPr>
          <w:rFonts w:ascii="Times New Roman" w:hAnsi="Times New Roman"/>
          <w:color w:val="000000" w:themeColor="text1"/>
        </w:rPr>
        <w:t>N</w:t>
      </w:r>
      <w:r w:rsidRPr="008902F2">
        <w:rPr>
          <w:rFonts w:ascii="Times New Roman" w:hAnsi="Times New Roman"/>
          <w:color w:val="000000" w:themeColor="text1"/>
        </w:rPr>
        <w:t xml:space="preserve">otification </w:t>
      </w:r>
      <w:r w:rsidR="00960D2C" w:rsidRPr="008902F2">
        <w:rPr>
          <w:rFonts w:ascii="Times New Roman" w:hAnsi="Times New Roman"/>
          <w:color w:val="000000" w:themeColor="text1"/>
        </w:rPr>
        <w:t>S</w:t>
      </w:r>
      <w:r w:rsidRPr="008902F2">
        <w:rPr>
          <w:rFonts w:ascii="Times New Roman" w:hAnsi="Times New Roman"/>
          <w:color w:val="000000" w:themeColor="text1"/>
        </w:rPr>
        <w:t>ystem, various overseas price movements are monitored, including the Mediterranean market under the Platts subscription. This covers crude oil (such as Brent-dated), as well as prices for products like gasoline, diesel, fuel oil, kerosene, and jet fuel, both on a Free On Board (FOB) and Cost, Insurance, Freight (CIF) basis. Foreign price movements such as taxed and untaxed fuel dealer prices in EU countries are also monitored. Reports are generated from the collected data, and these analyses are used to track price movements of distributor and refinery license holders within the framework of the closest accessible global free market price formation, just like in the process of determining maximum prices. In this context, Petroleum Market Pricing Reports, which started being published on a monthly basis in 2014, continue to be made available on the Authority's website.</w:t>
      </w:r>
    </w:p>
    <w:p w14:paraId="3689BAFB" w14:textId="302B2DF6" w:rsidR="002C3099" w:rsidRPr="008902F2" w:rsidRDefault="002C3099" w:rsidP="6F691FB8">
      <w:pPr>
        <w:spacing w:after="0"/>
        <w:ind w:left="1440"/>
        <w:rPr>
          <w:rFonts w:ascii="Times New Roman" w:hAnsi="Times New Roman"/>
          <w:color w:val="000000" w:themeColor="text1"/>
        </w:rPr>
      </w:pPr>
    </w:p>
    <w:p w14:paraId="6CD83AEC" w14:textId="1123F816" w:rsidR="00960D2C" w:rsidRPr="008902F2" w:rsidRDefault="6BA9880E" w:rsidP="00960D2C">
      <w:pPr>
        <w:spacing w:after="0"/>
        <w:rPr>
          <w:rFonts w:ascii="Times New Roman" w:hAnsi="Times New Roman"/>
          <w:color w:val="000000" w:themeColor="text1"/>
        </w:rPr>
      </w:pPr>
      <w:r w:rsidRPr="008902F2">
        <w:rPr>
          <w:rFonts w:ascii="Times New Roman" w:hAnsi="Times New Roman"/>
          <w:color w:val="000000" w:themeColor="text1"/>
        </w:rPr>
        <w:t>In 2022, the following Tariff Board Decisions were made in the oil market:</w:t>
      </w:r>
    </w:p>
    <w:p w14:paraId="2BF1319F" w14:textId="77777777" w:rsidR="00960D2C" w:rsidRPr="008902F2" w:rsidRDefault="00960D2C" w:rsidP="00960D2C">
      <w:pPr>
        <w:spacing w:after="0"/>
        <w:rPr>
          <w:rFonts w:ascii="Times New Roman" w:hAnsi="Times New Roman"/>
          <w:color w:val="000000" w:themeColor="text1"/>
        </w:rPr>
      </w:pPr>
    </w:p>
    <w:p w14:paraId="5457A1B7" w14:textId="26E1F38D" w:rsidR="002C3099" w:rsidRPr="008902F2" w:rsidRDefault="00EC718D" w:rsidP="6F691FB8">
      <w:pPr>
        <w:ind w:left="720"/>
        <w:rPr>
          <w:rFonts w:ascii="Times New Roman" w:hAnsi="Times New Roman"/>
          <w:color w:val="000000" w:themeColor="text1"/>
        </w:rPr>
      </w:pPr>
      <w:r w:rsidRPr="00EC718D">
        <w:rPr>
          <w:rFonts w:ascii="Times New Roman" w:hAnsi="Times New Roman"/>
          <w:color w:val="000000" w:themeColor="text1"/>
        </w:rPr>
        <w:t>• Amended by the Board Decision dated 24.03.2022 and numbered 10876, published in the Official Gazette dated 26.03.2022 and numbered 31790, and the Board Decision dated 30/12/2021 and numbered 10692, published in the Official Gazette dated 31.12.2021 and numbered 31706 (6th Duplicate), It has been decided to amend Article 4 of the "Board Decision on the Sharing of Distributor and Dealer Margins", which was approved by the Board Decision No. 8851 dated 26.09.2019 and entered into force by being published in the Official Gazette No. 30905 dated 01.10.2019, as follows.</w:t>
      </w:r>
    </w:p>
    <w:p w14:paraId="3C7E37EC" w14:textId="13F7663A" w:rsidR="002C3099" w:rsidRPr="008902F2" w:rsidRDefault="6BA9880E" w:rsidP="6F691FB8">
      <w:pPr>
        <w:ind w:left="1440"/>
        <w:rPr>
          <w:rFonts w:ascii="Times New Roman" w:hAnsi="Times New Roman"/>
          <w:color w:val="000000" w:themeColor="text1"/>
        </w:rPr>
      </w:pPr>
      <w:r w:rsidRPr="008902F2">
        <w:rPr>
          <w:rFonts w:ascii="Times New Roman" w:hAnsi="Times New Roman"/>
          <w:i/>
          <w:iCs/>
          <w:color w:val="000000" w:themeColor="text1"/>
        </w:rPr>
        <w:lastRenderedPageBreak/>
        <w:t xml:space="preserve">Article 4 - (1) The total margin (distributor and dealer) is calculated by subtracting the relevant dealer's blending cost-inclusive closest refinery exit price from the recommended or maximum price determined by the distributor for each type of gasoline and diesel provided to the dealer. In the case of multiple refineries in the same province, the lowest price is taken as the basis. The dealer margin is freely determined between the distributor and the dealer, ensuring that it is not less than the difference between the blending cost-inclusive closest refinery exit price and the Fuel Distribution Price. </w:t>
      </w:r>
    </w:p>
    <w:p w14:paraId="08271C3A" w14:textId="478761B0" w:rsidR="002C3099" w:rsidRPr="008902F2" w:rsidRDefault="6BA9880E" w:rsidP="6F691FB8">
      <w:pPr>
        <w:ind w:left="1440"/>
        <w:rPr>
          <w:rFonts w:ascii="Times New Roman" w:hAnsi="Times New Roman"/>
          <w:color w:val="000000" w:themeColor="text1"/>
        </w:rPr>
      </w:pPr>
      <w:r w:rsidRPr="008902F2">
        <w:rPr>
          <w:rFonts w:ascii="Times New Roman" w:hAnsi="Times New Roman"/>
          <w:i/>
          <w:iCs/>
          <w:color w:val="000000" w:themeColor="text1"/>
        </w:rPr>
        <w:t>(2) The total margin considered in electronic system sales is calculated based on the undiscounted selling price.</w:t>
      </w:r>
    </w:p>
    <w:p w14:paraId="0CD54018" w14:textId="7FB9F08A" w:rsidR="002C3099" w:rsidRPr="008902F2" w:rsidRDefault="00AD5C86" w:rsidP="6F691FB8">
      <w:pPr>
        <w:ind w:left="1440"/>
        <w:rPr>
          <w:rFonts w:ascii="Times New Roman" w:hAnsi="Times New Roman"/>
          <w:color w:val="000000" w:themeColor="text1"/>
        </w:rPr>
      </w:pPr>
      <w:r w:rsidRPr="00AD5C86">
        <w:rPr>
          <w:rFonts w:ascii="Times New Roman" w:hAnsi="Times New Roman"/>
          <w:color w:val="000000" w:themeColor="text1"/>
        </w:rPr>
        <w:t>• Amended by the Board Decision no. 11280 dated 06.10.2022, published in the Official Gazette dated 08.10.2022 and numbered 31977, the Board Decision no. 10692 dated 30/12/2021 and the Board Decision no. 10876 dated 24/03/2022, dated 01/10/ It has been decided to add the following paragraph after the second paragraph to the 4th article of the Board Decision No. 8851 dated 26/09/2019 on the Sharing of Distributor and Dealer Margins, which entered into force after being published in the Official Gazette No. 30905 dated 2019.</w:t>
      </w:r>
    </w:p>
    <w:p w14:paraId="6B205120" w14:textId="04D4DC48" w:rsidR="002C3099" w:rsidRPr="008902F2" w:rsidRDefault="6BA9880E" w:rsidP="00AD5C86">
      <w:pPr>
        <w:ind w:left="1440"/>
        <w:rPr>
          <w:rFonts w:ascii="Times New Roman" w:hAnsi="Times New Roman"/>
          <w:color w:val="000000" w:themeColor="text1"/>
        </w:rPr>
      </w:pPr>
      <w:r w:rsidRPr="008902F2">
        <w:rPr>
          <w:rFonts w:ascii="Times New Roman" w:hAnsi="Times New Roman"/>
          <w:i/>
          <w:iCs/>
          <w:color w:val="000000" w:themeColor="text1"/>
        </w:rPr>
        <w:t>"(3) Regardless of the name or method (loyalty cards, discount cards, various mobile applications, etc.) used by the distributor, any discounts provided in discounted sales are covered by the distributor's margin."</w:t>
      </w:r>
    </w:p>
    <w:p w14:paraId="68891A56" w14:textId="22460AC5" w:rsidR="002C3099" w:rsidRPr="008902F2" w:rsidRDefault="6BA9880E" w:rsidP="00A86526">
      <w:pPr>
        <w:pStyle w:val="ListeParagraf"/>
        <w:numPr>
          <w:ilvl w:val="0"/>
          <w:numId w:val="28"/>
        </w:numPr>
        <w:spacing w:after="0"/>
        <w:rPr>
          <w:rFonts w:ascii="Times New Roman" w:hAnsi="Times New Roman"/>
          <w:color w:val="000000" w:themeColor="text1"/>
        </w:rPr>
      </w:pPr>
      <w:r w:rsidRPr="008902F2">
        <w:rPr>
          <w:rFonts w:ascii="Times New Roman" w:hAnsi="Times New Roman"/>
          <w:color w:val="000000" w:themeColor="text1"/>
        </w:rPr>
        <w:t>By the decision of the Board dated 29.12.2022 and published in the Official Gazette numbered 32059 on 30.12.2022, regarding the tracking of distributor and dealer margin total, it has been decided to monitor the Turkish Central Bank interest rates, inflation, exchange rates, minimum wage, and other domestic market conditions. The decision dated 03.11.2014 and numbered 5291, which was approved by the decision of the Board and subsequently published in the Official Gazette numbered 29168 on 07.11.2014, regarding the tracking of Fuel Prices, has been revoked."</w:t>
      </w:r>
    </w:p>
    <w:p w14:paraId="7417FA6F" w14:textId="77777777" w:rsidR="00960D2C" w:rsidRPr="008902F2" w:rsidRDefault="00960D2C" w:rsidP="00960D2C">
      <w:pPr>
        <w:pStyle w:val="ListeParagraf"/>
        <w:spacing w:after="0"/>
        <w:rPr>
          <w:rFonts w:ascii="Times New Roman" w:hAnsi="Times New Roman"/>
          <w:color w:val="000000" w:themeColor="text1"/>
        </w:rPr>
      </w:pPr>
    </w:p>
    <w:p w14:paraId="103A2370" w14:textId="56F33CC8" w:rsidR="002C3099" w:rsidRPr="008902F2" w:rsidRDefault="6F691FB8" w:rsidP="000B68CF">
      <w:pPr>
        <w:pStyle w:val="Balk3"/>
        <w:rPr>
          <w:rFonts w:ascii="Times New Roman" w:hAnsi="Times New Roman" w:cs="Times New Roman"/>
        </w:rPr>
      </w:pPr>
      <w:bookmarkStart w:id="162" w:name="_Toc143113445"/>
      <w:r w:rsidRPr="008902F2">
        <w:rPr>
          <w:rFonts w:ascii="Times New Roman" w:hAnsi="Times New Roman" w:cs="Times New Roman"/>
        </w:rPr>
        <w:t>4.</w:t>
      </w:r>
      <w:r w:rsidR="7F99E3B7" w:rsidRPr="008902F2">
        <w:rPr>
          <w:rFonts w:ascii="Times New Roman" w:hAnsi="Times New Roman" w:cs="Times New Roman"/>
        </w:rPr>
        <w:t xml:space="preserve">4.1. </w:t>
      </w:r>
      <w:r w:rsidR="6BA9880E" w:rsidRPr="008902F2">
        <w:rPr>
          <w:rFonts w:ascii="Times New Roman" w:hAnsi="Times New Roman" w:cs="Times New Roman"/>
        </w:rPr>
        <w:t>License Fees</w:t>
      </w:r>
      <w:bookmarkEnd w:id="162"/>
    </w:p>
    <w:p w14:paraId="1B76DE14" w14:textId="4C4726B8"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On December 16, 2021, with the decision numbered 10639 published in the Official Gazette numbered 31697 on December 22, 2021, the license acquisition, license amendment, extension of term (renewal), issuance of license duplicates, tariff approval, fuel trade permit, and coupon service permit fees to be applied in 2022 were determined in accordance with the seventh paragraph of Article 5 and the (b) subparagraph of the amended paragraph</w:t>
      </w:r>
      <w:r w:rsidR="000B68CF" w:rsidRPr="008902F2">
        <w:rPr>
          <w:rFonts w:ascii="Times New Roman" w:hAnsi="Times New Roman"/>
          <w:color w:val="000000" w:themeColor="text1"/>
        </w:rPr>
        <w:t xml:space="preserve"> </w:t>
      </w:r>
      <w:r w:rsidRPr="008902F2">
        <w:rPr>
          <w:rFonts w:ascii="Times New Roman" w:hAnsi="Times New Roman"/>
          <w:color w:val="000000" w:themeColor="text1"/>
        </w:rPr>
        <w:t>(C) of Article 10 of Law No. 4628 on the Organization and Duties of the Energy Market Regulatory Authority, as well as the 13th article of the Petroleum Market License Regulation.</w:t>
      </w:r>
    </w:p>
    <w:p w14:paraId="0E25A357" w14:textId="1BA08BBB" w:rsidR="002C3099" w:rsidRPr="008902F2" w:rsidRDefault="002C3099" w:rsidP="6F691FB8">
      <w:pPr>
        <w:spacing w:after="0"/>
        <w:rPr>
          <w:rFonts w:ascii="Times New Roman" w:hAnsi="Times New Roman"/>
          <w:color w:val="000000" w:themeColor="text1"/>
        </w:rPr>
      </w:pPr>
    </w:p>
    <w:p w14:paraId="6D371A5B" w14:textId="4C47136E" w:rsidR="002C3099" w:rsidRPr="008902F2" w:rsidRDefault="6BA9880E" w:rsidP="6F691FB8">
      <w:pPr>
        <w:spacing w:after="0"/>
        <w:rPr>
          <w:rFonts w:ascii="Times New Roman" w:hAnsi="Times New Roman"/>
          <w:color w:val="000000" w:themeColor="text1"/>
        </w:rPr>
      </w:pPr>
      <w:r w:rsidRPr="008902F2">
        <w:rPr>
          <w:rFonts w:ascii="Times New Roman" w:hAnsi="Times New Roman"/>
          <w:color w:val="000000" w:themeColor="text1"/>
        </w:rPr>
        <w:t>Additionally, on December 16, 2021, with the decision numbered 10638 published in the Official Gazette numbered 31697 on December 22, 2021, the participation fee rates to be paid by individuals and legal entities holding licenses to operate in the petroleum market, as stipulated under the (a) sub-subparagraph of the amended paragraph (C) of Article 10 of Law No. 4628, in line with the changes made by Article 27 of Law No. 5015, were determined for the year 2022.</w:t>
      </w:r>
    </w:p>
    <w:p w14:paraId="480C7176" w14:textId="77777777" w:rsidR="00D821F7" w:rsidRPr="008902F2" w:rsidRDefault="00D821F7" w:rsidP="6F691FB8">
      <w:pPr>
        <w:spacing w:after="0"/>
        <w:rPr>
          <w:rFonts w:ascii="Times New Roman" w:hAnsi="Times New Roman"/>
          <w:color w:val="000000" w:themeColor="text1"/>
        </w:rPr>
      </w:pPr>
    </w:p>
    <w:p w14:paraId="21B44498" w14:textId="47572F57" w:rsidR="002C3099" w:rsidRPr="008902F2" w:rsidRDefault="00960D2C" w:rsidP="000B68CF">
      <w:pPr>
        <w:pStyle w:val="Balk2"/>
        <w:rPr>
          <w:rFonts w:ascii="Times New Roman" w:hAnsi="Times New Roman" w:cs="Times New Roman"/>
        </w:rPr>
      </w:pPr>
      <w:bookmarkStart w:id="163" w:name="_Toc143113446"/>
      <w:r w:rsidRPr="008902F2">
        <w:rPr>
          <w:rFonts w:ascii="Times New Roman" w:hAnsi="Times New Roman" w:cs="Times New Roman"/>
        </w:rPr>
        <w:t xml:space="preserve">4.5. </w:t>
      </w:r>
      <w:r w:rsidR="6BA9880E" w:rsidRPr="008902F2">
        <w:rPr>
          <w:rFonts w:ascii="Times New Roman" w:hAnsi="Times New Roman" w:cs="Times New Roman"/>
        </w:rPr>
        <w:t>Prices in the Liquefied Petroleum Gas (LPG) Market</w:t>
      </w:r>
      <w:bookmarkEnd w:id="163"/>
    </w:p>
    <w:p w14:paraId="7DECCB00" w14:textId="5B717268"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 xml:space="preserve">The Law Amending the Liquefied Petroleum Gases (LPG) Market Law and the Electricity Market Law No. 5307 envisions that prices in LPG trading should be determined based on accessible global free market conditions. According to the law, refiners and distributors report the prices related to their market activities within the scope </w:t>
      </w:r>
      <w:r w:rsidRPr="008902F2">
        <w:rPr>
          <w:rFonts w:ascii="Times New Roman" w:hAnsi="Times New Roman"/>
          <w:color w:val="000000" w:themeColor="text1"/>
        </w:rPr>
        <w:lastRenderedPageBreak/>
        <w:t>of their licenses as maximum prices to the Authority, taking into consideration the price formation in accessible global free markets.</w:t>
      </w:r>
    </w:p>
    <w:p w14:paraId="68D1557B" w14:textId="30C6FB85" w:rsidR="002C3099" w:rsidRPr="008902F2" w:rsidRDefault="6BA9880E" w:rsidP="6F691FB8">
      <w:pPr>
        <w:rPr>
          <w:rFonts w:ascii="Times New Roman" w:hAnsi="Times New Roman"/>
          <w:color w:val="000000" w:themeColor="text1"/>
        </w:rPr>
      </w:pPr>
      <w:r w:rsidRPr="008902F2">
        <w:rPr>
          <w:rFonts w:ascii="Times New Roman" w:hAnsi="Times New Roman"/>
          <w:color w:val="000000" w:themeColor="text1"/>
        </w:rPr>
        <w:t>In this context, developments in domestic LPG prices have been regularly monitored by considering the maximum price notifications provided by refiners and distributors for their market activities within the scope of their licenses. Comprehensive studies have been conducted on autogas prices in addition to the regular notifications submitted to the Authority. The developments in LPG prices in our country have been compared with price movements in EU countries.</w:t>
      </w:r>
    </w:p>
    <w:p w14:paraId="079BEF25" w14:textId="65208068" w:rsidR="002C3099" w:rsidRPr="008902F2" w:rsidRDefault="6F691FB8" w:rsidP="000B68CF">
      <w:pPr>
        <w:pStyle w:val="Balk3"/>
        <w:rPr>
          <w:rFonts w:ascii="Times New Roman" w:hAnsi="Times New Roman" w:cs="Times New Roman"/>
        </w:rPr>
      </w:pPr>
      <w:bookmarkStart w:id="164" w:name="_Toc143113447"/>
      <w:r w:rsidRPr="008902F2">
        <w:rPr>
          <w:rFonts w:ascii="Times New Roman" w:hAnsi="Times New Roman" w:cs="Times New Roman"/>
        </w:rPr>
        <w:t>4.</w:t>
      </w:r>
      <w:r w:rsidR="45222574" w:rsidRPr="008902F2">
        <w:rPr>
          <w:rFonts w:ascii="Times New Roman" w:hAnsi="Times New Roman" w:cs="Times New Roman"/>
        </w:rPr>
        <w:t>5.</w:t>
      </w:r>
      <w:r w:rsidR="000B68CF" w:rsidRPr="008902F2">
        <w:rPr>
          <w:rFonts w:ascii="Times New Roman" w:hAnsi="Times New Roman" w:cs="Times New Roman"/>
        </w:rPr>
        <w:t>1.</w:t>
      </w:r>
      <w:r w:rsidR="45222574" w:rsidRPr="008902F2">
        <w:rPr>
          <w:rFonts w:ascii="Times New Roman" w:hAnsi="Times New Roman" w:cs="Times New Roman"/>
        </w:rPr>
        <w:t xml:space="preserve"> Prices in the Liquefied Petroleum Gas (LPG) Market</w:t>
      </w:r>
      <w:bookmarkEnd w:id="164"/>
    </w:p>
    <w:p w14:paraId="7DE11DFC" w14:textId="0E69DA20"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On December 16, 2021, with the decision numbered 10641 published in the Official Gazette numbered 31697 on December 22, 2021, the license acquisition, license amendment, extension of term (renewal), and issuance of license duplicates fees for the liquefied LPG market for the year 2022 were determined in accordance with Law No. 5307 on the Amendment of the Liquefied Petroleum Gases (LPG) Market Law and the Electricity Market Law, and the Liquefied Petroleum Gases (LPG) Market License Regulation.</w:t>
      </w:r>
    </w:p>
    <w:p w14:paraId="542FE165" w14:textId="2C6CED44" w:rsidR="002C3099" w:rsidRPr="008902F2" w:rsidRDefault="6BA9880E" w:rsidP="6F691FB8">
      <w:pPr>
        <w:spacing w:after="240"/>
        <w:rPr>
          <w:rFonts w:ascii="Times New Roman" w:hAnsi="Times New Roman"/>
          <w:color w:val="000000" w:themeColor="text1"/>
        </w:rPr>
      </w:pPr>
      <w:r w:rsidRPr="008902F2">
        <w:rPr>
          <w:rFonts w:ascii="Times New Roman" w:hAnsi="Times New Roman"/>
          <w:color w:val="000000" w:themeColor="text1"/>
        </w:rPr>
        <w:t>Additionally, on December 16, 2021, with the decision numbered 10640 published in the Official Gazette numbered 31697 on December 22, 2021, the participation fee rates to be applied in the LPG market for the year 2022 were determined in accordance with the (a) sub-subparagraph of the amended paragraph (D) of Article 10 of Law No. 4628, as changed by Article 27 of Law No. 5015, and Article 41 of the LPG Market License Regulation.</w:t>
      </w:r>
    </w:p>
    <w:p w14:paraId="7F369081" w14:textId="373D8232" w:rsidR="002C3099" w:rsidRPr="008902F2" w:rsidRDefault="002C3099" w:rsidP="6F691FB8">
      <w:pPr>
        <w:spacing w:after="240"/>
        <w:rPr>
          <w:rFonts w:ascii="Times New Roman" w:hAnsi="Times New Roman"/>
        </w:rPr>
      </w:pPr>
    </w:p>
    <w:p w14:paraId="1A417902" w14:textId="53DFCEE8" w:rsidR="002C3099" w:rsidRPr="008902F2" w:rsidRDefault="57D1B67E" w:rsidP="00A86526">
      <w:pPr>
        <w:pStyle w:val="Balk1"/>
        <w:numPr>
          <w:ilvl w:val="0"/>
          <w:numId w:val="27"/>
        </w:numPr>
        <w:spacing w:before="0"/>
        <w:rPr>
          <w:rFonts w:ascii="Times New Roman" w:eastAsia="Calibri" w:hAnsi="Times New Roman" w:cs="Times New Roman"/>
          <w:szCs w:val="22"/>
        </w:rPr>
      </w:pPr>
      <w:bookmarkStart w:id="165" w:name="_Toc143113448"/>
      <w:r w:rsidRPr="008902F2">
        <w:rPr>
          <w:rFonts w:ascii="Times New Roman" w:eastAsia="Calibri" w:hAnsi="Times New Roman" w:cs="Times New Roman"/>
          <w:szCs w:val="22"/>
        </w:rPr>
        <w:t>INFORMATION SYSTEMS ACTIVITIES</w:t>
      </w:r>
      <w:bookmarkEnd w:id="165"/>
    </w:p>
    <w:p w14:paraId="474A59CF" w14:textId="73AF63B0"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In this section, the activities carried out under the scope of information technology services within the institution in the year 2022 are explained. Within the framework of information systems, the implementation of EPVYS, EBİS, EPARS, EBYS, VEPS, and KKP has been completed within the institution, and efforts for the further development of these systems are ongoing. Substantial progress has been made in the operation of BGYS (National Cyber Security Incident Management System) and the implementation of the National Cyber Security Strategy and Action Plan 2020-2023.</w:t>
      </w:r>
    </w:p>
    <w:p w14:paraId="17ECAADC" w14:textId="66491727" w:rsidR="002C3099" w:rsidRPr="008902F2" w:rsidRDefault="6F691FB8" w:rsidP="6F691FB8">
      <w:pPr>
        <w:pStyle w:val="Balk2"/>
        <w:spacing w:before="0"/>
        <w:rPr>
          <w:rFonts w:ascii="Times New Roman" w:eastAsia="Calibri" w:hAnsi="Times New Roman" w:cs="Times New Roman"/>
          <w:szCs w:val="22"/>
        </w:rPr>
      </w:pPr>
      <w:bookmarkStart w:id="166" w:name="_Toc143113449"/>
      <w:r w:rsidRPr="008902F2">
        <w:rPr>
          <w:rFonts w:ascii="Times New Roman" w:eastAsia="Calibri" w:hAnsi="Times New Roman" w:cs="Times New Roman"/>
          <w:szCs w:val="22"/>
        </w:rPr>
        <w:t>5.</w:t>
      </w:r>
      <w:r w:rsidR="793F9916" w:rsidRPr="008902F2">
        <w:rPr>
          <w:rFonts w:ascii="Times New Roman" w:eastAsia="Calibri" w:hAnsi="Times New Roman" w:cs="Times New Roman"/>
          <w:szCs w:val="22"/>
        </w:rPr>
        <w:t xml:space="preserve">1. </w:t>
      </w:r>
      <w:r w:rsidR="57D1B67E" w:rsidRPr="008902F2">
        <w:rPr>
          <w:rFonts w:ascii="Times New Roman" w:eastAsia="Calibri" w:hAnsi="Times New Roman" w:cs="Times New Roman"/>
          <w:szCs w:val="22"/>
        </w:rPr>
        <w:t>Information Security Management System (ISMS)</w:t>
      </w:r>
      <w:bookmarkEnd w:id="166"/>
    </w:p>
    <w:p w14:paraId="5382CCBB" w14:textId="3F68874F"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In the institution, the continuity efforts related to document scope under the TS ISO/IEC 27001 certificate acquired through the operation of BGYS (National Cyber Security Incident Management System) have been successfully completed.</w:t>
      </w:r>
    </w:p>
    <w:p w14:paraId="5DF377C1" w14:textId="51B7E0D2"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As part of the efforts to provide sectoral Social Media Accounts (SOMEs) with effective audit and enforcement capabilities over Corporate SOMEs, regulatory arrangements were made and subsequent audits were conducted according to the "Information Security Regulation in Industrial Control Systems Used in the Energy Sector" published in the Official Gazette dated 13.07.2017 and numbered 30123. The audit activities were conducted on-site and remotely.</w:t>
      </w:r>
    </w:p>
    <w:p w14:paraId="6AF5919F" w14:textId="469F1CEB"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In alignment with the Information and Communication Security Guide prepared by the Presidency of Digital Transformation Office and made accessible on 27.07.2020, relevant works have been completed in the institution, and the work report has been shared with the relevant authorities. Efforts are ongoing for businesses identified as critical infrastructure in the energy sector.</w:t>
      </w:r>
    </w:p>
    <w:p w14:paraId="2F997928" w14:textId="619BD842"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cybersecurity maturity model studies in the energy sector have been continued.</w:t>
      </w:r>
    </w:p>
    <w:p w14:paraId="2E500912" w14:textId="3717F856"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lastRenderedPageBreak/>
        <w:t>Within the scope of the National Cyber Security Strategy and Action Plan (2020-2023), under action item 10.2 "Conducting sectoral cybersecurity exercises," exercises for the energy sector's sectoral Social Media Accounts (SOMEs), led by the institution as the sectoral SOME for the energy sector, were successfully completed on May 24-25, 2022, with broad participation from critical energy infrastructure operators.</w:t>
      </w:r>
    </w:p>
    <w:p w14:paraId="38A16EB1" w14:textId="177506C4" w:rsidR="002C3099" w:rsidRPr="008902F2" w:rsidRDefault="002C3099" w:rsidP="6F691FB8">
      <w:pPr>
        <w:rPr>
          <w:rFonts w:ascii="Times New Roman" w:hAnsi="Times New Roman"/>
          <w:color w:val="000000" w:themeColor="text1"/>
        </w:rPr>
      </w:pPr>
    </w:p>
    <w:p w14:paraId="0F5840DD" w14:textId="1D0A268F" w:rsidR="002C3099" w:rsidRPr="008902F2" w:rsidRDefault="6F691FB8" w:rsidP="6F691FB8">
      <w:pPr>
        <w:pStyle w:val="Balk2"/>
        <w:spacing w:before="0"/>
        <w:rPr>
          <w:rFonts w:ascii="Times New Roman" w:eastAsia="Calibri" w:hAnsi="Times New Roman" w:cs="Times New Roman"/>
          <w:szCs w:val="22"/>
        </w:rPr>
      </w:pPr>
      <w:bookmarkStart w:id="167" w:name="_Toc143113450"/>
      <w:r w:rsidRPr="008902F2">
        <w:rPr>
          <w:rFonts w:ascii="Times New Roman" w:eastAsia="Calibri" w:hAnsi="Times New Roman" w:cs="Times New Roman"/>
          <w:szCs w:val="22"/>
        </w:rPr>
        <w:t>5.</w:t>
      </w:r>
      <w:r w:rsidR="3B8ADC70" w:rsidRPr="008902F2">
        <w:rPr>
          <w:rFonts w:ascii="Times New Roman" w:eastAsia="Calibri" w:hAnsi="Times New Roman" w:cs="Times New Roman"/>
          <w:szCs w:val="22"/>
        </w:rPr>
        <w:t xml:space="preserve">2. </w:t>
      </w:r>
      <w:r w:rsidR="57D1B67E" w:rsidRPr="008902F2">
        <w:rPr>
          <w:rFonts w:ascii="Times New Roman" w:eastAsia="Calibri" w:hAnsi="Times New Roman" w:cs="Times New Roman"/>
          <w:szCs w:val="22"/>
        </w:rPr>
        <w:t>Information Infrastructure Systems and Support Services</w:t>
      </w:r>
      <w:bookmarkEnd w:id="167"/>
    </w:p>
    <w:p w14:paraId="42077E8E" w14:textId="25E6739A"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institution has implemented a distinct Endpoint Detection and Response (EDR) application for its servers, allowing the separation of end-user EDR management.</w:t>
      </w:r>
    </w:p>
    <w:p w14:paraId="2F87778F" w14:textId="61074868"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SIEM infrastructure currently used by the institution is being transformed into a Security Orchestration, Automation, and Response (SOAR) structure to enable faster actions in response to potential cyber incidents.</w:t>
      </w:r>
    </w:p>
    <w:p w14:paraId="3E314A43" w14:textId="5DCCF5A2"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establishment of the Geographic Information System (GIS) infrastructure of the institution and the creation of site-to-site VPN tunnels to ensure secure access to GIS data of the institution's electricity and natural gas distribution companies are ongoing.</w:t>
      </w:r>
    </w:p>
    <w:p w14:paraId="576E68A4" w14:textId="40A474E6"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Preparations have been initiated for Network and System Infrastructure Analysis to analyze the security of the institution's network and system infrastructure following the implementation of new configurations.</w:t>
      </w:r>
    </w:p>
    <w:p w14:paraId="0C855E85" w14:textId="6BD1144A" w:rsidR="002C3099" w:rsidRPr="008902F2" w:rsidRDefault="002C3099" w:rsidP="6F691FB8">
      <w:pPr>
        <w:rPr>
          <w:rFonts w:ascii="Times New Roman" w:hAnsi="Times New Roman"/>
          <w:color w:val="000000" w:themeColor="text1"/>
        </w:rPr>
      </w:pPr>
    </w:p>
    <w:p w14:paraId="29B28B1A" w14:textId="4D873B9D"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Improvements have been made using the existing technologies at the institution to ensure the healthy maintenance of privileged account management.</w:t>
      </w:r>
    </w:p>
    <w:p w14:paraId="39AD8D1C" w14:textId="23720258"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To enhance vulnerability management, the procurement of vulnerability and asset management software has been initiated. Coordination efforts have resulted in the implementation of vulnerability scans and annual penetration testing, with the findings being assigned to responsible individuals and tracked through the mentioned software.</w:t>
      </w:r>
    </w:p>
    <w:p w14:paraId="60498B3E" w14:textId="59EB1EBD"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Ongoing routine activities have been conducted for the institution's systems, networks, and cybersecurity infrastructure. Regular assessments have been carried out, and development and improvement activities have been undertaken in accordance with feedback from relevant teams and departments.</w:t>
      </w:r>
    </w:p>
    <w:p w14:paraId="521120E2" w14:textId="44274C3E" w:rsidR="002C3099" w:rsidRPr="008902F2" w:rsidRDefault="002C3099" w:rsidP="6F691FB8">
      <w:pPr>
        <w:rPr>
          <w:rFonts w:ascii="Times New Roman" w:hAnsi="Times New Roman"/>
          <w:color w:val="000000" w:themeColor="text1"/>
        </w:rPr>
      </w:pPr>
    </w:p>
    <w:p w14:paraId="548D3526" w14:textId="29760B4D" w:rsidR="002C3099" w:rsidRPr="008902F2" w:rsidRDefault="6F691FB8" w:rsidP="6F691FB8">
      <w:pPr>
        <w:pStyle w:val="Balk2"/>
        <w:spacing w:before="0"/>
        <w:rPr>
          <w:rFonts w:ascii="Times New Roman" w:eastAsia="Calibri" w:hAnsi="Times New Roman" w:cs="Times New Roman"/>
          <w:szCs w:val="22"/>
        </w:rPr>
      </w:pPr>
      <w:bookmarkStart w:id="168" w:name="_Toc143113451"/>
      <w:r w:rsidRPr="008902F2">
        <w:rPr>
          <w:rFonts w:ascii="Times New Roman" w:eastAsia="Calibri" w:hAnsi="Times New Roman" w:cs="Times New Roman"/>
          <w:szCs w:val="22"/>
        </w:rPr>
        <w:t>5.</w:t>
      </w:r>
      <w:r w:rsidR="4659B98A" w:rsidRPr="008902F2">
        <w:rPr>
          <w:rFonts w:ascii="Times New Roman" w:eastAsia="Calibri" w:hAnsi="Times New Roman" w:cs="Times New Roman"/>
          <w:szCs w:val="22"/>
        </w:rPr>
        <w:t xml:space="preserve">3. </w:t>
      </w:r>
      <w:r w:rsidR="57D1B67E" w:rsidRPr="008902F2">
        <w:rPr>
          <w:rFonts w:ascii="Times New Roman" w:eastAsia="Calibri" w:hAnsi="Times New Roman" w:cs="Times New Roman"/>
          <w:szCs w:val="22"/>
        </w:rPr>
        <w:t>Electronic Document Management System (EBYS)</w:t>
      </w:r>
      <w:bookmarkEnd w:id="168"/>
    </w:p>
    <w:p w14:paraId="43B4F824" w14:textId="2090430D"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As per the updates provided in the e-Correspondence (eYP 2.0) Technical Guide released by the Presidency of Digital Transformation Office on 28.08.2020, the renewal of institutional seals and institutional encryption certificates has been carried out from the Public Key Infrastructure (Kamu SM).</w:t>
      </w:r>
    </w:p>
    <w:p w14:paraId="68AC57E5" w14:textId="02DA6D3C"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Remote technical support has been provided to personnel experiencing issues with the system.</w:t>
      </w:r>
    </w:p>
    <w:p w14:paraId="1C417E12" w14:textId="30DA0576"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An annual maintenance contract for the system has been established.</w:t>
      </w:r>
    </w:p>
    <w:p w14:paraId="547DF96A" w14:textId="1EBEA05C"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Version updates have been performed periodically.</w:t>
      </w:r>
    </w:p>
    <w:p w14:paraId="7AAABDCD" w14:textId="3E7B3BD0"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Updates have been implemented for document types processed within the system.</w:t>
      </w:r>
    </w:p>
    <w:p w14:paraId="2156841D" w14:textId="735458E2"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System settings have been updated.</w:t>
      </w:r>
    </w:p>
    <w:p w14:paraId="536BFA1A" w14:textId="1184137F"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System integration settings have been updated.</w:t>
      </w:r>
    </w:p>
    <w:p w14:paraId="5B96E572" w14:textId="61E91986"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lastRenderedPageBreak/>
        <w:t>• Updates have been applied to the Consumer Complaints Module published on the institution's website.</w:t>
      </w:r>
    </w:p>
    <w:p w14:paraId="46074E72" w14:textId="5F6B6018"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New staff members have undergone e-signature (e-imza) acquisition.</w:t>
      </w:r>
    </w:p>
    <w:p w14:paraId="14424985" w14:textId="3E34421A"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Renewal procedures for expiring e-signatures of personnel have been executed.</w:t>
      </w:r>
    </w:p>
    <w:p w14:paraId="12A58D7F" w14:textId="21D2EC48" w:rsidR="002C3099" w:rsidRPr="008902F2" w:rsidRDefault="002C3099" w:rsidP="6F691FB8">
      <w:pPr>
        <w:rPr>
          <w:rFonts w:ascii="Times New Roman" w:hAnsi="Times New Roman"/>
          <w:color w:val="000000" w:themeColor="text1"/>
        </w:rPr>
      </w:pPr>
    </w:p>
    <w:p w14:paraId="3291C408" w14:textId="309C4A29" w:rsidR="002C3099" w:rsidRPr="008902F2" w:rsidRDefault="6F691FB8" w:rsidP="6F691FB8">
      <w:pPr>
        <w:pStyle w:val="Balk2"/>
        <w:spacing w:before="0"/>
        <w:rPr>
          <w:rFonts w:ascii="Times New Roman" w:eastAsia="Calibri" w:hAnsi="Times New Roman" w:cs="Times New Roman"/>
          <w:szCs w:val="22"/>
        </w:rPr>
      </w:pPr>
      <w:bookmarkStart w:id="169" w:name="_Toc143113452"/>
      <w:r w:rsidRPr="008902F2">
        <w:rPr>
          <w:rFonts w:ascii="Times New Roman" w:eastAsia="Calibri" w:hAnsi="Times New Roman" w:cs="Times New Roman"/>
          <w:szCs w:val="22"/>
        </w:rPr>
        <w:t>5.</w:t>
      </w:r>
      <w:r w:rsidR="2064DEC5" w:rsidRPr="008902F2">
        <w:rPr>
          <w:rFonts w:ascii="Times New Roman" w:eastAsia="Calibri" w:hAnsi="Times New Roman" w:cs="Times New Roman"/>
          <w:szCs w:val="22"/>
        </w:rPr>
        <w:t xml:space="preserve">4. </w:t>
      </w:r>
      <w:r w:rsidR="57D1B67E" w:rsidRPr="008902F2">
        <w:rPr>
          <w:rFonts w:ascii="Times New Roman" w:eastAsia="Calibri" w:hAnsi="Times New Roman" w:cs="Times New Roman"/>
          <w:szCs w:val="22"/>
        </w:rPr>
        <w:t>Institution Website</w:t>
      </w:r>
      <w:bookmarkEnd w:id="169"/>
    </w:p>
    <w:p w14:paraId="43F63027" w14:textId="06E81B2B"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corporate website development continues in line with requests from units and users.</w:t>
      </w:r>
    </w:p>
    <w:p w14:paraId="290DFEB5" w14:textId="76D5E1C8" w:rsidR="002C3099" w:rsidRPr="008902F2" w:rsidRDefault="6F691FB8" w:rsidP="6F691FB8">
      <w:pPr>
        <w:pStyle w:val="Balk2"/>
        <w:spacing w:before="0"/>
        <w:rPr>
          <w:rFonts w:ascii="Times New Roman" w:eastAsia="Calibri" w:hAnsi="Times New Roman" w:cs="Times New Roman"/>
          <w:szCs w:val="22"/>
        </w:rPr>
      </w:pPr>
      <w:bookmarkStart w:id="170" w:name="_Toc143113453"/>
      <w:r w:rsidRPr="008902F2">
        <w:rPr>
          <w:rFonts w:ascii="Times New Roman" w:eastAsia="Calibri" w:hAnsi="Times New Roman" w:cs="Times New Roman"/>
          <w:szCs w:val="22"/>
        </w:rPr>
        <w:t>5.</w:t>
      </w:r>
      <w:r w:rsidR="237AAEEF" w:rsidRPr="008902F2">
        <w:rPr>
          <w:rFonts w:ascii="Times New Roman" w:eastAsia="Calibri" w:hAnsi="Times New Roman" w:cs="Times New Roman"/>
          <w:szCs w:val="22"/>
        </w:rPr>
        <w:t xml:space="preserve">5. </w:t>
      </w:r>
      <w:r w:rsidR="57D1B67E" w:rsidRPr="008902F2">
        <w:rPr>
          <w:rFonts w:ascii="Times New Roman" w:eastAsia="Calibri" w:hAnsi="Times New Roman" w:cs="Times New Roman"/>
          <w:szCs w:val="22"/>
        </w:rPr>
        <w:t>Enterprise Resource Planning (ERP)</w:t>
      </w:r>
      <w:bookmarkEnd w:id="170"/>
    </w:p>
    <w:p w14:paraId="04738698" w14:textId="06F937B1"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In the year 2022, the development and updates of various modules in the Kurum Intranet Portal continue. Specifically, for the KKP (Kamu Kurumları Portalı) modules, the procurement and inventory modules are undergoing development and updates. Additionally, ongoing development and updates are in progress for the human resources modules that have already been deployed.</w:t>
      </w:r>
    </w:p>
    <w:p w14:paraId="5681C709" w14:textId="06439C29" w:rsidR="002C3099" w:rsidRPr="008902F2" w:rsidRDefault="6F691FB8" w:rsidP="00D821F7">
      <w:pPr>
        <w:pStyle w:val="Balk2"/>
        <w:spacing w:before="0"/>
        <w:rPr>
          <w:rFonts w:ascii="Times New Roman" w:eastAsia="Calibri" w:hAnsi="Times New Roman" w:cs="Times New Roman"/>
          <w:szCs w:val="22"/>
        </w:rPr>
      </w:pPr>
      <w:bookmarkStart w:id="171" w:name="_Toc143113454"/>
      <w:r w:rsidRPr="008902F2">
        <w:rPr>
          <w:rFonts w:ascii="Times New Roman" w:eastAsia="Calibri" w:hAnsi="Times New Roman" w:cs="Times New Roman"/>
          <w:szCs w:val="22"/>
        </w:rPr>
        <w:t>5.</w:t>
      </w:r>
      <w:r w:rsidR="7564295B" w:rsidRPr="008902F2">
        <w:rPr>
          <w:rFonts w:ascii="Times New Roman" w:eastAsia="Calibri" w:hAnsi="Times New Roman" w:cs="Times New Roman"/>
          <w:szCs w:val="22"/>
        </w:rPr>
        <w:t xml:space="preserve">6. </w:t>
      </w:r>
      <w:r w:rsidR="57D1B67E" w:rsidRPr="008902F2">
        <w:rPr>
          <w:rFonts w:ascii="Times New Roman" w:eastAsia="Calibri" w:hAnsi="Times New Roman" w:cs="Times New Roman"/>
          <w:szCs w:val="22"/>
        </w:rPr>
        <w:t>Energy Market Analysis and Reporting System (EPARS)</w:t>
      </w:r>
      <w:bookmarkEnd w:id="171"/>
    </w:p>
    <w:p w14:paraId="2B17F2FF" w14:textId="30CE2A31"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EPARS is a system established to analyze and report the energy market information required by the institution's personnel. It gathers meaningful data from various systems used within the institution for analysis and reporting purposes, and additional data is continuously added to these data warehouses based on specific requests.</w:t>
      </w:r>
    </w:p>
    <w:p w14:paraId="4D4E4F9F" w14:textId="03EEF573"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With EPARS, data from these warehouses can be queried, analyzed, and used to generate reports. Authorized personnel within the institution can dynamically create their own reports using various parameters or quickly query data based on specific parameters. The reports encompass licensing data from petroleum, LPG, electricity, and natural gas markets, along with data received from companies operating in these sectors that submit notifications to the institution. Cross-verification reports in EPARS facilitate accuracy checks among companies' submitted data.</w:t>
      </w:r>
    </w:p>
    <w:p w14:paraId="095B3E7B" w14:textId="19B402B1"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In 2022, based on report requests from department heads, 82 new reports were created and 175 existing reports were updated to be made available for authorized personnel's usage. To fulfill data requests from other public institutions, necessary web service queries were prepared.</w:t>
      </w:r>
    </w:p>
    <w:p w14:paraId="6F4A24A2" w14:textId="7FDC8FB7"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Throughout the year, maintenance, security, testing, performance enhancements, and capacity upgrades were routinely conducted for data management and business intelligence servers.</w:t>
      </w:r>
    </w:p>
    <w:p w14:paraId="290FD027" w14:textId="6ACA96F3" w:rsidR="002C3099" w:rsidRPr="008902F2" w:rsidRDefault="6F691FB8" w:rsidP="6F691FB8">
      <w:pPr>
        <w:pStyle w:val="Balk2"/>
        <w:spacing w:before="0"/>
        <w:rPr>
          <w:rFonts w:ascii="Times New Roman" w:eastAsia="Calibri" w:hAnsi="Times New Roman" w:cs="Times New Roman"/>
          <w:szCs w:val="22"/>
        </w:rPr>
      </w:pPr>
      <w:bookmarkStart w:id="172" w:name="_Toc143113455"/>
      <w:r w:rsidRPr="008902F2">
        <w:rPr>
          <w:rFonts w:ascii="Times New Roman" w:eastAsia="Calibri" w:hAnsi="Times New Roman" w:cs="Times New Roman"/>
          <w:szCs w:val="22"/>
        </w:rPr>
        <w:t>5.</w:t>
      </w:r>
      <w:r w:rsidR="623583FD" w:rsidRPr="008902F2">
        <w:rPr>
          <w:rFonts w:ascii="Times New Roman" w:eastAsia="Calibri" w:hAnsi="Times New Roman" w:cs="Times New Roman"/>
          <w:szCs w:val="22"/>
        </w:rPr>
        <w:t xml:space="preserve">7. </w:t>
      </w:r>
      <w:r w:rsidR="57D1B67E" w:rsidRPr="008902F2">
        <w:rPr>
          <w:rFonts w:ascii="Times New Roman" w:eastAsia="Calibri" w:hAnsi="Times New Roman" w:cs="Times New Roman"/>
          <w:szCs w:val="22"/>
        </w:rPr>
        <w:t>Energy Market Database Management System (EPVYS)</w:t>
      </w:r>
      <w:bookmarkEnd w:id="172"/>
    </w:p>
    <w:p w14:paraId="139628A4" w14:textId="32457464"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The institution has established and deployed an information system that enables the tasks mandated by regulations to be carried out efficiently and with improved performance. This system facilitates the quick and secure electronic execution of these tasks both within the institution and in collaboration with other governmental bodies and organizations. In this context, developments and updates are being made in accordance with the needs of companies operating in the electricity, natural gas, petroleum, and LPG markets, aiming to ensure the availability of License, Counterparty, Tariff, Litigation, Audit, Administrative Fines, License Fees, and Participation Fee information. The scope of these efforts encompasses the enhancement of productivity and cooperation.</w:t>
      </w:r>
    </w:p>
    <w:p w14:paraId="46CFDC2C" w14:textId="37867A05"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Within this framework, the activities carried out in the year 2022 include:</w:t>
      </w:r>
    </w:p>
    <w:p w14:paraId="6022CFFD" w14:textId="52478C4A"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The development of EPVYS software has been carried out by institution personnel in accordance with requests received from various units.</w:t>
      </w:r>
    </w:p>
    <w:p w14:paraId="793F3477" w14:textId="58FDA973"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lastRenderedPageBreak/>
        <w:t>• In accordance with the Charging Service Regulation published in the Official Gazette dated April 2, 2022, and numbered 31797, the Energy Market Regulatory Authority (EPDK) has initiated the online acceptance of new license and amendment applications for Charging Network Operators' licenses granted by the institution through the EPDK Application system.</w:t>
      </w:r>
    </w:p>
    <w:p w14:paraId="628594C7" w14:textId="63D513CF"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The works have commenced for the creation of an open access platform where the geographic locations, quantities, powers, types of charging units, socket quantities and types, compliance statuses, payment methods, and charging service prices of public charging stations present across all charging networks will be published. In this context;</w:t>
      </w:r>
    </w:p>
    <w:p w14:paraId="2227178C" w14:textId="2EFEC8D7"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The Charging Automation System, responsible for real-time retrieval of Charging Station data through web services, has been established and put into operation.</w:t>
      </w:r>
    </w:p>
    <w:p w14:paraId="44E72CB4" w14:textId="3AE21824" w:rsidR="002C3099" w:rsidRPr="008902F2" w:rsidRDefault="002C3099" w:rsidP="6F691FB8">
      <w:pPr>
        <w:ind w:left="720"/>
        <w:rPr>
          <w:rFonts w:ascii="Times New Roman" w:hAnsi="Times New Roman"/>
          <w:color w:val="000000" w:themeColor="text1"/>
        </w:rPr>
      </w:pPr>
    </w:p>
    <w:p w14:paraId="31736DA6" w14:textId="670EA894"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xml:space="preserve">• To provide citizens with easy access to electric vehicle charging stations, the publicly accessible SHARJ@TR mobile application has been developed and launched. This application contains information about all publicly available electric vehicle charging stations in </w:t>
      </w:r>
      <w:r w:rsidR="00454819" w:rsidRPr="008902F2">
        <w:rPr>
          <w:rFonts w:ascii="Times New Roman" w:hAnsi="Times New Roman"/>
          <w:color w:val="000000" w:themeColor="text1"/>
        </w:rPr>
        <w:t>Türkiye</w:t>
      </w:r>
      <w:r w:rsidRPr="008902F2">
        <w:rPr>
          <w:rFonts w:ascii="Times New Roman" w:hAnsi="Times New Roman"/>
          <w:color w:val="000000" w:themeColor="text1"/>
        </w:rPr>
        <w:t>, facilitating convenient access to these stations.</w:t>
      </w:r>
    </w:p>
    <w:p w14:paraId="729D7854" w14:textId="3208240F"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The process of revising the Expropriation applications initiated electronically has been incorporated. Initiatives have begun to process amendment requests for Expropriation applications through the system. Furthermore, efforts have commenced to digitize and integrate older Expropriation cases into the electronic environment.</w:t>
      </w:r>
    </w:p>
    <w:p w14:paraId="61BF3E4B" w14:textId="331CF6C2" w:rsidR="002C3099" w:rsidRPr="008902F2" w:rsidRDefault="002C3099" w:rsidP="6F691FB8">
      <w:pPr>
        <w:ind w:left="720"/>
        <w:rPr>
          <w:rFonts w:ascii="Times New Roman" w:hAnsi="Times New Roman"/>
          <w:color w:val="000000" w:themeColor="text1"/>
        </w:rPr>
      </w:pPr>
    </w:p>
    <w:p w14:paraId="7E3FBC16" w14:textId="1324FB72"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Online acceptance of applications for Storage-Integrated Electricity Generation Licenses has been implemented.</w:t>
      </w:r>
    </w:p>
    <w:p w14:paraId="3260B704" w14:textId="078950BB" w:rsidR="002C3099" w:rsidRPr="008902F2" w:rsidRDefault="002C3099" w:rsidP="6F691FB8">
      <w:pPr>
        <w:ind w:left="720"/>
        <w:rPr>
          <w:rFonts w:ascii="Times New Roman" w:hAnsi="Times New Roman"/>
          <w:color w:val="000000" w:themeColor="text1"/>
        </w:rPr>
      </w:pPr>
    </w:p>
    <w:p w14:paraId="594A4247" w14:textId="6ADE99B4"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In line with the Law No. 7318 Amending Certain Laws, and Tax Procedure Law No. 213, procedures for Temporary Activity Suspension required by the Tax Audit Board Presidency's investigations have been initiated and managed through the VDK Identification Module.</w:t>
      </w:r>
    </w:p>
    <w:p w14:paraId="1CF7248A" w14:textId="38E39611" w:rsidR="002C3099" w:rsidRPr="008902F2" w:rsidRDefault="002C3099" w:rsidP="6F691FB8">
      <w:pPr>
        <w:ind w:left="720"/>
        <w:rPr>
          <w:rFonts w:ascii="Times New Roman" w:hAnsi="Times New Roman"/>
          <w:color w:val="000000" w:themeColor="text1"/>
        </w:rPr>
      </w:pPr>
    </w:p>
    <w:p w14:paraId="0083D938" w14:textId="0388B95B"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Integration with the Revenue Administration (GİB) has been established in accordance with the amendment to Article 257 of Tax Procedure Law No. 213 within the framework of Law No. 5015, covering obligations imposed on taxpayers subject to licensing. This integration facilitates online monitoring of collateral obligations through the system.</w:t>
      </w:r>
    </w:p>
    <w:p w14:paraId="4A0AEC8C" w14:textId="610828A7" w:rsidR="002C3099" w:rsidRPr="008902F2" w:rsidRDefault="002C3099" w:rsidP="6F691FB8">
      <w:pPr>
        <w:ind w:left="720"/>
        <w:rPr>
          <w:rFonts w:ascii="Times New Roman" w:hAnsi="Times New Roman"/>
          <w:color w:val="000000" w:themeColor="text1"/>
        </w:rPr>
      </w:pPr>
    </w:p>
    <w:p w14:paraId="6FA3F357" w14:textId="46AB0243"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The Collateral module has been implemented to track and manage the institution's guarantee letters through the system.</w:t>
      </w:r>
    </w:p>
    <w:p w14:paraId="7E051D04" w14:textId="6AB99356" w:rsidR="002C3099" w:rsidRPr="008902F2" w:rsidRDefault="002C3099" w:rsidP="6F691FB8">
      <w:pPr>
        <w:ind w:left="720"/>
        <w:rPr>
          <w:rFonts w:ascii="Times New Roman" w:hAnsi="Times New Roman"/>
          <w:color w:val="000000" w:themeColor="text1"/>
        </w:rPr>
      </w:pPr>
    </w:p>
    <w:p w14:paraId="54FB3331" w14:textId="3F8B324F"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xml:space="preserve">• To reduce bureaucracy and as part of the Digital </w:t>
      </w:r>
      <w:r w:rsidR="00454819" w:rsidRPr="008902F2">
        <w:rPr>
          <w:rFonts w:ascii="Times New Roman" w:hAnsi="Times New Roman"/>
          <w:color w:val="000000" w:themeColor="text1"/>
        </w:rPr>
        <w:t>Türkiye</w:t>
      </w:r>
      <w:r w:rsidRPr="008902F2">
        <w:rPr>
          <w:rFonts w:ascii="Times New Roman" w:hAnsi="Times New Roman"/>
          <w:color w:val="000000" w:themeColor="text1"/>
        </w:rPr>
        <w:t xml:space="preserve"> initiative, all processes related to New License Applications, Amendments, Extension of Terms, Termination, and Duplicate Issuance for Electricity, </w:t>
      </w:r>
      <w:r w:rsidRPr="008902F2">
        <w:rPr>
          <w:rFonts w:ascii="Times New Roman" w:hAnsi="Times New Roman"/>
          <w:color w:val="000000" w:themeColor="text1"/>
        </w:rPr>
        <w:lastRenderedPageBreak/>
        <w:t>Natural Gas, Petroleum, and LPG markets continue to be accepted through the EPDK Application System in electronic format. Necessary software updates have been made to accommodate changes in regulations.</w:t>
      </w:r>
    </w:p>
    <w:p w14:paraId="52CB2B61" w14:textId="06CFF1A9" w:rsidR="002C3099" w:rsidRPr="008902F2" w:rsidRDefault="002C3099" w:rsidP="6F691FB8">
      <w:pPr>
        <w:ind w:left="720"/>
        <w:rPr>
          <w:rFonts w:ascii="Times New Roman" w:hAnsi="Times New Roman"/>
          <w:color w:val="000000" w:themeColor="text1"/>
        </w:rPr>
      </w:pPr>
    </w:p>
    <w:p w14:paraId="2E9CF5C1" w14:textId="10545580"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xml:space="preserve">• To streamline bureaucracy and under the Digital </w:t>
      </w:r>
      <w:r w:rsidR="00454819" w:rsidRPr="008902F2">
        <w:rPr>
          <w:rFonts w:ascii="Times New Roman" w:hAnsi="Times New Roman"/>
          <w:color w:val="000000" w:themeColor="text1"/>
        </w:rPr>
        <w:t>Türkiye</w:t>
      </w:r>
      <w:r w:rsidRPr="008902F2">
        <w:rPr>
          <w:rFonts w:ascii="Times New Roman" w:hAnsi="Times New Roman"/>
          <w:color w:val="000000" w:themeColor="text1"/>
        </w:rPr>
        <w:t xml:space="preserve"> initiative, coordination has been established to allow successors to manage Electricity and Natural Gas subscription and query processes related to deceased individuals via e-Government.</w:t>
      </w:r>
    </w:p>
    <w:p w14:paraId="0AD867A4" w14:textId="009E3050" w:rsidR="002C3099" w:rsidRPr="008902F2" w:rsidRDefault="002C3099" w:rsidP="6F691FB8">
      <w:pPr>
        <w:ind w:left="720"/>
        <w:rPr>
          <w:rFonts w:ascii="Times New Roman" w:hAnsi="Times New Roman"/>
          <w:color w:val="000000" w:themeColor="text1"/>
        </w:rPr>
      </w:pPr>
    </w:p>
    <w:p w14:paraId="62878BDC" w14:textId="106DEB66"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Efforts continue to streamline processes, accelerate operations, simplify/limit the required documentation, and ensure that documents that can be obtained electronically are not required physically, for License and License Amendment applications, certificates, permits, YEKDEM (Renewable Energy Support Mechanism) processes, and Expropriation applications.</w:t>
      </w:r>
    </w:p>
    <w:p w14:paraId="6959A570" w14:textId="0855C983" w:rsidR="002C3099" w:rsidRPr="008902F2" w:rsidRDefault="002C3099" w:rsidP="6F691FB8">
      <w:pPr>
        <w:ind w:left="720"/>
        <w:rPr>
          <w:rFonts w:ascii="Times New Roman" w:hAnsi="Times New Roman"/>
          <w:color w:val="000000" w:themeColor="text1"/>
        </w:rPr>
      </w:pPr>
    </w:p>
    <w:p w14:paraId="6B62FBBF" w14:textId="1638480F" w:rsidR="002C3099" w:rsidRPr="008902F2" w:rsidRDefault="57D1B67E" w:rsidP="6F691FB8">
      <w:pPr>
        <w:ind w:left="720"/>
        <w:rPr>
          <w:rFonts w:ascii="Times New Roman" w:hAnsi="Times New Roman"/>
          <w:color w:val="000000" w:themeColor="text1"/>
        </w:rPr>
      </w:pPr>
      <w:r w:rsidRPr="008902F2">
        <w:rPr>
          <w:rFonts w:ascii="Times New Roman" w:hAnsi="Times New Roman"/>
          <w:color w:val="000000" w:themeColor="text1"/>
        </w:rPr>
        <w:t>• Within the scope of the Presidential National Data Dictionary (UVS) project, necessary procedures are being carried out as part of the National Data Dictionary efforts.</w:t>
      </w:r>
    </w:p>
    <w:p w14:paraId="5BD1B1BC" w14:textId="61C240FB" w:rsidR="002C3099" w:rsidRPr="008902F2" w:rsidRDefault="002C3099" w:rsidP="6F691FB8">
      <w:pPr>
        <w:ind w:left="720"/>
        <w:rPr>
          <w:rFonts w:ascii="Times New Roman" w:hAnsi="Times New Roman"/>
          <w:color w:val="000000" w:themeColor="text1"/>
        </w:rPr>
      </w:pPr>
    </w:p>
    <w:p w14:paraId="01078163" w14:textId="790DE21C" w:rsidR="002C3099" w:rsidRPr="008902F2" w:rsidRDefault="6F691FB8" w:rsidP="6F691FB8">
      <w:pPr>
        <w:pStyle w:val="Balk2"/>
        <w:spacing w:before="0"/>
        <w:rPr>
          <w:rFonts w:ascii="Times New Roman" w:eastAsia="Calibri" w:hAnsi="Times New Roman" w:cs="Times New Roman"/>
          <w:szCs w:val="22"/>
        </w:rPr>
      </w:pPr>
      <w:bookmarkStart w:id="173" w:name="_Toc143113456"/>
      <w:r w:rsidRPr="008902F2">
        <w:rPr>
          <w:rFonts w:ascii="Times New Roman" w:eastAsia="Calibri" w:hAnsi="Times New Roman" w:cs="Times New Roman"/>
          <w:szCs w:val="22"/>
        </w:rPr>
        <w:t>5.</w:t>
      </w:r>
      <w:r w:rsidR="62512AE6" w:rsidRPr="008902F2">
        <w:rPr>
          <w:rFonts w:ascii="Times New Roman" w:eastAsia="Calibri" w:hAnsi="Times New Roman" w:cs="Times New Roman"/>
          <w:szCs w:val="22"/>
        </w:rPr>
        <w:t xml:space="preserve">8. </w:t>
      </w:r>
      <w:r w:rsidR="57D1B67E" w:rsidRPr="008902F2">
        <w:rPr>
          <w:rFonts w:ascii="Times New Roman" w:eastAsia="Calibri" w:hAnsi="Times New Roman" w:cs="Times New Roman"/>
          <w:szCs w:val="22"/>
        </w:rPr>
        <w:t>Data Sharing with Other Institutions and Organizations (Data Access and Sharing System (VEPS))</w:t>
      </w:r>
      <w:bookmarkEnd w:id="173"/>
    </w:p>
    <w:p w14:paraId="5BE05C43" w14:textId="7EE3E562"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Under this heading, the activities carried out in 2022 are summarized as follows:</w:t>
      </w:r>
    </w:p>
    <w:p w14:paraId="034186BF" w14:textId="0CF71C54"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Integration with the Revenue Administration (GİB) has been updated in line with regulatory changes, and additional services have been implemented mutually within the scope of VDK (Tax Audit Board) determination and GİB Collateral modules.</w:t>
      </w:r>
    </w:p>
    <w:p w14:paraId="41E26A50" w14:textId="4B716564"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Integration efforts have been initiated with the Revenue Administration's Public Receivables Collection Platform (KATP) System.</w:t>
      </w:r>
    </w:p>
    <w:p w14:paraId="0E429F73" w14:textId="1014E2F9"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Integration has been established with the Turkish Statistical Institute (TÜİK).</w:t>
      </w:r>
    </w:p>
    <w:p w14:paraId="0535D011" w14:textId="0D0FA733"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Integration has been established with the General Directorate of Mining and Petroleum Affairs (MAPEG).</w:t>
      </w:r>
    </w:p>
    <w:p w14:paraId="664E0390" w14:textId="24A83380" w:rsidR="002C3099" w:rsidRPr="008902F2" w:rsidRDefault="6F691FB8" w:rsidP="6F691FB8">
      <w:pPr>
        <w:pStyle w:val="Balk2"/>
        <w:tabs>
          <w:tab w:val="left" w:pos="567"/>
        </w:tabs>
        <w:spacing w:before="0"/>
        <w:rPr>
          <w:rFonts w:ascii="Times New Roman" w:eastAsia="Calibri" w:hAnsi="Times New Roman" w:cs="Times New Roman"/>
          <w:szCs w:val="22"/>
        </w:rPr>
      </w:pPr>
      <w:bookmarkStart w:id="174" w:name="_Toc143113457"/>
      <w:r w:rsidRPr="008902F2">
        <w:rPr>
          <w:rFonts w:ascii="Times New Roman" w:eastAsia="Calibri" w:hAnsi="Times New Roman" w:cs="Times New Roman"/>
          <w:szCs w:val="22"/>
        </w:rPr>
        <w:t>5.</w:t>
      </w:r>
      <w:r w:rsidR="6EFBEF05" w:rsidRPr="008902F2">
        <w:rPr>
          <w:rFonts w:ascii="Times New Roman" w:eastAsia="Calibri" w:hAnsi="Times New Roman" w:cs="Times New Roman"/>
          <w:szCs w:val="22"/>
        </w:rPr>
        <w:t xml:space="preserve">9. </w:t>
      </w:r>
      <w:r w:rsidR="57D1B67E" w:rsidRPr="008902F2">
        <w:rPr>
          <w:rFonts w:ascii="Times New Roman" w:eastAsia="Calibri" w:hAnsi="Times New Roman" w:cs="Times New Roman"/>
          <w:szCs w:val="22"/>
        </w:rPr>
        <w:t>Energy Market Notification System (EBIS)</w:t>
      </w:r>
      <w:bookmarkEnd w:id="174"/>
    </w:p>
    <w:p w14:paraId="3489C894" w14:textId="34CDD855" w:rsidR="002C3099" w:rsidRPr="008902F2" w:rsidRDefault="57D1B67E" w:rsidP="6F691FB8">
      <w:pPr>
        <w:rPr>
          <w:rFonts w:ascii="Times New Roman" w:hAnsi="Times New Roman"/>
          <w:color w:val="000000" w:themeColor="text1"/>
        </w:rPr>
      </w:pPr>
      <w:r w:rsidRPr="008902F2">
        <w:rPr>
          <w:rFonts w:ascii="Times New Roman" w:hAnsi="Times New Roman"/>
          <w:color w:val="000000" w:themeColor="text1"/>
        </w:rPr>
        <w:t xml:space="preserve">EBİS software development has been carried out by institution personnel in alignment with requests from various units. Data received through the notification system is utilized in the preparation of annual and monthly sector reports published by the institution. These reports are subsequently published on the institution's official website. As part of efforts to reduce bureaucracy and within the framework of the Digital </w:t>
      </w:r>
      <w:r w:rsidR="00454819" w:rsidRPr="008902F2">
        <w:rPr>
          <w:rFonts w:ascii="Times New Roman" w:hAnsi="Times New Roman"/>
          <w:color w:val="000000" w:themeColor="text1"/>
        </w:rPr>
        <w:t>Türkiye</w:t>
      </w:r>
      <w:r w:rsidRPr="008902F2">
        <w:rPr>
          <w:rFonts w:ascii="Times New Roman" w:hAnsi="Times New Roman"/>
          <w:color w:val="000000" w:themeColor="text1"/>
        </w:rPr>
        <w:t xml:space="preserve"> initiative, data required for monitoring processes such as Subscription Application, Termination Application, and Debt Inquiry for Electricity and Natural Gas subscribers are now being collected through the notification systems. These data are regularly transmitted to the Presidency.</w:t>
      </w:r>
    </w:p>
    <w:p w14:paraId="5FEF48D1" w14:textId="202EC28F" w:rsidR="002C3099" w:rsidRPr="008902F2" w:rsidRDefault="002C3099" w:rsidP="6F691FB8">
      <w:pPr>
        <w:spacing w:after="240"/>
        <w:rPr>
          <w:rFonts w:ascii="Times New Roman" w:hAnsi="Times New Roman"/>
        </w:rPr>
      </w:pPr>
    </w:p>
    <w:p w14:paraId="24D94E1B" w14:textId="77777777" w:rsidR="002C3099" w:rsidRPr="008902F2" w:rsidRDefault="002C3099" w:rsidP="007E5AE9">
      <w:pPr>
        <w:spacing w:after="240"/>
        <w:rPr>
          <w:rFonts w:ascii="Times New Roman" w:hAnsi="Times New Roman"/>
          <w:highlight w:val="yellow"/>
        </w:rPr>
      </w:pPr>
    </w:p>
    <w:p w14:paraId="3458ED80" w14:textId="269D152F" w:rsidR="002C3099" w:rsidRPr="008902F2" w:rsidRDefault="71221A60" w:rsidP="00A86526">
      <w:pPr>
        <w:pStyle w:val="Balk1"/>
        <w:numPr>
          <w:ilvl w:val="0"/>
          <w:numId w:val="27"/>
        </w:numPr>
        <w:rPr>
          <w:rFonts w:ascii="Times New Roman" w:hAnsi="Times New Roman" w:cs="Times New Roman"/>
          <w:szCs w:val="22"/>
        </w:rPr>
      </w:pPr>
      <w:bookmarkStart w:id="175" w:name="_Toc143113458"/>
      <w:r w:rsidRPr="008902F2">
        <w:rPr>
          <w:rFonts w:ascii="Times New Roman" w:hAnsi="Times New Roman" w:cs="Times New Roman"/>
          <w:szCs w:val="22"/>
        </w:rPr>
        <w:lastRenderedPageBreak/>
        <w:t>AUDIT</w:t>
      </w:r>
      <w:bookmarkEnd w:id="175"/>
    </w:p>
    <w:p w14:paraId="5176EA62" w14:textId="641C0BDB"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The Authority is authorized to conduct inspections in energy markets within the scope of Laws 4628, 4646, 5015, 5307 and 6446. İn this framework, four separate regulations on the procedures and principles to be followed in the audits to be carried out in the electricity, natural gas, petroleum and LPG markets and the preliminary research and investigations have determined how the audits and investigations will be conducted.</w:t>
      </w:r>
    </w:p>
    <w:p w14:paraId="6E8752FD" w14:textId="4E93CF6A" w:rsidR="002C3099" w:rsidRPr="008902F2" w:rsidRDefault="002C3099" w:rsidP="6F691FB8">
      <w:pPr>
        <w:rPr>
          <w:rFonts w:ascii="Times New Roman" w:hAnsi="Times New Roman"/>
          <w:color w:val="000000" w:themeColor="text1"/>
        </w:rPr>
      </w:pPr>
    </w:p>
    <w:p w14:paraId="183031D6" w14:textId="42CCD9EF"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Board may decide, ex officio or upon notifications or complaints received, to initiate a direct investigation or to conduct a preliminary investigation to determine whether it is necessary to open an investigation due to the activities and transactions of real or legal persons operating in the market that are contrary to the provisions of the relevant legislation. Accordingly, the necessary amendments were made to the regulations on the execution of auditing, preliminary research and investigation activities to be carried out in the electricity, natural gas, petroleum and LPG markets after the Electricity Market Law No. 6719 and the Law on Amendments to Some Laws, and these regulations entered into force by being published in the Official Gazette No. 29938 dated January 4, 2017. With the amendments made, the Board has transferred its authority to initiate preliminary research and investigation to the Presidency.</w:t>
      </w:r>
    </w:p>
    <w:p w14:paraId="15EC3A6D" w14:textId="795A28BB"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Authority audits market activities through its own personnel or service procurement from public authorities and organizations and private auditing firms.</w:t>
      </w:r>
    </w:p>
    <w:p w14:paraId="30E7138F" w14:textId="1FD72995"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Audit activities carried out on behalf of the Authority by the relevant organizations within the scope of Cooperation Protocols Regarding Audits in the Petroleum Market and LPG Market continued intensively in 2022 as well.</w:t>
      </w:r>
    </w:p>
    <w:p w14:paraId="7A6CF071" w14:textId="7F63A428" w:rsidR="002C3099" w:rsidRPr="008902F2" w:rsidRDefault="001512C2" w:rsidP="00133D16">
      <w:pPr>
        <w:pStyle w:val="Balk2"/>
        <w:rPr>
          <w:rFonts w:ascii="Times New Roman" w:hAnsi="Times New Roman" w:cs="Times New Roman"/>
          <w:color w:val="000000" w:themeColor="text1"/>
        </w:rPr>
      </w:pPr>
      <w:bookmarkStart w:id="176" w:name="_Toc143113459"/>
      <w:r w:rsidRPr="008902F2">
        <w:rPr>
          <w:rFonts w:ascii="Times New Roman" w:hAnsi="Times New Roman" w:cs="Times New Roman"/>
          <w:color w:val="000000" w:themeColor="text1"/>
        </w:rPr>
        <w:t xml:space="preserve">6.1 </w:t>
      </w:r>
      <w:r w:rsidRPr="008902F2">
        <w:rPr>
          <w:rFonts w:ascii="Times New Roman" w:hAnsi="Times New Roman" w:cs="Times New Roman"/>
        </w:rPr>
        <w:t>Electricity Market Audit Activities</w:t>
      </w:r>
      <w:bookmarkEnd w:id="176"/>
    </w:p>
    <w:p w14:paraId="13E68A42" w14:textId="5F234BD1"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With the Law No. 7257, titled 'Law Amending the Electricity Market Law and Some Other Laws,' published and enforced in the Official Gazette dated 02.12.2020 and numbered 31322, an amendment was made to Article 15 of the Electricity Market Law No. 6446. According to this amendment, the supervision of electricity distribution companies will be carried out by the Ministry of Energy and Natural Resources (the Ministry), and the Ministry is authorized to conduct the supervision activity together with specialized public institutions and organizations, including our institution (referring to an organization, not specified in the text), in this regard. The Ministry is also entitled to delegate its authority partially or entirely to these institutions and organizations.</w:t>
      </w:r>
    </w:p>
    <w:p w14:paraId="136144C9" w14:textId="150E01DB"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With the Ministerial Decree numbered 51663 and dated 09.03.2021, it has been decided that the inspection of electricity distribution companies regarding their operations and procedures related to the following areas shall be carried out by the Regulatory Authority and the Turkish Electricity Distribution Corporation (TEDAŞ);</w:t>
      </w:r>
    </w:p>
    <w:p w14:paraId="040368E8" w14:textId="550147BA" w:rsidR="002C3099" w:rsidRPr="008902F2" w:rsidRDefault="71221A60" w:rsidP="00A86526">
      <w:pPr>
        <w:pStyle w:val="ListeParagraf"/>
        <w:numPr>
          <w:ilvl w:val="0"/>
          <w:numId w:val="7"/>
        </w:numPr>
        <w:spacing w:after="160" w:line="259" w:lineRule="auto"/>
        <w:rPr>
          <w:rFonts w:ascii="Times New Roman" w:hAnsi="Times New Roman"/>
          <w:color w:val="000000" w:themeColor="text1"/>
        </w:rPr>
      </w:pPr>
      <w:r w:rsidRPr="008902F2">
        <w:rPr>
          <w:rFonts w:ascii="Times New Roman" w:hAnsi="Times New Roman"/>
          <w:color w:val="000000" w:themeColor="text1"/>
        </w:rPr>
        <w:t>Activities concerning users, applications related to consumer services, and procedures concerning consumer complaints,</w:t>
      </w:r>
    </w:p>
    <w:p w14:paraId="546D3380" w14:textId="0F41AE9C" w:rsidR="002C3099" w:rsidRPr="008902F2" w:rsidRDefault="71221A60" w:rsidP="00A86526">
      <w:pPr>
        <w:pStyle w:val="ListeParagraf"/>
        <w:numPr>
          <w:ilvl w:val="0"/>
          <w:numId w:val="7"/>
        </w:numPr>
        <w:spacing w:after="160" w:line="259" w:lineRule="auto"/>
        <w:rPr>
          <w:rFonts w:ascii="Times New Roman" w:hAnsi="Times New Roman"/>
          <w:color w:val="000000" w:themeColor="text1"/>
        </w:rPr>
      </w:pPr>
      <w:r w:rsidRPr="008902F2">
        <w:rPr>
          <w:rFonts w:ascii="Times New Roman" w:hAnsi="Times New Roman"/>
          <w:color w:val="000000" w:themeColor="text1"/>
        </w:rPr>
        <w:t>Financial matters, including all fees collected from users, applications within the scope of tariffs, revenue and expense accounts, investment accounts, accounts related to mandatory funds, shares, and similar deductions, and procedures related to insurance applications,</w:t>
      </w:r>
    </w:p>
    <w:p w14:paraId="57C17A9A" w14:textId="459CEA3A" w:rsidR="002C3099" w:rsidRPr="008902F2" w:rsidRDefault="71221A60" w:rsidP="00A86526">
      <w:pPr>
        <w:pStyle w:val="ListeParagraf"/>
        <w:numPr>
          <w:ilvl w:val="0"/>
          <w:numId w:val="7"/>
        </w:numPr>
        <w:spacing w:after="160" w:line="259" w:lineRule="auto"/>
        <w:rPr>
          <w:rFonts w:ascii="Times New Roman" w:hAnsi="Times New Roman"/>
          <w:color w:val="000000" w:themeColor="text1"/>
        </w:rPr>
      </w:pPr>
      <w:r w:rsidRPr="008902F2">
        <w:rPr>
          <w:rFonts w:ascii="Times New Roman" w:hAnsi="Times New Roman"/>
          <w:color w:val="000000" w:themeColor="text1"/>
        </w:rPr>
        <w:t>Activities related to procurement and sales, all purchases or sales of goods and services, and procedures related to investment tenders,</w:t>
      </w:r>
    </w:p>
    <w:p w14:paraId="48606275" w14:textId="7F60953A" w:rsidR="002C3099" w:rsidRPr="008902F2" w:rsidRDefault="71221A60" w:rsidP="00A86526">
      <w:pPr>
        <w:pStyle w:val="ListeParagraf"/>
        <w:numPr>
          <w:ilvl w:val="0"/>
          <w:numId w:val="7"/>
        </w:numPr>
        <w:spacing w:after="160" w:line="259" w:lineRule="auto"/>
        <w:rPr>
          <w:rFonts w:ascii="Times New Roman" w:hAnsi="Times New Roman"/>
          <w:color w:val="000000" w:themeColor="text1"/>
        </w:rPr>
      </w:pPr>
      <w:r w:rsidRPr="008902F2">
        <w:rPr>
          <w:rFonts w:ascii="Times New Roman" w:hAnsi="Times New Roman"/>
          <w:color w:val="000000" w:themeColor="text1"/>
        </w:rPr>
        <w:t>Legal processes, determination of the status and subjects of legal processes arising from the practices of companies involving legal entities with licenses, customers, public institutions, and other organizations,</w:t>
      </w:r>
    </w:p>
    <w:p w14:paraId="4FF00BD8" w14:textId="2C9074F0" w:rsidR="002C3099" w:rsidRPr="008902F2" w:rsidRDefault="71221A60" w:rsidP="00A86526">
      <w:pPr>
        <w:pStyle w:val="ListeParagraf"/>
        <w:numPr>
          <w:ilvl w:val="0"/>
          <w:numId w:val="7"/>
        </w:numPr>
        <w:spacing w:after="160" w:line="259" w:lineRule="auto"/>
        <w:rPr>
          <w:rFonts w:ascii="Times New Roman" w:hAnsi="Times New Roman"/>
          <w:color w:val="000000" w:themeColor="text1"/>
        </w:rPr>
      </w:pPr>
      <w:r w:rsidRPr="008902F2">
        <w:rPr>
          <w:rFonts w:ascii="Times New Roman" w:hAnsi="Times New Roman"/>
          <w:color w:val="000000" w:themeColor="text1"/>
        </w:rPr>
        <w:t>Other matters that may need to be examined within the scope of relevant legislation when deemed necessary.</w:t>
      </w:r>
    </w:p>
    <w:p w14:paraId="2DEA731F" w14:textId="5569DC57"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lastRenderedPageBreak/>
        <w:t>it has been decided that periodic inspections related to these matters shall be carried out by the Regulatory Authority for all electricity distribution companies.</w:t>
      </w:r>
    </w:p>
    <w:p w14:paraId="37E49EFB" w14:textId="31976BDD" w:rsidR="002C3099" w:rsidRPr="008902F2" w:rsidRDefault="002C3099" w:rsidP="6F691FB8">
      <w:pPr>
        <w:spacing w:after="0"/>
        <w:rPr>
          <w:rFonts w:ascii="Times New Roman" w:hAnsi="Times New Roman"/>
          <w:color w:val="000000" w:themeColor="text1"/>
        </w:rPr>
      </w:pPr>
    </w:p>
    <w:p w14:paraId="05C9E326" w14:textId="55F94F04"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In this context, inspections in the 21 electricity distribution companies across the country, regarding the subject headings mentioned above, which started on 15.08.2022 according to the Presidential Decree numbered 504452 and dated 10.08.2022, have been completed on 06.11.2022. Following the completion of the inspections, the writing phase of the inspection reports has begun, and based on the findings and determinations made, investigation processes are planned to be initiated within the year 2023.</w:t>
      </w:r>
    </w:p>
    <w:p w14:paraId="1551DBAE" w14:textId="2F18A71A" w:rsidR="002C3099" w:rsidRPr="008902F2" w:rsidRDefault="002C3099" w:rsidP="6F691FB8">
      <w:pPr>
        <w:spacing w:after="0"/>
        <w:rPr>
          <w:rFonts w:ascii="Times New Roman" w:hAnsi="Times New Roman"/>
          <w:color w:val="000000" w:themeColor="text1"/>
        </w:rPr>
      </w:pPr>
    </w:p>
    <w:p w14:paraId="47126208" w14:textId="3E70DB87"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As a result of the inspections and investigations carried out in the electricity market, sanctions and penalties under Article 16 of the Electricity Market Law No. 6446 are applied.</w:t>
      </w:r>
    </w:p>
    <w:p w14:paraId="1BF03154" w14:textId="5B2FFB1C" w:rsidR="002C3099" w:rsidRPr="008902F2" w:rsidRDefault="002C3099" w:rsidP="6F691FB8">
      <w:pPr>
        <w:spacing w:after="0"/>
        <w:rPr>
          <w:rFonts w:ascii="Times New Roman" w:hAnsi="Times New Roman"/>
          <w:color w:val="000000" w:themeColor="text1"/>
        </w:rPr>
      </w:pPr>
    </w:p>
    <w:p w14:paraId="40FB30C3" w14:textId="525F15C5"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In 2022, new investigation processes have been initiated against 105 license holders who have been evaluated to be in violation of Law No. 6446 on the Electricity Market and the secondary legislation prepared under this Law, due to actions and transactions deemed non-compliant. Throughout the year, a total of 43 warning sanctions and 38 administrative fines, amounting to 42,982,836 TL in total, have been imposed on 29 different license holders as a result of investigations conducted both within the year and those initiated in the previous year and concluded within 2022.</w:t>
      </w:r>
    </w:p>
    <w:p w14:paraId="48EB23B1" w14:textId="1EB292DE" w:rsidR="002C3099" w:rsidRPr="008902F2" w:rsidRDefault="002C3099" w:rsidP="6F691FB8">
      <w:pPr>
        <w:spacing w:after="0"/>
        <w:rPr>
          <w:rFonts w:ascii="Times New Roman" w:hAnsi="Times New Roman"/>
          <w:color w:val="000000" w:themeColor="text1"/>
        </w:rPr>
      </w:pPr>
    </w:p>
    <w:p w14:paraId="020F208E" w14:textId="625E7D52" w:rsidR="002C3099" w:rsidRPr="008902F2" w:rsidRDefault="00F52D5E" w:rsidP="00F52D5E">
      <w:pPr>
        <w:pStyle w:val="Balk2"/>
        <w:rPr>
          <w:rFonts w:ascii="Times New Roman" w:hAnsi="Times New Roman" w:cs="Times New Roman"/>
          <w:szCs w:val="22"/>
        </w:rPr>
      </w:pPr>
      <w:bookmarkStart w:id="177" w:name="_Toc143113460"/>
      <w:r w:rsidRPr="008902F2">
        <w:rPr>
          <w:rFonts w:ascii="Times New Roman" w:hAnsi="Times New Roman" w:cs="Times New Roman"/>
          <w:szCs w:val="22"/>
        </w:rPr>
        <w:t>6.</w:t>
      </w:r>
      <w:r w:rsidR="00133D16" w:rsidRPr="008902F2">
        <w:rPr>
          <w:rFonts w:ascii="Times New Roman" w:hAnsi="Times New Roman" w:cs="Times New Roman"/>
          <w:szCs w:val="22"/>
        </w:rPr>
        <w:t>2</w:t>
      </w:r>
      <w:r w:rsidRPr="008902F2">
        <w:rPr>
          <w:rFonts w:ascii="Times New Roman" w:hAnsi="Times New Roman" w:cs="Times New Roman"/>
          <w:szCs w:val="22"/>
        </w:rPr>
        <w:t xml:space="preserve">. </w:t>
      </w:r>
      <w:r w:rsidR="71221A60" w:rsidRPr="008902F2">
        <w:rPr>
          <w:rFonts w:ascii="Times New Roman" w:hAnsi="Times New Roman" w:cs="Times New Roman"/>
          <w:szCs w:val="22"/>
        </w:rPr>
        <w:t>Naturel Gas Market Inspection and Audit Activities</w:t>
      </w:r>
      <w:bookmarkEnd w:id="177"/>
      <w:r w:rsidR="71221A60" w:rsidRPr="008902F2">
        <w:rPr>
          <w:rFonts w:ascii="Times New Roman" w:hAnsi="Times New Roman" w:cs="Times New Roman"/>
          <w:szCs w:val="22"/>
        </w:rPr>
        <w:t xml:space="preserve"> </w:t>
      </w:r>
    </w:p>
    <w:p w14:paraId="6867E5D7" w14:textId="55F4820E" w:rsidR="002C3099" w:rsidRPr="008902F2" w:rsidRDefault="00133D16" w:rsidP="00133D16">
      <w:pPr>
        <w:pStyle w:val="Balk3"/>
        <w:rPr>
          <w:rFonts w:ascii="Times New Roman" w:hAnsi="Times New Roman" w:cs="Times New Roman"/>
        </w:rPr>
      </w:pPr>
      <w:bookmarkStart w:id="178" w:name="_Toc143113461"/>
      <w:r w:rsidRPr="008902F2">
        <w:rPr>
          <w:rFonts w:ascii="Times New Roman" w:hAnsi="Times New Roman" w:cs="Times New Roman"/>
        </w:rPr>
        <w:t xml:space="preserve">6.2.1. </w:t>
      </w:r>
      <w:r w:rsidR="71221A60" w:rsidRPr="008902F2">
        <w:rPr>
          <w:rFonts w:ascii="Times New Roman" w:hAnsi="Times New Roman" w:cs="Times New Roman"/>
        </w:rPr>
        <w:t>5-Year Investment Obligations of Natural Gas Distribution Companies</w:t>
      </w:r>
      <w:bookmarkEnd w:id="178"/>
      <w:r w:rsidR="71221A60" w:rsidRPr="008902F2">
        <w:rPr>
          <w:rFonts w:ascii="Times New Roman" w:hAnsi="Times New Roman" w:cs="Times New Roman"/>
        </w:rPr>
        <w:t xml:space="preserve"> </w:t>
      </w:r>
    </w:p>
    <w:p w14:paraId="4D30A69C" w14:textId="4337A86B"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According to the results of the "Natural Gas Distribution License Tender" conducted separately for each distribution region by the regulatory authority, all distribution companies that have been awarded the license have a 5-year investment obligation within the scope of the distribution license, the tender specifications, and relevant legislation.</w:t>
      </w:r>
    </w:p>
    <w:p w14:paraId="306A6575" w14:textId="3889DAC3"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5 (five) year investment within the framework of the fifth paragraph of subparagraph (g) of the fourth paragraph of the 4th article of the Natural Gas Market Law No. 4646, the 30th article of the Natural Gas Market Distribution and Customer Services Regulation and the relevant article of the "General Provisions" section of the licensees of the licensee distribution companies. Board Decision dated 29.01.2009 and numbered 1955 was taken to determine whether the obligations were fulfilled. Within the framework of the relevant Board Decisions, for the monitoring and examination of the 5-year investment obligations of natural gas distribution companies on behalf of the Authority, İstanbul Uygulamalı Gaz ve Enerji Teknolojileri Araştırma Mühendislik Sanayi Ticaret A.Ş. (UGETAM) and S&amp;Q Mart Kalite Güvenlik Sanayi ve Ticaret A.Ş. (S&amp;Q MART) and Elektrik Tesisleri Mühendislik Müteahhitlik Danişmanlik ve Ticaret A.Ş. (ELTEM-TEK) are authorized.</w:t>
      </w:r>
    </w:p>
    <w:p w14:paraId="7990F523" w14:textId="2C2DA976"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With the Board Decisions dated 05.07.2011 and numbered 3303-4 and dated 18.04.2012 and numbered 3783-2, the regulation regarding the examination of the investments that could not be made due to force majeure reasons not arising from the natural gas distribution companies within the scope of their 5-year investment obligations, also within the framework of the Board Decision dated 08.01.2015 and numbered 5409-5, a regulation was made to determine the current status of the investments that appear as force majeure in the 5-year investment liability reports.</w:t>
      </w:r>
    </w:p>
    <w:p w14:paraId="68448BE2" w14:textId="72D53517" w:rsidR="002C3099" w:rsidRPr="008902F2" w:rsidRDefault="002C3099" w:rsidP="6F691FB8">
      <w:pPr>
        <w:spacing w:after="0"/>
        <w:rPr>
          <w:rFonts w:ascii="Times New Roman" w:hAnsi="Times New Roman"/>
          <w:color w:val="000000" w:themeColor="text1"/>
        </w:rPr>
      </w:pPr>
    </w:p>
    <w:p w14:paraId="344D2742" w14:textId="3238F63D"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Within the framework of the authorization made for the scope and reporting determined for the said studies, the aforementioned reports are examined by the Commission established within the Authority and the matters that are considered to be against the legislation as a result of the Commission's examinations are referred to the Audit Department.</w:t>
      </w:r>
    </w:p>
    <w:p w14:paraId="0417033D" w14:textId="502FDA55" w:rsidR="002C3099" w:rsidRPr="008902F2" w:rsidRDefault="002C3099" w:rsidP="6F691FB8">
      <w:pPr>
        <w:spacing w:after="0"/>
        <w:rPr>
          <w:rFonts w:ascii="Times New Roman" w:hAnsi="Times New Roman"/>
          <w:color w:val="000000" w:themeColor="text1"/>
        </w:rPr>
      </w:pPr>
    </w:p>
    <w:p w14:paraId="5BA00576" w14:textId="1F906D13"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lastRenderedPageBreak/>
        <w:t>On the other hand, within the scope of Article 70 of the Natural Gas Market Distribution and Customer Services Regulation, the companies authorized/to be authorized by the Board Decision dated 29/01/2009 and numbered 1955-1, in order to examine the temporary liabilities of the cities included in the distribution region of natural gas distribution companies through expansion. Board Decision dated 24/10/2019 and numbered 8900 was taken regarding the examination of the issues within the scope of the Board Decision and the evaluation of the audit reports to be prepared by the Natural Gas Market Department.</w:t>
      </w:r>
    </w:p>
    <w:p w14:paraId="21D8C16C" w14:textId="7CD7DD03" w:rsidR="002C3099" w:rsidRPr="008902F2" w:rsidRDefault="002C3099" w:rsidP="6F691FB8">
      <w:pPr>
        <w:spacing w:after="0"/>
        <w:rPr>
          <w:rFonts w:ascii="Times New Roman" w:hAnsi="Times New Roman"/>
          <w:color w:val="000000" w:themeColor="text1"/>
        </w:rPr>
      </w:pPr>
    </w:p>
    <w:p w14:paraId="5CAE86F2" w14:textId="38374B65"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In accordance with the aforementioned Board Decision, the inspections in the expansion areas are continuing by the authorized companies UGETAM, S&amp;Q MART and ELTEM-TEK and the completed inspection reports are submitted to the Authority.</w:t>
      </w:r>
    </w:p>
    <w:p w14:paraId="7B7FD943" w14:textId="4ECECA42" w:rsidR="002C3099" w:rsidRPr="008902F2" w:rsidRDefault="002C3099" w:rsidP="6F691FB8">
      <w:pPr>
        <w:spacing w:after="120"/>
        <w:rPr>
          <w:rFonts w:ascii="Times New Roman" w:hAnsi="Times New Roman"/>
          <w:color w:val="000000" w:themeColor="text1"/>
        </w:rPr>
      </w:pPr>
    </w:p>
    <w:p w14:paraId="2E0B69AB" w14:textId="2764476D" w:rsidR="002C3099" w:rsidRPr="008902F2" w:rsidRDefault="00514000" w:rsidP="00133D16">
      <w:pPr>
        <w:pStyle w:val="Balk3"/>
        <w:rPr>
          <w:rFonts w:ascii="Times New Roman" w:hAnsi="Times New Roman" w:cs="Times New Roman"/>
        </w:rPr>
      </w:pPr>
      <w:bookmarkStart w:id="179" w:name="_Toc143113462"/>
      <w:r w:rsidRPr="008902F2">
        <w:rPr>
          <w:rFonts w:ascii="Times New Roman" w:hAnsi="Times New Roman" w:cs="Times New Roman"/>
        </w:rPr>
        <w:t>6.2.</w:t>
      </w:r>
      <w:r w:rsidR="00133D16" w:rsidRPr="008902F2">
        <w:rPr>
          <w:rFonts w:ascii="Times New Roman" w:hAnsi="Times New Roman" w:cs="Times New Roman"/>
        </w:rPr>
        <w:t>2.</w:t>
      </w:r>
      <w:r w:rsidRPr="008902F2">
        <w:rPr>
          <w:rFonts w:ascii="Times New Roman" w:hAnsi="Times New Roman" w:cs="Times New Roman"/>
        </w:rPr>
        <w:t xml:space="preserve"> </w:t>
      </w:r>
      <w:r w:rsidR="71221A60" w:rsidRPr="008902F2">
        <w:rPr>
          <w:rFonts w:ascii="Times New Roman" w:hAnsi="Times New Roman" w:cs="Times New Roman"/>
        </w:rPr>
        <w:t>Natural Gas Market Audit Activities</w:t>
      </w:r>
      <w:bookmarkEnd w:id="179"/>
    </w:p>
    <w:p w14:paraId="1EF9B967" w14:textId="15C168C0"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According to the audit activities carried out for the natural gas market in 2022, the following actions have been taken against license and certificate holders:</w:t>
      </w:r>
    </w:p>
    <w:p w14:paraId="1FFB82BB" w14:textId="7B634B69" w:rsidR="002C3099" w:rsidRPr="008902F2" w:rsidRDefault="71221A60" w:rsidP="00A86526">
      <w:pPr>
        <w:pStyle w:val="ListeParagraf"/>
        <w:numPr>
          <w:ilvl w:val="0"/>
          <w:numId w:val="6"/>
        </w:numPr>
        <w:rPr>
          <w:rFonts w:ascii="Times New Roman" w:hAnsi="Times New Roman"/>
          <w:color w:val="000000" w:themeColor="text1"/>
        </w:rPr>
      </w:pPr>
      <w:r w:rsidRPr="008902F2">
        <w:rPr>
          <w:rFonts w:ascii="Times New Roman" w:hAnsi="Times New Roman"/>
          <w:color w:val="000000" w:themeColor="text1"/>
        </w:rPr>
        <w:t>A total of 154 investigations were conducted, including 117 new investigations initiated in 2022 and 37 ongoing investigations from previous years. Out of these, 118 investigations were concluded, and 36 investigations have been carried over to 2023 for further processing.</w:t>
      </w:r>
    </w:p>
    <w:p w14:paraId="02490D11" w14:textId="48E07DBA" w:rsidR="002C3099" w:rsidRPr="008902F2" w:rsidRDefault="71221A60" w:rsidP="00A86526">
      <w:pPr>
        <w:pStyle w:val="ListeParagraf"/>
        <w:numPr>
          <w:ilvl w:val="0"/>
          <w:numId w:val="6"/>
        </w:numPr>
        <w:spacing w:after="0"/>
        <w:rPr>
          <w:rFonts w:ascii="Times New Roman" w:hAnsi="Times New Roman"/>
          <w:color w:val="000000" w:themeColor="text1"/>
        </w:rPr>
      </w:pPr>
      <w:r w:rsidRPr="008902F2">
        <w:rPr>
          <w:rFonts w:ascii="Times New Roman" w:hAnsi="Times New Roman"/>
          <w:color w:val="000000" w:themeColor="text1"/>
        </w:rPr>
        <w:t>91 investigations were concluded by issuing warnings to license and certificate holders to comply with the relevant regulations in the future.</w:t>
      </w:r>
    </w:p>
    <w:p w14:paraId="7B0C934B" w14:textId="11DC5DFD" w:rsidR="002C3099" w:rsidRPr="008902F2" w:rsidRDefault="71221A60" w:rsidP="00A86526">
      <w:pPr>
        <w:pStyle w:val="ListeParagraf"/>
        <w:numPr>
          <w:ilvl w:val="0"/>
          <w:numId w:val="6"/>
        </w:numPr>
        <w:spacing w:after="0" w:line="240" w:lineRule="auto"/>
        <w:rPr>
          <w:rFonts w:ascii="Times New Roman" w:hAnsi="Times New Roman"/>
          <w:color w:val="000000" w:themeColor="text1"/>
        </w:rPr>
      </w:pPr>
      <w:r w:rsidRPr="008902F2">
        <w:rPr>
          <w:rFonts w:ascii="Times New Roman" w:hAnsi="Times New Roman"/>
          <w:color w:val="000000" w:themeColor="text1"/>
        </w:rPr>
        <w:t>In 2 investigations, licenses of individuals were canceled.</w:t>
      </w:r>
    </w:p>
    <w:p w14:paraId="5761C1A2" w14:textId="54F57371" w:rsidR="002C3099" w:rsidRPr="008902F2" w:rsidRDefault="002C3099" w:rsidP="6F691FB8">
      <w:pPr>
        <w:spacing w:after="0"/>
        <w:ind w:left="284"/>
        <w:contextualSpacing/>
        <w:rPr>
          <w:rFonts w:ascii="Times New Roman" w:hAnsi="Times New Roman"/>
          <w:color w:val="000000" w:themeColor="text1"/>
        </w:rPr>
      </w:pPr>
    </w:p>
    <w:p w14:paraId="47DDEC53" w14:textId="42668530" w:rsidR="002C3099" w:rsidRPr="008902F2" w:rsidRDefault="71221A60" w:rsidP="00A86526">
      <w:pPr>
        <w:pStyle w:val="ListeParagraf"/>
        <w:numPr>
          <w:ilvl w:val="0"/>
          <w:numId w:val="6"/>
        </w:numPr>
        <w:spacing w:after="0"/>
        <w:rPr>
          <w:rFonts w:ascii="Times New Roman" w:hAnsi="Times New Roman"/>
          <w:color w:val="000000" w:themeColor="text1"/>
        </w:rPr>
      </w:pPr>
      <w:r w:rsidRPr="008902F2">
        <w:rPr>
          <w:rFonts w:ascii="Times New Roman" w:hAnsi="Times New Roman"/>
          <w:color w:val="000000" w:themeColor="text1"/>
        </w:rPr>
        <w:t>2 In 23 investigations, individuals holding Internal Installation and Service Lines Certificates were warned due to actions that jeopardized safety, and their relevant certificates were canceled.</w:t>
      </w:r>
    </w:p>
    <w:p w14:paraId="1AAE0F41" w14:textId="74A808FC" w:rsidR="002C3099" w:rsidRPr="008902F2" w:rsidRDefault="71221A60" w:rsidP="00A86526">
      <w:pPr>
        <w:pStyle w:val="ListeParagraf"/>
        <w:numPr>
          <w:ilvl w:val="0"/>
          <w:numId w:val="6"/>
        </w:numPr>
        <w:spacing w:after="0"/>
        <w:rPr>
          <w:rFonts w:ascii="Times New Roman" w:hAnsi="Times New Roman"/>
          <w:color w:val="000000" w:themeColor="text1"/>
        </w:rPr>
      </w:pPr>
      <w:r w:rsidRPr="008902F2">
        <w:rPr>
          <w:rFonts w:ascii="Times New Roman" w:hAnsi="Times New Roman"/>
          <w:color w:val="000000" w:themeColor="text1"/>
        </w:rPr>
        <w:t>In 1 investigation, an administrative fine was imposed on an individual holding an Internal Installation and Service Lines Certificate.</w:t>
      </w:r>
    </w:p>
    <w:p w14:paraId="7FCD4F5C" w14:textId="202B6CE1" w:rsidR="002C3099" w:rsidRPr="008902F2" w:rsidRDefault="71221A60" w:rsidP="00A86526">
      <w:pPr>
        <w:pStyle w:val="ListeParagraf"/>
        <w:numPr>
          <w:ilvl w:val="0"/>
          <w:numId w:val="6"/>
        </w:numPr>
        <w:rPr>
          <w:rFonts w:ascii="Times New Roman" w:hAnsi="Times New Roman"/>
          <w:color w:val="000000" w:themeColor="text1"/>
        </w:rPr>
      </w:pPr>
      <w:r w:rsidRPr="008902F2">
        <w:rPr>
          <w:rFonts w:ascii="Times New Roman" w:hAnsi="Times New Roman"/>
          <w:color w:val="000000" w:themeColor="text1"/>
        </w:rPr>
        <w:t>1 investigation was concluded without imposing any administrative sanctions on the individual.</w:t>
      </w:r>
    </w:p>
    <w:p w14:paraId="4C6D0170" w14:textId="79795B43" w:rsidR="002C3099" w:rsidRPr="008902F2" w:rsidRDefault="002C3099" w:rsidP="6F691FB8">
      <w:pPr>
        <w:ind w:left="720"/>
        <w:rPr>
          <w:rFonts w:ascii="Times New Roman" w:hAnsi="Times New Roman"/>
          <w:color w:val="000000" w:themeColor="text1"/>
        </w:rPr>
      </w:pPr>
    </w:p>
    <w:p w14:paraId="5DD2FABA" w14:textId="77777777" w:rsidR="00FF727D" w:rsidRPr="008902F2" w:rsidRDefault="00FF727D" w:rsidP="6F691FB8">
      <w:pPr>
        <w:ind w:left="720"/>
        <w:rPr>
          <w:rFonts w:ascii="Times New Roman" w:hAnsi="Times New Roman"/>
          <w:color w:val="000000" w:themeColor="text1"/>
        </w:rPr>
      </w:pPr>
    </w:p>
    <w:p w14:paraId="780907A4" w14:textId="77777777" w:rsidR="00FF727D" w:rsidRPr="008902F2" w:rsidRDefault="00FF727D" w:rsidP="6F691FB8">
      <w:pPr>
        <w:ind w:left="720"/>
        <w:rPr>
          <w:rFonts w:ascii="Times New Roman" w:hAnsi="Times New Roman"/>
          <w:color w:val="000000" w:themeColor="text1"/>
        </w:rPr>
      </w:pPr>
    </w:p>
    <w:p w14:paraId="2709AD45" w14:textId="7434D818" w:rsidR="002C3099" w:rsidRPr="008902F2" w:rsidRDefault="00514000" w:rsidP="00514000">
      <w:pPr>
        <w:pStyle w:val="Balk2"/>
        <w:rPr>
          <w:rFonts w:ascii="Times New Roman" w:hAnsi="Times New Roman" w:cs="Times New Roman"/>
        </w:rPr>
      </w:pPr>
      <w:bookmarkStart w:id="180" w:name="_Toc143113463"/>
      <w:r w:rsidRPr="008902F2">
        <w:rPr>
          <w:rFonts w:ascii="Times New Roman" w:hAnsi="Times New Roman" w:cs="Times New Roman"/>
        </w:rPr>
        <w:t xml:space="preserve">6.3. </w:t>
      </w:r>
      <w:r w:rsidR="71221A60" w:rsidRPr="008902F2">
        <w:rPr>
          <w:rFonts w:ascii="Times New Roman" w:hAnsi="Times New Roman" w:cs="Times New Roman"/>
        </w:rPr>
        <w:t>Petroleum Market Audit Activities</w:t>
      </w:r>
      <w:bookmarkEnd w:id="180"/>
      <w:r w:rsidR="71221A60" w:rsidRPr="008902F2">
        <w:rPr>
          <w:rFonts w:ascii="Times New Roman" w:hAnsi="Times New Roman" w:cs="Times New Roman"/>
        </w:rPr>
        <w:t xml:space="preserve"> </w:t>
      </w:r>
    </w:p>
    <w:p w14:paraId="127CE3A6" w14:textId="35840465"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Petroleum market audits are the examination of the compliance of the market-related activities and accounts of the real or legal entities operating in the market with the provisions of the relevant legislation, and the investigation of the compliance of the petroleum and mineral oil supplied to the market with the technical regulations, in case of detection of errors, contradictions, irregularities and abuses, work carried out through the application of sanctions. Administrative fines and administrative sanctions are imposed as a result of the examination and inspection activities carried out for oil market activities.</w:t>
      </w:r>
    </w:p>
    <w:p w14:paraId="7C0B8F62" w14:textId="7DC9D6EF" w:rsidR="002C3099" w:rsidRPr="008902F2" w:rsidRDefault="002C3099" w:rsidP="6F691FB8">
      <w:pPr>
        <w:spacing w:after="0"/>
        <w:rPr>
          <w:rFonts w:ascii="Times New Roman" w:hAnsi="Times New Roman"/>
          <w:color w:val="000000" w:themeColor="text1"/>
        </w:rPr>
      </w:pPr>
    </w:p>
    <w:p w14:paraId="3012D564" w14:textId="587DA4B4"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 xml:space="preserve">Audits within the scope of Cooperation Protocols on Inspections in the Petroleum Market and LPG Market are carried out under the coordination of the Authority. In this context, the market activities to be audited, the date of the audit and the regions where the audit will be carried out are determined by the Authority, and within 1 (one) year from the Board Decision on this subject, the audit is planned jointly with the relevant stakeholders or the public institutions and organizations authorized by the audit are planned by these organizations in their own </w:t>
      </w:r>
      <w:r w:rsidRPr="008902F2">
        <w:rPr>
          <w:rFonts w:ascii="Times New Roman" w:hAnsi="Times New Roman"/>
          <w:color w:val="000000" w:themeColor="text1"/>
        </w:rPr>
        <w:lastRenderedPageBreak/>
        <w:t>regions of responsibility, Inspections of the owners, including the national marker, are carried out at least once a year.</w:t>
      </w:r>
    </w:p>
    <w:p w14:paraId="672480EE" w14:textId="77777777" w:rsidR="00133D16" w:rsidRPr="008902F2" w:rsidRDefault="00133D16" w:rsidP="6F691FB8">
      <w:pPr>
        <w:spacing w:after="0"/>
        <w:rPr>
          <w:rFonts w:ascii="Times New Roman" w:hAnsi="Times New Roman"/>
          <w:color w:val="000000" w:themeColor="text1"/>
        </w:rPr>
      </w:pPr>
    </w:p>
    <w:p w14:paraId="24B39FBE" w14:textId="2647E30F"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As a result of both findings and complaints, inspections have continued to be carried out by institutions and organizations authorized to conduct inspections on behalf of the Regulatory Authority. Specifically, inspections have been conducted by Provincial Gendarmerie Commands and Provincial Police Departments under the supervision of the Ministry of Trade and Prosecution for facilities engaged in illegal fuel sales through hidden tanks and mechanisms, especially outside the designated settlement areas. These inspections aim to identify illegal fuel sales activities and combat such practices.</w:t>
      </w:r>
    </w:p>
    <w:p w14:paraId="5DC267F2" w14:textId="77777777" w:rsidR="00514000" w:rsidRPr="008902F2" w:rsidRDefault="71221A60" w:rsidP="00514000">
      <w:pPr>
        <w:spacing w:after="0"/>
        <w:rPr>
          <w:rFonts w:ascii="Times New Roman" w:hAnsi="Times New Roman"/>
          <w:color w:val="000000" w:themeColor="text1"/>
        </w:rPr>
      </w:pPr>
      <w:r w:rsidRPr="008902F2">
        <w:rPr>
          <w:rFonts w:ascii="Times New Roman" w:hAnsi="Times New Roman"/>
          <w:color w:val="000000" w:themeColor="text1"/>
        </w:rPr>
        <w:t>Detailed data on the institutions with which the protocol is signed are shown in the tables below.</w:t>
      </w:r>
    </w:p>
    <w:p w14:paraId="43B7FD61" w14:textId="77777777" w:rsidR="00514000" w:rsidRPr="008902F2" w:rsidRDefault="00514000" w:rsidP="00514000">
      <w:pPr>
        <w:spacing w:after="0"/>
        <w:rPr>
          <w:rFonts w:ascii="Times New Roman" w:hAnsi="Times New Roman"/>
          <w:b/>
          <w:bCs/>
          <w:color w:val="000000" w:themeColor="text1"/>
        </w:rPr>
      </w:pPr>
    </w:p>
    <w:p w14:paraId="6460D33D" w14:textId="061A8DA1" w:rsidR="002C3099" w:rsidRPr="008902F2" w:rsidRDefault="71221A60" w:rsidP="00514000">
      <w:pPr>
        <w:spacing w:after="0"/>
        <w:jc w:val="center"/>
        <w:rPr>
          <w:rFonts w:ascii="Times New Roman" w:hAnsi="Times New Roman"/>
          <w:color w:val="000000" w:themeColor="text1"/>
        </w:rPr>
      </w:pPr>
      <w:r w:rsidRPr="008902F2">
        <w:rPr>
          <w:rFonts w:ascii="Times New Roman" w:hAnsi="Times New Roman"/>
          <w:b/>
          <w:bCs/>
          <w:color w:val="000000" w:themeColor="text1"/>
        </w:rPr>
        <w:t>Table 6.1: List of Vehicles of Protocolist Organizations in the Scope of the 2022 Audit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55"/>
        <w:gridCol w:w="1695"/>
      </w:tblGrid>
      <w:tr w:rsidR="6F691FB8" w:rsidRPr="008902F2" w14:paraId="217DABB3" w14:textId="77777777" w:rsidTr="6F691FB8">
        <w:trPr>
          <w:trHeight w:val="34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C2FC4B1" w14:textId="671A8EBC" w:rsidR="6F691FB8" w:rsidRPr="008902F2" w:rsidRDefault="6F691FB8" w:rsidP="6F691FB8">
            <w:pPr>
              <w:spacing w:after="0" w:line="240" w:lineRule="auto"/>
              <w:rPr>
                <w:rFonts w:ascii="Times New Roman" w:hAnsi="Times New Roman"/>
                <w:color w:val="FFFFFF" w:themeColor="background1"/>
              </w:rPr>
            </w:pPr>
            <w:r w:rsidRPr="008902F2">
              <w:rPr>
                <w:rFonts w:ascii="Times New Roman" w:hAnsi="Times New Roman"/>
                <w:b/>
                <w:bCs/>
                <w:color w:val="FFFFFF" w:themeColor="background1"/>
              </w:rPr>
              <w:t>Vehicle Information</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8801EFC" w14:textId="6DEFAA0F"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Vehicles Delivered</w:t>
            </w:r>
          </w:p>
        </w:tc>
      </w:tr>
      <w:tr w:rsidR="6F691FB8" w:rsidRPr="008902F2" w14:paraId="32931962"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77280A19" w14:textId="4E6FE5F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Ministry of Commerce</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F43DA6D" w14:textId="035F44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45</w:t>
            </w:r>
          </w:p>
        </w:tc>
      </w:tr>
      <w:tr w:rsidR="6F691FB8" w:rsidRPr="008902F2" w14:paraId="717D07C5" w14:textId="77777777" w:rsidTr="6F691FB8">
        <w:trPr>
          <w:trHeight w:val="420"/>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75805A03" w14:textId="19D3924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Ministry of Interior</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F4EFBC0" w14:textId="5EE6813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211</w:t>
            </w:r>
          </w:p>
        </w:tc>
      </w:tr>
      <w:tr w:rsidR="6F691FB8" w:rsidRPr="008902F2" w14:paraId="67B30E48"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279DF1BA" w14:textId="02EC5CAE"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Gendarmerie General Command</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988AAAB" w14:textId="69FC4CA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89</w:t>
            </w:r>
          </w:p>
        </w:tc>
      </w:tr>
      <w:tr w:rsidR="6F691FB8" w:rsidRPr="008902F2" w14:paraId="10C4320C"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78AF055B" w14:textId="260A8EA6"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General Directorate of Security</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4A4352" w14:textId="208388E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w:t>
            </w:r>
          </w:p>
        </w:tc>
      </w:tr>
      <w:tr w:rsidR="6F691FB8" w:rsidRPr="008902F2" w14:paraId="359C5E86"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63291CB2" w14:textId="26140670"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Coast Guard Command</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DCB7BCE" w14:textId="353D457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r>
      <w:tr w:rsidR="6F691FB8" w:rsidRPr="008902F2" w14:paraId="0AC53660" w14:textId="77777777" w:rsidTr="6F691FB8">
        <w:trPr>
          <w:trHeight w:val="360"/>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6FCDCDEA" w14:textId="1ADD965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TOTAL</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3ADFFB8" w14:textId="2F69B3A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256</w:t>
            </w:r>
          </w:p>
        </w:tc>
      </w:tr>
    </w:tbl>
    <w:p w14:paraId="33255797" w14:textId="3C0E956B" w:rsidR="002C3099" w:rsidRPr="008902F2" w:rsidRDefault="002C3099" w:rsidP="6F691FB8">
      <w:pPr>
        <w:spacing w:after="0"/>
        <w:rPr>
          <w:rFonts w:ascii="Times New Roman" w:hAnsi="Times New Roman"/>
          <w:color w:val="000000" w:themeColor="text1"/>
        </w:rPr>
      </w:pPr>
    </w:p>
    <w:p w14:paraId="7655C163" w14:textId="49F9BE86" w:rsidR="002C3099" w:rsidRPr="008902F2" w:rsidRDefault="71221A60" w:rsidP="00514000">
      <w:pPr>
        <w:spacing w:after="0"/>
        <w:jc w:val="center"/>
        <w:rPr>
          <w:rFonts w:ascii="Times New Roman" w:hAnsi="Times New Roman"/>
          <w:b/>
          <w:bCs/>
          <w:color w:val="000000" w:themeColor="text1"/>
        </w:rPr>
      </w:pPr>
      <w:r w:rsidRPr="008902F2">
        <w:rPr>
          <w:rFonts w:ascii="Times New Roman" w:hAnsi="Times New Roman"/>
          <w:b/>
          <w:bCs/>
          <w:color w:val="000000" w:themeColor="text1"/>
        </w:rPr>
        <w:t>Table 6.2: Number of Auditors in Protocol Organizations in the Scope of the Audit in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55"/>
        <w:gridCol w:w="2115"/>
      </w:tblGrid>
      <w:tr w:rsidR="6F691FB8" w:rsidRPr="008902F2" w14:paraId="77E07393" w14:textId="77777777" w:rsidTr="6F691FB8">
        <w:trPr>
          <w:trHeight w:val="690"/>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29D38A6" w14:textId="55C2C7AD" w:rsidR="6F691FB8" w:rsidRPr="008902F2" w:rsidRDefault="6F691FB8" w:rsidP="6F691FB8">
            <w:pPr>
              <w:spacing w:after="0" w:line="240" w:lineRule="auto"/>
              <w:rPr>
                <w:rFonts w:ascii="Times New Roman" w:hAnsi="Times New Roman"/>
                <w:color w:val="FFFFFF" w:themeColor="background1"/>
              </w:rPr>
            </w:pPr>
            <w:r w:rsidRPr="008902F2">
              <w:rPr>
                <w:rFonts w:ascii="Times New Roman" w:hAnsi="Times New Roman"/>
                <w:b/>
                <w:bCs/>
                <w:color w:val="FFFFFF" w:themeColor="background1"/>
              </w:rPr>
              <w:t>Relevant Institution</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A2A8AED" w14:textId="57553855"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Auditors</w:t>
            </w:r>
          </w:p>
        </w:tc>
      </w:tr>
      <w:tr w:rsidR="6F691FB8" w:rsidRPr="008902F2" w14:paraId="23D9CD3C"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13B8804A" w14:textId="6C7C5E68"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Ministry of Commerce</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24242FC" w14:textId="43EC31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576</w:t>
            </w:r>
          </w:p>
        </w:tc>
      </w:tr>
      <w:tr w:rsidR="6F691FB8" w:rsidRPr="008902F2" w14:paraId="7E3CA754"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1BD8CBE0" w14:textId="582925C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Ministry of Interior</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C207B1E" w14:textId="5BABE0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2.659</w:t>
            </w:r>
          </w:p>
        </w:tc>
      </w:tr>
      <w:tr w:rsidR="6F691FB8" w:rsidRPr="008902F2" w14:paraId="57563C15"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50A9C82F" w14:textId="1B2DC336"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Gendarmerie General Command</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C5C18E9" w14:textId="03C6D00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833</w:t>
            </w:r>
          </w:p>
        </w:tc>
      </w:tr>
      <w:tr w:rsidR="6F691FB8" w:rsidRPr="008902F2" w14:paraId="18AD1B64"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31BE9D57" w14:textId="6D130B0D"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General Directorate of Security</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BADCEC5" w14:textId="5427B6A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947</w:t>
            </w:r>
          </w:p>
        </w:tc>
      </w:tr>
      <w:tr w:rsidR="6F691FB8" w:rsidRPr="008902F2" w14:paraId="1DE18CA4"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35AE7E49" w14:textId="57F83255"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Coast Guard Command</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872CB66" w14:textId="32625BD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879</w:t>
            </w:r>
          </w:p>
        </w:tc>
      </w:tr>
      <w:tr w:rsidR="6F691FB8" w:rsidRPr="008902F2" w14:paraId="78D485FB" w14:textId="77777777" w:rsidTr="6F691FB8">
        <w:trPr>
          <w:trHeight w:val="360"/>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1940F879" w14:textId="2948C49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TOTAL</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2262BA7" w14:textId="394E6C0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3.235</w:t>
            </w:r>
          </w:p>
        </w:tc>
      </w:tr>
    </w:tbl>
    <w:p w14:paraId="4DDD3F97" w14:textId="3FF6B1C5" w:rsidR="002C3099" w:rsidRPr="008902F2" w:rsidRDefault="002C3099" w:rsidP="6F691FB8">
      <w:pPr>
        <w:spacing w:after="0"/>
        <w:rPr>
          <w:rFonts w:ascii="Times New Roman" w:hAnsi="Times New Roman"/>
          <w:color w:val="000000" w:themeColor="text1"/>
        </w:rPr>
      </w:pPr>
    </w:p>
    <w:p w14:paraId="679FCC5D" w14:textId="4B73E5C2" w:rsidR="002C3099" w:rsidRPr="008902F2" w:rsidRDefault="002C3099" w:rsidP="6F691FB8">
      <w:pPr>
        <w:spacing w:after="0"/>
        <w:rPr>
          <w:rFonts w:ascii="Times New Roman" w:hAnsi="Times New Roman"/>
          <w:color w:val="000000" w:themeColor="text1"/>
        </w:rPr>
      </w:pPr>
    </w:p>
    <w:p w14:paraId="6E215804" w14:textId="4B83F63D" w:rsidR="002C3099" w:rsidRPr="008902F2" w:rsidRDefault="71221A60" w:rsidP="6F691FB8">
      <w:pPr>
        <w:keepNext/>
        <w:keepLines/>
        <w:spacing w:before="200" w:after="0"/>
        <w:jc w:val="left"/>
        <w:rPr>
          <w:rFonts w:ascii="Times New Roman" w:eastAsia="Cambria" w:hAnsi="Times New Roman"/>
          <w:color w:val="000000" w:themeColor="text1"/>
        </w:rPr>
      </w:pPr>
      <w:r w:rsidRPr="008902F2">
        <w:rPr>
          <w:rStyle w:val="Gl"/>
          <w:rFonts w:ascii="Times New Roman" w:eastAsia="Cambria" w:hAnsi="Times New Roman"/>
          <w:b w:val="0"/>
          <w:bCs w:val="0"/>
          <w:color w:val="000000" w:themeColor="text1"/>
        </w:rPr>
        <w:t>The appropriation transfers made to the institutions with which the protocol is signed between the years 2021-2022 are shown in Table 6.3.</w:t>
      </w:r>
    </w:p>
    <w:p w14:paraId="7217B227" w14:textId="24A7777B" w:rsidR="002C3099" w:rsidRPr="008902F2" w:rsidRDefault="71221A60"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6.3: Transfer of Funds to Protocolist Organizations within the Scope of Audit in 2021 and 2022</w:t>
      </w:r>
    </w:p>
    <w:p w14:paraId="2E3F490A" w14:textId="5D199A4C" w:rsidR="002C3099" w:rsidRPr="008902F2" w:rsidRDefault="002C3099" w:rsidP="6F691FB8">
      <w:pPr>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55"/>
        <w:gridCol w:w="1980"/>
        <w:gridCol w:w="2205"/>
        <w:gridCol w:w="2175"/>
      </w:tblGrid>
      <w:tr w:rsidR="6F691FB8" w:rsidRPr="008902F2" w14:paraId="2068C7EB" w14:textId="77777777" w:rsidTr="6F691FB8">
        <w:trPr>
          <w:trHeight w:val="345"/>
        </w:trPr>
        <w:tc>
          <w:tcPr>
            <w:tcW w:w="3255"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0373D3E" w14:textId="116ED08D" w:rsidR="6F691FB8" w:rsidRPr="008902F2" w:rsidRDefault="6F691FB8" w:rsidP="6F691FB8">
            <w:pPr>
              <w:spacing w:after="0" w:line="240" w:lineRule="auto"/>
              <w:rPr>
                <w:rFonts w:ascii="Times New Roman" w:hAnsi="Times New Roman"/>
                <w:color w:val="FFFFFF" w:themeColor="background1"/>
              </w:rPr>
            </w:pPr>
            <w:r w:rsidRPr="008902F2">
              <w:rPr>
                <w:rFonts w:ascii="Times New Roman" w:hAnsi="Times New Roman"/>
                <w:b/>
                <w:bCs/>
                <w:color w:val="FFFFFF" w:themeColor="background1"/>
              </w:rPr>
              <w:t>Organizations Covered by the Protocol</w:t>
            </w:r>
          </w:p>
        </w:tc>
        <w:tc>
          <w:tcPr>
            <w:tcW w:w="4185"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45713BB" w14:textId="7F4480A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Transferred Allowance Amount (TL)</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055691D" w14:textId="7A06AF5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Değişim (%)</w:t>
            </w:r>
          </w:p>
        </w:tc>
      </w:tr>
      <w:tr w:rsidR="6F691FB8" w:rsidRPr="008902F2" w14:paraId="2227FCBF" w14:textId="77777777" w:rsidTr="6F691FB8">
        <w:trPr>
          <w:trHeight w:val="315"/>
        </w:trPr>
        <w:tc>
          <w:tcPr>
            <w:tcW w:w="3255"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5C726074" w14:textId="77777777" w:rsidR="00A660AB" w:rsidRPr="008902F2" w:rsidRDefault="00A660AB">
            <w:pPr>
              <w:rPr>
                <w:rFonts w:ascii="Times New Roman" w:hAnsi="Times New Roman"/>
              </w:rPr>
            </w:pP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A94A329" w14:textId="054B575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2021</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014E6F6" w14:textId="7E241D9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2022</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7A29737" w14:textId="16B0292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2021→2022</w:t>
            </w:r>
          </w:p>
        </w:tc>
      </w:tr>
      <w:tr w:rsidR="6F691FB8" w:rsidRPr="008902F2" w14:paraId="103C7B47"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47EF76" w14:textId="7915DC92"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Gendarmerie General Command</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A950488" w14:textId="0269F447"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8.000.000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B272C4" w14:textId="3853D989"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12.000.000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3D9C188" w14:textId="03E576C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50,00</w:t>
            </w:r>
          </w:p>
        </w:tc>
      </w:tr>
      <w:tr w:rsidR="6F691FB8" w:rsidRPr="008902F2" w14:paraId="0C2B477D"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59A449A" w14:textId="5C1C491A"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General Directorate of Security</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7618488" w14:textId="677C50C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10.000.000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55A444" w14:textId="234CCD62"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18.000.000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35D2E66" w14:textId="78BE448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80,00</w:t>
            </w:r>
          </w:p>
        </w:tc>
      </w:tr>
      <w:tr w:rsidR="6F691FB8" w:rsidRPr="008902F2" w14:paraId="1B63010F"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216674D" w14:textId="5314889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Coast Guard Command</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AED1ACB" w14:textId="4EEC855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7.500.000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6267F9F" w14:textId="757995A1"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7.500.000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3149048" w14:textId="53B7767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r>
      <w:tr w:rsidR="6F691FB8" w:rsidRPr="008902F2" w14:paraId="392ED35D"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1877CD5" w14:textId="198882DC"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lastRenderedPageBreak/>
              <w:t>Ministry of Commerce</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06041B3" w14:textId="4C114EEE"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5.000.000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111ADC" w14:textId="684BCF6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8.000.000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2D05312" w14:textId="7312695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60,00</w:t>
            </w:r>
          </w:p>
        </w:tc>
      </w:tr>
      <w:tr w:rsidR="6F691FB8" w:rsidRPr="008902F2" w14:paraId="2309CA03"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1A85FFF" w14:textId="48B908B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METU-PAL</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77DB381" w14:textId="1E37E559"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162.500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22CCE3" w14:textId="14E331A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500.000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FEBE03A" w14:textId="2360371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207,69</w:t>
            </w:r>
          </w:p>
        </w:tc>
      </w:tr>
      <w:tr w:rsidR="6F691FB8" w:rsidRPr="008902F2" w14:paraId="43780BB3"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2A6C53" w14:textId="1355B95A"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TUBITAK</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3EF3E5F" w14:textId="0E4A6C17"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70.000.000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EDC03A1" w14:textId="768AF780"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80.000.000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03EAF40" w14:textId="4293941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14,29</w:t>
            </w:r>
          </w:p>
        </w:tc>
      </w:tr>
      <w:tr w:rsidR="6F691FB8" w:rsidRPr="008902F2" w14:paraId="52940066" w14:textId="77777777" w:rsidTr="6F691FB8">
        <w:trPr>
          <w:trHeight w:val="315"/>
        </w:trPr>
        <w:tc>
          <w:tcPr>
            <w:tcW w:w="32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5C4DD85" w14:textId="41BCF85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 xml:space="preserve">TOTAL </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BD305B7" w14:textId="657EF5B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100.662.500</w:t>
            </w:r>
          </w:p>
        </w:tc>
        <w:tc>
          <w:tcPr>
            <w:tcW w:w="22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1D9F1FE" w14:textId="0BFCABF0"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126.000.000</w:t>
            </w:r>
          </w:p>
        </w:tc>
        <w:tc>
          <w:tcPr>
            <w:tcW w:w="21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AD63A70" w14:textId="1E5640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25,17</w:t>
            </w:r>
          </w:p>
        </w:tc>
      </w:tr>
    </w:tbl>
    <w:p w14:paraId="7DE05D46" w14:textId="1EAF63F1" w:rsidR="002C3099" w:rsidRPr="008902F2" w:rsidRDefault="002C3099" w:rsidP="6F691FB8">
      <w:pPr>
        <w:spacing w:after="0"/>
        <w:rPr>
          <w:rFonts w:ascii="Times New Roman" w:hAnsi="Times New Roman"/>
          <w:color w:val="000000" w:themeColor="text1"/>
        </w:rPr>
      </w:pPr>
    </w:p>
    <w:p w14:paraId="5538F7DD" w14:textId="3E44601D"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In addition, it has been examined whether the license holders operate in accordance with the Law No. 5015 and the relevant legislation.</w:t>
      </w:r>
    </w:p>
    <w:p w14:paraId="4296345E" w14:textId="55A07C95"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 xml:space="preserve">As part of the inspections in the scope of the petroleum market, inspections were conducted with the participation of personnel from the General Directorate of Security, Ministry of Industry and Technology, Ministry of Trade, Gendarmerie General Command, and Coast Guard Command to determine whether the fuels subject to market activities by relevant license holders contain sufficient national markers according to the required standards and levels. Samples with invalid national marker measurement results obtained during these inspections were transferred to TÜBİTAK (The Scientific and Technological Research Council of </w:t>
      </w:r>
      <w:r w:rsidR="00454819" w:rsidRPr="008902F2">
        <w:rPr>
          <w:rFonts w:ascii="Times New Roman" w:hAnsi="Times New Roman"/>
          <w:color w:val="000000" w:themeColor="text1"/>
        </w:rPr>
        <w:t>Türkiye</w:t>
      </w:r>
      <w:r w:rsidRPr="008902F2">
        <w:rPr>
          <w:rFonts w:ascii="Times New Roman" w:hAnsi="Times New Roman"/>
          <w:color w:val="000000" w:themeColor="text1"/>
        </w:rPr>
        <w:t>), EGE-PAL (EGE University Petroleum Application and Research Center), and ODTÜ PAM (Middle East Technical University, Petroleum and Natural Gas Application and Research Center) for further analysis. As a result of these inspections, legal actions were taken against facilities suspected of non-compliance with technical regulations or involving illegal fuels based on the analysis results indicating deviations from the standards or invalid marker measurements.</w:t>
      </w:r>
    </w:p>
    <w:p w14:paraId="1B0F34A5" w14:textId="20C3065B" w:rsidR="002C3099" w:rsidRPr="008902F2" w:rsidRDefault="71221A60" w:rsidP="6F691FB8">
      <w:pPr>
        <w:keepNext/>
        <w:keepLines/>
        <w:spacing w:before="200" w:after="24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6.4: 2020-2022 National Marker Field Device (XP) Analysis Results Comparison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10"/>
        <w:gridCol w:w="750"/>
        <w:gridCol w:w="840"/>
        <w:gridCol w:w="750"/>
        <w:gridCol w:w="840"/>
        <w:gridCol w:w="1230"/>
        <w:gridCol w:w="750"/>
        <w:gridCol w:w="840"/>
        <w:gridCol w:w="1230"/>
      </w:tblGrid>
      <w:tr w:rsidR="6F691FB8" w:rsidRPr="008902F2" w14:paraId="1B965DDB" w14:textId="77777777" w:rsidTr="6F691FB8">
        <w:trPr>
          <w:trHeight w:val="330"/>
        </w:trPr>
        <w:tc>
          <w:tcPr>
            <w:tcW w:w="2610"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E18137A" w14:textId="3D7DC87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Measurement Numbers</w:t>
            </w:r>
          </w:p>
        </w:tc>
        <w:tc>
          <w:tcPr>
            <w:tcW w:w="159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0E6DBA4" w14:textId="563CBD9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2020</w:t>
            </w:r>
          </w:p>
        </w:tc>
        <w:tc>
          <w:tcPr>
            <w:tcW w:w="159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55AF986" w14:textId="15767CA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2021</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85B1B78" w14:textId="3827675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Change (%)</w:t>
            </w:r>
          </w:p>
        </w:tc>
        <w:tc>
          <w:tcPr>
            <w:tcW w:w="159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CD7677B" w14:textId="74D9AF2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2022</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524DBDE" w14:textId="5E467BD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Change (%)</w:t>
            </w:r>
          </w:p>
        </w:tc>
      </w:tr>
      <w:tr w:rsidR="6F691FB8" w:rsidRPr="008902F2" w14:paraId="1897BF48" w14:textId="77777777" w:rsidTr="6F691FB8">
        <w:trPr>
          <w:trHeight w:val="330"/>
        </w:trPr>
        <w:tc>
          <w:tcPr>
            <w:tcW w:w="2610"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4C031650" w14:textId="77777777" w:rsidR="00A660AB" w:rsidRPr="008902F2" w:rsidRDefault="00A660AB">
            <w:pPr>
              <w:rPr>
                <w:rFonts w:ascii="Times New Roman" w:hAnsi="Times New Roman"/>
              </w:rPr>
            </w:pP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9D951EC" w14:textId="276FE95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Piece</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92A12B0" w14:textId="57E0E8A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631828A" w14:textId="68657A9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Piece</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F2046B9" w14:textId="30F9C0C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AE55A91" w14:textId="27BAB6D9"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2020→2021</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ABCB127" w14:textId="7E51557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Piece</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548BADE" w14:textId="12E2A89F"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694D861" w14:textId="3F13BB09"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2021→2022</w:t>
            </w:r>
          </w:p>
        </w:tc>
      </w:tr>
      <w:tr w:rsidR="6F691FB8" w:rsidRPr="008902F2" w14:paraId="3BF61572" w14:textId="77777777" w:rsidTr="6F691FB8">
        <w:trPr>
          <w:trHeight w:val="330"/>
        </w:trPr>
        <w:tc>
          <w:tcPr>
            <w:tcW w:w="26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90BA5A0" w14:textId="7C09814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Valid Number of Measurements</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CDAC61" w14:textId="0BACFD26"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85.668</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AC1CFFE" w14:textId="717071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99,16</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C8C7021" w14:textId="3CDDA279"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87.448</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20BC484" w14:textId="0B7A32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99,29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A6B7928" w14:textId="5331485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2,07</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98D26EA" w14:textId="51825DC4"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93.551</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1DADE33" w14:textId="770EE5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98,7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44D7427" w14:textId="06E46DD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6,98 </w:t>
            </w:r>
          </w:p>
        </w:tc>
      </w:tr>
      <w:tr w:rsidR="6F691FB8" w:rsidRPr="008902F2" w14:paraId="39F4D435" w14:textId="77777777" w:rsidTr="6F691FB8">
        <w:trPr>
          <w:trHeight w:val="330"/>
        </w:trPr>
        <w:tc>
          <w:tcPr>
            <w:tcW w:w="26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EF6F97" w14:textId="59BDB7B5"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Number of Invalid Measurements</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AFA615F" w14:textId="7614928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725</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3451F73" w14:textId="3FA894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0,84</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FDCFD1B" w14:textId="48B5F877" w:rsidR="6F691FB8" w:rsidRPr="008902F2" w:rsidRDefault="6F691FB8" w:rsidP="6F691FB8">
            <w:pPr>
              <w:spacing w:after="0" w:line="240" w:lineRule="auto"/>
              <w:jc w:val="center"/>
              <w:rPr>
                <w:rFonts w:ascii="Times New Roman" w:hAnsi="Times New Roman"/>
                <w:color w:val="000000" w:themeColor="text1"/>
              </w:rPr>
            </w:pPr>
          </w:p>
          <w:p w14:paraId="36472372" w14:textId="206775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622</w:t>
            </w:r>
          </w:p>
          <w:p w14:paraId="29E009CD" w14:textId="0004B206" w:rsidR="6F691FB8" w:rsidRPr="008902F2" w:rsidRDefault="6F691FB8" w:rsidP="6F691FB8">
            <w:pPr>
              <w:spacing w:after="0" w:line="240" w:lineRule="auto"/>
              <w:jc w:val="center"/>
              <w:rPr>
                <w:rFonts w:ascii="Times New Roman" w:hAnsi="Times New Roman"/>
                <w:color w:val="000000" w:themeColor="text1"/>
              </w:rPr>
            </w:pP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B33D0BA" w14:textId="0A19B01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0,71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2E91A24" w14:textId="422E456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-14,20</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6AF4A1F" w14:textId="79568906"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1.191 </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6B4915A" w14:textId="66DA98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1,3 </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4B71F50" w14:textId="41B05A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91</w:t>
            </w:r>
          </w:p>
        </w:tc>
      </w:tr>
      <w:tr w:rsidR="6F691FB8" w:rsidRPr="008902F2" w14:paraId="74D571ED" w14:textId="77777777" w:rsidTr="6F691FB8">
        <w:trPr>
          <w:trHeight w:val="330"/>
        </w:trPr>
        <w:tc>
          <w:tcPr>
            <w:tcW w:w="26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CF63ED" w14:textId="67EC54EB"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Total Number of Measurements</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C46F0B" w14:textId="19327E45"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86.393</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758081A" w14:textId="7C7E6EF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4B2EE16" w14:textId="55E8823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88.070 </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A3F738" w14:textId="64D3AE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DACA92B" w14:textId="11E489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1,94</w:t>
            </w:r>
          </w:p>
        </w:tc>
        <w:tc>
          <w:tcPr>
            <w:tcW w:w="7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130EF5E" w14:textId="5CC8F289"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94.742</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6C6A47A" w14:textId="6C92A06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2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5F861D3" w14:textId="4DE9B2A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8 </w:t>
            </w:r>
          </w:p>
        </w:tc>
      </w:tr>
    </w:tbl>
    <w:p w14:paraId="02E6D062" w14:textId="363A0F06" w:rsidR="002C3099" w:rsidRPr="008902F2" w:rsidRDefault="002C3099" w:rsidP="6F691FB8">
      <w:pPr>
        <w:keepNext/>
        <w:keepLines/>
        <w:spacing w:before="200" w:after="240"/>
        <w:rPr>
          <w:rFonts w:ascii="Times New Roman" w:hAnsi="Times New Roman"/>
          <w:color w:val="243F60"/>
        </w:rPr>
      </w:pPr>
    </w:p>
    <w:p w14:paraId="7374AF21" w14:textId="052B2BC3" w:rsidR="002C3099" w:rsidRPr="008902F2" w:rsidRDefault="71221A60" w:rsidP="6F691FB8">
      <w:pPr>
        <w:keepNext/>
        <w:keepLines/>
        <w:spacing w:before="200" w:after="240"/>
        <w:rPr>
          <w:rFonts w:ascii="Times New Roman" w:eastAsia="Cambria" w:hAnsi="Times New Roman"/>
          <w:color w:val="000000" w:themeColor="text1"/>
        </w:rPr>
      </w:pPr>
      <w:r w:rsidRPr="008902F2">
        <w:rPr>
          <w:rStyle w:val="Gl"/>
          <w:rFonts w:ascii="Times New Roman" w:eastAsia="Cambria" w:hAnsi="Times New Roman"/>
          <w:b w:val="0"/>
          <w:bCs w:val="0"/>
          <w:color w:val="000000" w:themeColor="text1"/>
        </w:rPr>
        <w:t>As a result of the audits and investigations carried out in the oil market in 2022; In the audits carried out within the scope of actions that have the possibility of rectification by their nature, 2,094 warnings were established, and the administrative fines imposed by the Agency are shown in Table 6.5 and Table 6.6.</w:t>
      </w:r>
    </w:p>
    <w:p w14:paraId="0948B9C2" w14:textId="56D82C36" w:rsidR="002C3099" w:rsidRPr="008902F2" w:rsidRDefault="71221A60" w:rsidP="6F691FB8">
      <w:pPr>
        <w:keepNext/>
        <w:keepLines/>
        <w:spacing w:before="200" w:after="24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6.5: </w:t>
      </w:r>
      <w:r w:rsidR="00D239FA" w:rsidRPr="008902F2">
        <w:rPr>
          <w:rStyle w:val="Gl"/>
          <w:rFonts w:ascii="Times New Roman" w:eastAsia="Cambria" w:hAnsi="Times New Roman"/>
          <w:color w:val="000000" w:themeColor="text1"/>
        </w:rPr>
        <w:t>Distribution of Administrative Fines Implemented in the Petroleum Market in 2022 by License Type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95"/>
        <w:gridCol w:w="1485"/>
        <w:gridCol w:w="630"/>
        <w:gridCol w:w="1485"/>
        <w:gridCol w:w="630"/>
      </w:tblGrid>
      <w:tr w:rsidR="6F691FB8" w:rsidRPr="008902F2" w14:paraId="63D3A0A5"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13ECB9E" w14:textId="346DCB9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License Type</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0D5A9F4" w14:textId="2006483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Administrative Fines Applied</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39DE0D6" w14:textId="267BD6A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017C40D" w14:textId="1D31D7A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D1AE76A" w14:textId="49F39B0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w:t>
            </w:r>
          </w:p>
          <w:p w14:paraId="225C395B" w14:textId="5CFB2A4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color w:val="FFFFFF" w:themeColor="background1"/>
                <w:sz w:val="16"/>
                <w:szCs w:val="16"/>
              </w:rPr>
              <w:t>(</w:t>
            </w:r>
            <w:r w:rsidRPr="008902F2">
              <w:rPr>
                <w:rFonts w:ascii="Times New Roman" w:hAnsi="Times New Roman"/>
                <w:b/>
                <w:bCs/>
                <w:color w:val="FFFFFF" w:themeColor="background1"/>
              </w:rPr>
              <w:t>%)</w:t>
            </w:r>
          </w:p>
        </w:tc>
      </w:tr>
      <w:tr w:rsidR="6F691FB8" w:rsidRPr="008902F2" w14:paraId="0C03CDA7"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5570B06" w14:textId="06E02A50"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Distributor</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3DF61EE" w14:textId="0099CCD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119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85B64EA" w14:textId="777B98A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23,85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7A2A9FC" w14:textId="50BCC07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378.517.095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0DE7E75" w14:textId="5FD8412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81,11 </w:t>
            </w:r>
          </w:p>
        </w:tc>
      </w:tr>
      <w:tr w:rsidR="6F691FB8" w:rsidRPr="008902F2" w14:paraId="31EB32BD"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016CCDA" w14:textId="264D9D4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Dealership</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283DE5" w14:textId="1FAEBF7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369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ADCF10" w14:textId="21B5F60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73,95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29B1B6" w14:textId="54F71B1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81.105.312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BD8F7AB" w14:textId="35BC19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17,38 </w:t>
            </w:r>
          </w:p>
        </w:tc>
      </w:tr>
      <w:tr w:rsidR="6F691FB8" w:rsidRPr="008902F2" w14:paraId="59B6D5C9"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F557F08" w14:textId="01CCB6F5"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Processing</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76DB6DB" w14:textId="62F50A6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35892E" w14:textId="2AEC52C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0,2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FCEE3D9" w14:textId="32A85ED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61.638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FD2A29" w14:textId="5048E36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0,01 </w:t>
            </w:r>
          </w:p>
        </w:tc>
      </w:tr>
      <w:tr w:rsidR="6F691FB8" w:rsidRPr="008902F2" w14:paraId="2487669A"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2A72C90" w14:textId="4010FFB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lastRenderedPageBreak/>
              <w:t>Mineral Oil</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F9AE8C" w14:textId="55D9A85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1796F05" w14:textId="4A7DA54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1,8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83C558" w14:textId="6D7ECD17"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5.876.452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37745C" w14:textId="6BE438C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1,26  </w:t>
            </w:r>
          </w:p>
        </w:tc>
      </w:tr>
      <w:tr w:rsidR="6F691FB8" w:rsidRPr="008902F2" w14:paraId="16AEB0D8"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3D065D" w14:textId="18D01152"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Automation Companies Authorized by the Institution</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642EB6C" w14:textId="1A72C0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6BA5647" w14:textId="43242AA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0,2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581356F" w14:textId="2865AC48"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1.138.522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FA430A2" w14:textId="4D11045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0,24 </w:t>
            </w:r>
          </w:p>
        </w:tc>
      </w:tr>
      <w:tr w:rsidR="6F691FB8" w:rsidRPr="008902F2" w14:paraId="094E2677" w14:textId="77777777" w:rsidTr="6F691FB8">
        <w:trPr>
          <w:trHeight w:val="390"/>
        </w:trPr>
        <w:tc>
          <w:tcPr>
            <w:tcW w:w="4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D7EEE75" w14:textId="50111829"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DFB6D70" w14:textId="4A1A7E9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499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943ECC8" w14:textId="20CC983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A6A029C" w14:textId="1C777F00"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466.699.019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DC8DB63" w14:textId="4AE845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54C8AE60" w14:textId="615F4BD4" w:rsidR="002C3099" w:rsidRPr="008902F2" w:rsidRDefault="002C3099" w:rsidP="6F691FB8">
      <w:pPr>
        <w:spacing w:after="0"/>
        <w:rPr>
          <w:rFonts w:ascii="Times New Roman" w:hAnsi="Times New Roman"/>
          <w:color w:val="000000" w:themeColor="text1"/>
        </w:rPr>
      </w:pPr>
    </w:p>
    <w:p w14:paraId="135711ED" w14:textId="3FD9DDD7" w:rsidR="002C3099" w:rsidRPr="008902F2" w:rsidRDefault="002C3099" w:rsidP="6F691FB8">
      <w:pPr>
        <w:spacing w:after="0"/>
        <w:rPr>
          <w:rFonts w:ascii="Times New Roman" w:hAnsi="Times New Roman"/>
          <w:color w:val="000000" w:themeColor="text1"/>
        </w:rPr>
      </w:pPr>
    </w:p>
    <w:p w14:paraId="60848B1C" w14:textId="4EB01657" w:rsidR="002C3099" w:rsidRPr="008902F2" w:rsidRDefault="002C3099" w:rsidP="6F691FB8">
      <w:pPr>
        <w:spacing w:after="0"/>
        <w:rPr>
          <w:rFonts w:ascii="Times New Roman" w:hAnsi="Times New Roman"/>
          <w:color w:val="000000" w:themeColor="text1"/>
        </w:rPr>
      </w:pPr>
    </w:p>
    <w:p w14:paraId="5072CEB6" w14:textId="615613F3" w:rsidR="002C3099" w:rsidRPr="008902F2" w:rsidRDefault="71221A60" w:rsidP="6F691FB8">
      <w:pPr>
        <w:keepNext/>
        <w:keepLines/>
        <w:spacing w:before="200" w:after="24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6.6: Distribution of Administrative Fines Implemented in the Petroleum Market in 2021-2022 by License Type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75"/>
        <w:gridCol w:w="1995"/>
        <w:gridCol w:w="630"/>
        <w:gridCol w:w="1740"/>
        <w:gridCol w:w="630"/>
      </w:tblGrid>
      <w:tr w:rsidR="6F691FB8" w:rsidRPr="008902F2" w14:paraId="6CCB4F1F" w14:textId="77777777" w:rsidTr="6F691FB8">
        <w:trPr>
          <w:trHeight w:val="390"/>
        </w:trPr>
        <w:tc>
          <w:tcPr>
            <w:tcW w:w="4875"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D43D672" w14:textId="7DDF8B4A"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License Type</w:t>
            </w:r>
          </w:p>
        </w:tc>
        <w:tc>
          <w:tcPr>
            <w:tcW w:w="2625"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AC8BB8A" w14:textId="67FCC6F8"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2021</w:t>
            </w:r>
          </w:p>
        </w:tc>
        <w:tc>
          <w:tcPr>
            <w:tcW w:w="237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6A60626" w14:textId="5C308D2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2022</w:t>
            </w:r>
          </w:p>
        </w:tc>
      </w:tr>
      <w:tr w:rsidR="6F691FB8" w:rsidRPr="008902F2" w14:paraId="516F57BA" w14:textId="77777777" w:rsidTr="6F691FB8">
        <w:trPr>
          <w:trHeight w:val="390"/>
        </w:trPr>
        <w:tc>
          <w:tcPr>
            <w:tcW w:w="4875"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2ABA4DEB" w14:textId="77777777" w:rsidR="00A660AB" w:rsidRPr="008902F2" w:rsidRDefault="00A660AB">
            <w:pPr>
              <w:rPr>
                <w:rFonts w:ascii="Times New Roman" w:hAnsi="Times New Roman"/>
              </w:rPr>
            </w:pP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26A3685" w14:textId="5055493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CB5550A" w14:textId="161794B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BF522B1" w14:textId="118AF61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61EB759" w14:textId="623F3D6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r>
      <w:tr w:rsidR="6F691FB8" w:rsidRPr="008902F2" w14:paraId="3D14E401"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5AF2DC" w14:textId="6CBAD6C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Distributor</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31B0D6B" w14:textId="29C04B84"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1.222.494.522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93C168B" w14:textId="78F47F8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91,16  </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5585C0E" w14:textId="3FDD5413"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378.517.095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C86ECC1" w14:textId="693D7B3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81,11 </w:t>
            </w:r>
          </w:p>
        </w:tc>
      </w:tr>
      <w:tr w:rsidR="6F691FB8" w:rsidRPr="008902F2" w14:paraId="59F4346B"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689FA36" w14:textId="1C60F79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Dealership</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824F33B" w14:textId="3F19B251"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91.176.754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3BD7AE0" w14:textId="310E48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6,80 </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CA2D5D3" w14:textId="78848D5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81.105.312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759A75" w14:textId="11FBF5F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17,38 </w:t>
            </w:r>
          </w:p>
        </w:tc>
      </w:tr>
      <w:tr w:rsidR="6F691FB8" w:rsidRPr="008902F2" w14:paraId="6A04B41D"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2ED9FC" w14:textId="500E535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Processing</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564C580" w14:textId="2C7E7E85"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257F98" w14:textId="3D0B442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E89EFA" w14:textId="2BA468B5"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61.638</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41632A" w14:textId="611111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0,01</w:t>
            </w:r>
          </w:p>
        </w:tc>
      </w:tr>
      <w:tr w:rsidR="6F691FB8" w:rsidRPr="008902F2" w14:paraId="4337ADE2"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5217212" w14:textId="29EA7F3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Storage</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8C39D92" w14:textId="1FAAC34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17.788.520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6252E0B" w14:textId="4F324D4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1,33 </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8D79AB" w14:textId="53CBAB3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12A5C2B" w14:textId="6A2EDF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w:t>
            </w:r>
          </w:p>
        </w:tc>
      </w:tr>
      <w:tr w:rsidR="6F691FB8" w:rsidRPr="008902F2" w14:paraId="5E08A7EE"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7C530E8" w14:textId="40987D9E"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Mineral oil</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6EA6F6" w14:textId="030A2E9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8.676.361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98C7A9" w14:textId="30812A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0,65 </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4145ED7" w14:textId="20CD8CB5"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5.876.452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6A00700" w14:textId="2480BCC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1,26  </w:t>
            </w:r>
          </w:p>
        </w:tc>
      </w:tr>
      <w:tr w:rsidR="6F691FB8" w:rsidRPr="008902F2" w14:paraId="28796F6B"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3EE2D1A" w14:textId="7092B04D"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Bunker Delivery</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F39B63F" w14:textId="557D21CF"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842.423</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42B0BAD" w14:textId="5BA9525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0,06</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6F6F0A1" w14:textId="66DBB568"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AE28F2" w14:textId="1503284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w:t>
            </w:r>
          </w:p>
        </w:tc>
      </w:tr>
      <w:tr w:rsidR="6F691FB8" w:rsidRPr="008902F2" w14:paraId="2350D2AA"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E59720" w14:textId="42AD69DC"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Automation Companies Authorized by the Institution</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769754" w14:textId="0989F317"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BF2BC4" w14:textId="30F051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4EC6B15" w14:textId="2B3D1134"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1.138.522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DCA05AE" w14:textId="09C9051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0,24</w:t>
            </w:r>
          </w:p>
        </w:tc>
      </w:tr>
      <w:tr w:rsidR="6F691FB8" w:rsidRPr="008902F2" w14:paraId="6FAADFC9" w14:textId="77777777" w:rsidTr="6F691FB8">
        <w:trPr>
          <w:trHeight w:val="390"/>
        </w:trPr>
        <w:tc>
          <w:tcPr>
            <w:tcW w:w="48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CDCBBC6" w14:textId="44DF1196"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9327CBE" w14:textId="4260B5F4"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1.340.978.580</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384F092" w14:textId="4D2F024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7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7319827" w14:textId="01BE70C2"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466.699.019 </w:t>
            </w:r>
          </w:p>
        </w:tc>
        <w:tc>
          <w:tcPr>
            <w:tcW w:w="6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FA4BCA" w14:textId="59F0D7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33F5362C" w14:textId="54E56000" w:rsidR="002C3099" w:rsidRPr="008902F2" w:rsidRDefault="002C3099" w:rsidP="6F691FB8">
      <w:pPr>
        <w:spacing w:after="0"/>
        <w:rPr>
          <w:rFonts w:ascii="Times New Roman" w:hAnsi="Times New Roman"/>
          <w:color w:val="000000" w:themeColor="text1"/>
        </w:rPr>
      </w:pPr>
    </w:p>
    <w:p w14:paraId="4F4C9A0F" w14:textId="25566A06" w:rsidR="002C3099" w:rsidRPr="008902F2" w:rsidRDefault="71221A60" w:rsidP="6F691FB8">
      <w:pPr>
        <w:spacing w:after="0"/>
        <w:rPr>
          <w:rFonts w:ascii="Times New Roman" w:hAnsi="Times New Roman"/>
          <w:color w:val="000000" w:themeColor="text1"/>
        </w:rPr>
      </w:pPr>
      <w:r w:rsidRPr="008902F2">
        <w:rPr>
          <w:rFonts w:ascii="Times New Roman" w:hAnsi="Times New Roman"/>
          <w:color w:val="000000" w:themeColor="text1"/>
        </w:rPr>
        <w:t>The distribution of administrative fines applied in the oil market in 2022 according to their actions is shown in Table 6.5.</w:t>
      </w:r>
    </w:p>
    <w:p w14:paraId="001A3044" w14:textId="500C78EF" w:rsidR="002C3099" w:rsidRPr="008902F2" w:rsidRDefault="71221A60" w:rsidP="6F691FB8">
      <w:pPr>
        <w:keepNext/>
        <w:keepLines/>
        <w:spacing w:before="200" w:after="24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6.7: Distribution of Administrative Fines Implemented in the Petroleum Market in 2022 by Acts Subject to Administrative Fines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05"/>
        <w:gridCol w:w="1980"/>
        <w:gridCol w:w="1245"/>
        <w:gridCol w:w="2295"/>
        <w:gridCol w:w="1260"/>
      </w:tblGrid>
      <w:tr w:rsidR="6F691FB8" w:rsidRPr="008902F2" w14:paraId="25A0F187"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5F18638" w14:textId="2E7E054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Act Subject to Administrative Fine</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2AFBE30" w14:textId="793DBDD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Administrative Fines Applied</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B3D889C" w14:textId="7F2787A4"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734506E" w14:textId="7F3F18E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İdari Para Cezası Tutarı (TL)</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3FB956E" w14:textId="4B39BBAE"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w:t>
            </w:r>
          </w:p>
        </w:tc>
      </w:tr>
      <w:tr w:rsidR="6F691FB8" w:rsidRPr="008902F2" w14:paraId="601E8F2B"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FD4B932" w14:textId="12E3BC2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Automation Obligation and Operations Outside the Scope of License</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F57216D" w14:textId="0C0B51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266 </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8DF30E4" w14:textId="2D3B9E7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53,31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366094C" w14:textId="0C7E9858"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344.142.702  </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91F2D84" w14:textId="209F6C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 74,99 </w:t>
            </w:r>
          </w:p>
        </w:tc>
      </w:tr>
      <w:tr w:rsidR="6F691FB8" w:rsidRPr="008902F2" w14:paraId="69C76659"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B04A0A" w14:textId="7BBA3288"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Insufficient Condition and Level of National Marker</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E74A2E8" w14:textId="40CEF6A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 </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4E927C6" w14:textId="32658D4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0,6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8ED77C5" w14:textId="1B6499F6"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448.400 </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693FBE4" w14:textId="7DD9408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0,1  </w:t>
            </w:r>
          </w:p>
        </w:tc>
      </w:tr>
      <w:tr w:rsidR="6F691FB8" w:rsidRPr="008902F2" w14:paraId="5BFB86A4"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83E3E39" w14:textId="0D29FB00"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Fuel Supply Outside the Distributor</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56AB386" w14:textId="5AA3F6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58 </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AADB45B" w14:textId="2C4DE33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11,62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05E655" w14:textId="60BDD26A"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1.159.928 </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49DB0DD" w14:textId="708280C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0,25  </w:t>
            </w:r>
          </w:p>
        </w:tc>
      </w:tr>
      <w:tr w:rsidR="6F691FB8" w:rsidRPr="008902F2" w14:paraId="2D4A453F"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0F1B0E6" w14:textId="42C955B1"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Other*</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DDEF0A4" w14:textId="25BE98A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172 </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1EBCD49" w14:textId="719A526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34,47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04A700" w14:textId="19835CC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115.103.928 </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5E55F81" w14:textId="5EA6A6A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24,66  </w:t>
            </w:r>
          </w:p>
        </w:tc>
      </w:tr>
      <w:tr w:rsidR="6F691FB8" w:rsidRPr="008902F2" w14:paraId="14F1D5C5" w14:textId="77777777" w:rsidTr="6F691FB8">
        <w:trPr>
          <w:trHeight w:val="390"/>
        </w:trPr>
        <w:tc>
          <w:tcPr>
            <w:tcW w:w="31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1A6A83" w14:textId="352B2AF6"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b/>
                <w:bCs/>
                <w:color w:val="000000" w:themeColor="text1"/>
              </w:rPr>
              <w:t>Total</w:t>
            </w:r>
          </w:p>
        </w:tc>
        <w:tc>
          <w:tcPr>
            <w:tcW w:w="198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8E6D45B" w14:textId="191E2F3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499 </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4F6D428" w14:textId="5271814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A6A63AE" w14:textId="1228484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466.699.019  </w:t>
            </w:r>
          </w:p>
        </w:tc>
        <w:tc>
          <w:tcPr>
            <w:tcW w:w="12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50C2BF0" w14:textId="5A0DDF5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76F430C8" w14:textId="23416A7B" w:rsidR="002C3099" w:rsidRPr="008902F2" w:rsidRDefault="71221A60" w:rsidP="6F691FB8">
      <w:pPr>
        <w:pStyle w:val="AralkYok"/>
        <w:jc w:val="both"/>
        <w:rPr>
          <w:rFonts w:ascii="Times New Roman" w:eastAsia="Calibri" w:hAnsi="Times New Roman" w:cs="Times New Roman"/>
          <w:color w:val="000000" w:themeColor="text1"/>
          <w:sz w:val="20"/>
          <w:szCs w:val="20"/>
        </w:rPr>
      </w:pPr>
      <w:r w:rsidRPr="008902F2">
        <w:rPr>
          <w:rFonts w:ascii="Times New Roman" w:eastAsia="Calibri" w:hAnsi="Times New Roman" w:cs="Times New Roman"/>
          <w:color w:val="000000" w:themeColor="text1"/>
        </w:rPr>
        <w:t>*</w:t>
      </w:r>
      <w:r w:rsidRPr="008902F2">
        <w:rPr>
          <w:rFonts w:ascii="Times New Roman" w:eastAsia="Calibri" w:hAnsi="Times New Roman" w:cs="Times New Roman"/>
          <w:color w:val="000000" w:themeColor="text1"/>
          <w:sz w:val="20"/>
          <w:szCs w:val="20"/>
        </w:rPr>
        <w:t xml:space="preserve"> The sanctions include violations related to avoiding actions that may lead to malicious intent and dangerous consequences in the petroleum market legislation, irregularities occurring during the addition of national markers, and various other breaches.</w:t>
      </w:r>
    </w:p>
    <w:p w14:paraId="1683A34B" w14:textId="5DD916EF" w:rsidR="002C3099" w:rsidRPr="008902F2" w:rsidRDefault="002C3099" w:rsidP="6F691FB8">
      <w:pPr>
        <w:spacing w:after="0" w:line="240" w:lineRule="auto"/>
        <w:rPr>
          <w:rFonts w:ascii="Times New Roman" w:hAnsi="Times New Roman"/>
          <w:color w:val="000000" w:themeColor="text1"/>
        </w:rPr>
      </w:pPr>
    </w:p>
    <w:p w14:paraId="24775583" w14:textId="402AEA32" w:rsidR="002C3099" w:rsidRPr="008902F2" w:rsidRDefault="00133D16" w:rsidP="00133D16">
      <w:pPr>
        <w:pStyle w:val="Balk3"/>
        <w:rPr>
          <w:rFonts w:ascii="Times New Roman" w:hAnsi="Times New Roman" w:cs="Times New Roman"/>
        </w:rPr>
      </w:pPr>
      <w:bookmarkStart w:id="181" w:name="_Toc143113464"/>
      <w:r w:rsidRPr="008902F2">
        <w:rPr>
          <w:rFonts w:ascii="Times New Roman" w:hAnsi="Times New Roman" w:cs="Times New Roman"/>
        </w:rPr>
        <w:lastRenderedPageBreak/>
        <w:t>6.3.1. Transactions Performed within the Framework of Subparagraphs (G) and (H) of the Second Paragraph of Article 20 of the Petroleum Market Law No. 5015</w:t>
      </w:r>
      <w:bookmarkEnd w:id="181"/>
    </w:p>
    <w:p w14:paraId="21A39572" w14:textId="3DB23737"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Article 10 of the Law No. 7318 dated 29/4/2021 and subparagraph (g) of the second paragraph of Article 20 of the Petroleum Market Law No. 5015: Within the scope of paragraphs (a) and (b) of Article 359 of the Law; The situation, together with the notification to the Office of the Chief Public Prosecutor pursuant to Article 367 of the aforementioned Law, that the offenses of issuing or using misleading documents in terms of their content, issuing the originals or copies of documents completely or partially, or using these documents, as well as the crimes specified in paragraph (ç) of the same article, It is also communicated to the Authority, and all activities subject to license in any facility (except refinery) are temporarily suspended by the Authority until the decision not to prosecute or the court decision is final, and no license is granted to another real or legal person for the facility in question. According to the finalized court decision, the license of the license holders is revoked. Unless the administrative fines for the acts within the scope of this paragraph are paid, a license shall not be granted for the facility subject to the license. Until the conclusion of the tax investigation regarding the crimes within the scope of this paragraph, no license shall be granted to any other natural or legal person for the facility in question.” provision has been added. According to the finalized court decision, the license of the license holders is revoked. Unless the administrative fines for the acts within the scope of this paragraph are paid, a license shall not be granted for the facility subject to the license. Until the conclusion of the tax investigation regarding the crimes within the scope of this paragraph, no license shall be granted to any other natural or legal person for the facility in question.” provision has been added. According to the finalized court decision, the license of the license holders is revoked. Unless the administrative fines for the acts within the scope of this paragraph are paid, a license shall not be granted for the facility subject to the license. Until the conclusion of the tax investigation regarding the crimes within the scope of this paragraph, no license shall be granted to any other natural or legal person for the facility in question.” provision has been added.</w:t>
      </w:r>
    </w:p>
    <w:p w14:paraId="253FED9C" w14:textId="04EDBB4B"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following transactions were carried out within the scope of the determinations sent to our institution by the Ministry of Treasury and Finance Tax Inspection Board for the purpose of taking action within the framework of the aforementioned provisions.</w:t>
      </w:r>
    </w:p>
    <w:p w14:paraId="1BE8044C" w14:textId="28E49C9E" w:rsidR="002C3099" w:rsidRPr="008902F2" w:rsidRDefault="71221A60" w:rsidP="6F691FB8">
      <w:pPr>
        <w:keepNext/>
        <w:keepLines/>
        <w:spacing w:before="200" w:after="240" w:line="360" w:lineRule="auto"/>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w:t>
      </w:r>
      <w:r w:rsidR="00D239FA" w:rsidRPr="008902F2">
        <w:rPr>
          <w:rStyle w:val="Gl"/>
          <w:rFonts w:ascii="Times New Roman" w:eastAsia="Cambria" w:hAnsi="Times New Roman"/>
          <w:color w:val="000000" w:themeColor="text1"/>
        </w:rPr>
        <w:t>e</w:t>
      </w:r>
      <w:r w:rsidRPr="008902F2">
        <w:rPr>
          <w:rStyle w:val="Gl"/>
          <w:rFonts w:ascii="Times New Roman" w:eastAsia="Cambria" w:hAnsi="Times New Roman"/>
          <w:color w:val="000000" w:themeColor="text1"/>
        </w:rPr>
        <w:t xml:space="preserve"> 6.8: Transactions carried out within the framework of subparagraph (g) of the second paragraph of Article 20 of the Law No. 5015</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0"/>
        <w:gridCol w:w="840"/>
      </w:tblGrid>
      <w:tr w:rsidR="6F691FB8" w:rsidRPr="008902F2" w14:paraId="0EB637C0" w14:textId="77777777" w:rsidTr="6F691FB8">
        <w:trPr>
          <w:trHeight w:val="390"/>
        </w:trPr>
        <w:tc>
          <w:tcPr>
            <w:tcW w:w="56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9417775" w14:textId="663969B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Detection Type</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4E13199" w14:textId="243C2FCD"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Piece</w:t>
            </w:r>
          </w:p>
        </w:tc>
      </w:tr>
      <w:tr w:rsidR="6F691FB8" w:rsidRPr="008902F2" w14:paraId="6391AD45" w14:textId="77777777" w:rsidTr="6F691FB8">
        <w:trPr>
          <w:trHeight w:val="390"/>
        </w:trPr>
        <w:tc>
          <w:tcPr>
            <w:tcW w:w="56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1CDDCAF" w14:textId="77B8BA2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License holders who have written to law enforcement to stop their activities</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C1D3D54" w14:textId="150A0EB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634</w:t>
            </w:r>
          </w:p>
        </w:tc>
      </w:tr>
      <w:tr w:rsidR="6F691FB8" w:rsidRPr="008902F2" w14:paraId="52CBF480" w14:textId="77777777" w:rsidTr="6F691FB8">
        <w:trPr>
          <w:trHeight w:val="390"/>
        </w:trPr>
        <w:tc>
          <w:tcPr>
            <w:tcW w:w="56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F1EE595" w14:textId="396739AF"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Persons who cannot operate because their license is not in effect</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5CCE34" w14:textId="71CDA15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529</w:t>
            </w:r>
          </w:p>
        </w:tc>
      </w:tr>
      <w:tr w:rsidR="6F691FB8" w:rsidRPr="008902F2" w14:paraId="491C6CF0" w14:textId="77777777" w:rsidTr="6F691FB8">
        <w:trPr>
          <w:trHeight w:val="390"/>
        </w:trPr>
        <w:tc>
          <w:tcPr>
            <w:tcW w:w="56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C9B9011" w14:textId="299040D7"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7318 sK (RG: 30.04.2021) Detections Regarding the Period Before</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549CBE" w14:textId="7284392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281</w:t>
            </w:r>
          </w:p>
        </w:tc>
      </w:tr>
      <w:tr w:rsidR="6F691FB8" w:rsidRPr="008902F2" w14:paraId="295EC711" w14:textId="77777777" w:rsidTr="6F691FB8">
        <w:trPr>
          <w:trHeight w:val="390"/>
        </w:trPr>
        <w:tc>
          <w:tcPr>
            <w:tcW w:w="56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1720A19" w14:textId="40AAAF5E"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8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1CF0009" w14:textId="3CF4365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1444</w:t>
            </w:r>
          </w:p>
        </w:tc>
      </w:tr>
    </w:tbl>
    <w:p w14:paraId="1DCA4590" w14:textId="5F1D8702" w:rsidR="002C3099" w:rsidRPr="008902F2" w:rsidRDefault="002C3099" w:rsidP="6F691FB8">
      <w:pPr>
        <w:rPr>
          <w:rFonts w:ascii="Times New Roman" w:hAnsi="Times New Roman"/>
          <w:color w:val="000000" w:themeColor="text1"/>
        </w:rPr>
      </w:pPr>
    </w:p>
    <w:p w14:paraId="27D4EFC2" w14:textId="631D2BF4"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With the same date and numbered Law amendment, the second paragraph of Article 20 of the Petroleum Market Law No. 5015 has been supplemented with the provision 'Those who are engaged in licensed activities within the scope of this Law and fail to provide the required collateral according to the paragraph (8) of the supplementary Article 257 of Law No. 213 shall be suspended until the relevant market activity is collateralized, and no other real or legal persons shall be granted a license for the said facility or activity during this period.' Detailed information regarding the transactions carried out within our Institution within the framework of these provisions is provided in the tables below.</w:t>
      </w:r>
    </w:p>
    <w:p w14:paraId="4FE900FD" w14:textId="6CABA02A" w:rsidR="002C3099" w:rsidRPr="008902F2" w:rsidRDefault="71221A60" w:rsidP="6F691FB8">
      <w:pPr>
        <w:keepNext/>
        <w:keepLines/>
        <w:spacing w:before="200" w:after="240" w:line="360" w:lineRule="auto"/>
        <w:rPr>
          <w:rFonts w:ascii="Times New Roman" w:eastAsia="Cambria" w:hAnsi="Times New Roman"/>
          <w:color w:val="000000" w:themeColor="text1"/>
        </w:rPr>
      </w:pPr>
      <w:r w:rsidRPr="008902F2">
        <w:rPr>
          <w:rStyle w:val="Gl"/>
          <w:rFonts w:ascii="Times New Roman" w:eastAsia="Cambria" w:hAnsi="Times New Roman"/>
          <w:color w:val="000000" w:themeColor="text1"/>
        </w:rPr>
        <w:lastRenderedPageBreak/>
        <w:t>Table 6.9: Transactions carried out within the scope of subparagraph (h) of the second paragraph of Article 20 of the Law No. 5015</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0"/>
        <w:gridCol w:w="2685"/>
      </w:tblGrid>
      <w:tr w:rsidR="6F691FB8" w:rsidRPr="008902F2" w14:paraId="6784C281"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599A72E" w14:textId="35172DA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Detection Type</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D480CC9" w14:textId="0DC386C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Piece</w:t>
            </w:r>
          </w:p>
        </w:tc>
      </w:tr>
      <w:tr w:rsidR="6F691FB8" w:rsidRPr="008902F2" w14:paraId="22D3A954"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51458C37" w14:textId="26C7B3BE"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Number of license holders sent from the Revenue Administration regarding the lack of collateral</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603B6824" w14:textId="6709F6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953</w:t>
            </w:r>
          </w:p>
        </w:tc>
      </w:tr>
      <w:tr w:rsidR="6F691FB8" w:rsidRPr="008902F2" w14:paraId="23F34BCE"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30B2CDAA" w14:textId="74A58463"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Number of license holders reported to have deposited collateral without a temporary suspension of activity</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020D70BB" w14:textId="7BEF119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220</w:t>
            </w:r>
          </w:p>
          <w:p w14:paraId="250F924F" w14:textId="146886EB" w:rsidR="6F691FB8" w:rsidRPr="008902F2" w:rsidRDefault="6F691FB8" w:rsidP="6F691FB8">
            <w:pPr>
              <w:spacing w:after="0" w:line="240" w:lineRule="auto"/>
              <w:jc w:val="center"/>
              <w:rPr>
                <w:rFonts w:ascii="Times New Roman" w:hAnsi="Times New Roman"/>
                <w:color w:val="000000" w:themeColor="text1"/>
              </w:rPr>
            </w:pPr>
          </w:p>
        </w:tc>
      </w:tr>
      <w:tr w:rsidR="6F691FB8" w:rsidRPr="008902F2" w14:paraId="1C52E63B"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64AE142E" w14:textId="590FFA9D"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Number of license holders notified to protocol organizations for temporary suspension of activity</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335AB8C9" w14:textId="6130944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733</w:t>
            </w:r>
          </w:p>
        </w:tc>
      </w:tr>
      <w:tr w:rsidR="6F691FB8" w:rsidRPr="008902F2" w14:paraId="00362080"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7010FD75" w14:textId="0CEEEB94"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Number of license holders whose license was subsequently terminated/cancelled</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2C87CCC8" w14:textId="2CE5FD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397</w:t>
            </w:r>
          </w:p>
        </w:tc>
      </w:tr>
      <w:tr w:rsidR="6F691FB8" w:rsidRPr="008902F2" w14:paraId="65DFE7F3"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62C3AA14" w14:textId="44049C6D"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Number of license holders reported to have deposited collateral</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51A834C6" w14:textId="600C18B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194</w:t>
            </w:r>
          </w:p>
        </w:tc>
      </w:tr>
      <w:tr w:rsidR="6F691FB8" w:rsidRPr="008902F2" w14:paraId="7D7FEC31" w14:textId="77777777" w:rsidTr="6F691FB8">
        <w:trPr>
          <w:trHeight w:val="390"/>
        </w:trPr>
        <w:tc>
          <w:tcPr>
            <w:tcW w:w="49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3CD32DE5" w14:textId="3888AD3C" w:rsidR="6F691FB8" w:rsidRPr="008902F2" w:rsidRDefault="6F691FB8" w:rsidP="6F691FB8">
            <w:pPr>
              <w:spacing w:after="0" w:line="240" w:lineRule="auto"/>
              <w:jc w:val="left"/>
              <w:rPr>
                <w:rFonts w:ascii="Times New Roman" w:hAnsi="Times New Roman"/>
                <w:color w:val="000000" w:themeColor="text1"/>
              </w:rPr>
            </w:pPr>
            <w:r w:rsidRPr="008902F2">
              <w:rPr>
                <w:rFonts w:ascii="Times New Roman" w:hAnsi="Times New Roman"/>
                <w:color w:val="000000" w:themeColor="text1"/>
              </w:rPr>
              <w:t>In the current situation, the number of license holders whose activities are temporarily suspended in relation to the guarantee obligation</w:t>
            </w:r>
          </w:p>
        </w:tc>
        <w:tc>
          <w:tcPr>
            <w:tcW w:w="26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tcPr>
          <w:p w14:paraId="073E73C2" w14:textId="2DD0559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142</w:t>
            </w:r>
          </w:p>
        </w:tc>
      </w:tr>
    </w:tbl>
    <w:p w14:paraId="4C192438" w14:textId="3FA0528A" w:rsidR="002C3099" w:rsidRPr="008902F2" w:rsidRDefault="71221A60" w:rsidP="6F691FB8">
      <w:pPr>
        <w:keepNext/>
        <w:keepLines/>
        <w:spacing w:before="200" w:after="0"/>
        <w:jc w:val="left"/>
        <w:rPr>
          <w:rFonts w:ascii="Times New Roman" w:eastAsia="Cambria" w:hAnsi="Times New Roman"/>
          <w:color w:val="000000" w:themeColor="text1"/>
        </w:rPr>
      </w:pPr>
      <w:r w:rsidRPr="008902F2">
        <w:rPr>
          <w:rStyle w:val="Gl"/>
          <w:rFonts w:ascii="Times New Roman" w:eastAsia="Cambria" w:hAnsi="Times New Roman"/>
          <w:color w:val="000000" w:themeColor="text1"/>
        </w:rPr>
        <w:t>Table 6.10: Provincial-Based Data on the Collateral Obligation applied within the scope of the General Communiqué of VUK No. 531</w:t>
      </w:r>
    </w:p>
    <w:p w14:paraId="783B6949" w14:textId="3A4731B2" w:rsidR="002C3099" w:rsidRPr="008902F2" w:rsidRDefault="002C3099" w:rsidP="6F691FB8">
      <w:pPr>
        <w:rPr>
          <w:rFonts w:ascii="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0"/>
        <w:gridCol w:w="1965"/>
        <w:gridCol w:w="2685"/>
        <w:gridCol w:w="2685"/>
        <w:gridCol w:w="1125"/>
      </w:tblGrid>
      <w:tr w:rsidR="6F691FB8" w:rsidRPr="008902F2" w14:paraId="7008BD2E" w14:textId="77777777" w:rsidTr="00613B42">
        <w:trPr>
          <w:trHeight w:val="480"/>
          <w:tblHeader/>
        </w:trPr>
        <w:tc>
          <w:tcPr>
            <w:tcW w:w="570" w:type="dxa"/>
            <w:tcBorders>
              <w:top w:val="single" w:sz="6" w:space="0" w:color="auto"/>
              <w:left w:val="single" w:sz="6" w:space="0" w:color="auto"/>
              <w:bottom w:val="single" w:sz="6" w:space="0" w:color="auto"/>
              <w:right w:val="single" w:sz="6" w:space="0" w:color="auto"/>
            </w:tcBorders>
            <w:shd w:val="clear" w:color="auto" w:fill="4682B4"/>
            <w:tcMar>
              <w:left w:w="60" w:type="dxa"/>
              <w:right w:w="60" w:type="dxa"/>
            </w:tcMar>
          </w:tcPr>
          <w:p w14:paraId="5C5BD29E" w14:textId="01F1662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No</w:t>
            </w:r>
          </w:p>
        </w:tc>
        <w:tc>
          <w:tcPr>
            <w:tcW w:w="1965" w:type="dxa"/>
            <w:tcBorders>
              <w:top w:val="single" w:sz="6" w:space="0" w:color="auto"/>
              <w:left w:val="single" w:sz="6" w:space="0" w:color="auto"/>
              <w:bottom w:val="single" w:sz="6" w:space="0" w:color="auto"/>
              <w:right w:val="single" w:sz="6" w:space="0" w:color="auto"/>
            </w:tcBorders>
            <w:shd w:val="clear" w:color="auto" w:fill="4682B4"/>
            <w:tcMar>
              <w:left w:w="60" w:type="dxa"/>
              <w:right w:w="60" w:type="dxa"/>
            </w:tcMar>
          </w:tcPr>
          <w:p w14:paraId="7D19117D" w14:textId="05E549B8"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Province</w:t>
            </w:r>
          </w:p>
        </w:tc>
        <w:tc>
          <w:tcPr>
            <w:tcW w:w="2685" w:type="dxa"/>
            <w:tcBorders>
              <w:top w:val="single" w:sz="6" w:space="0" w:color="auto"/>
              <w:left w:val="single" w:sz="6" w:space="0" w:color="auto"/>
              <w:bottom w:val="single" w:sz="6" w:space="0" w:color="auto"/>
              <w:right w:val="single" w:sz="6" w:space="0" w:color="auto"/>
            </w:tcBorders>
            <w:shd w:val="clear" w:color="auto" w:fill="4682B4"/>
            <w:tcMar>
              <w:left w:w="60" w:type="dxa"/>
              <w:right w:w="60" w:type="dxa"/>
            </w:tcMar>
          </w:tcPr>
          <w:p w14:paraId="66427196" w14:textId="0E8AC256"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Amount of Collateral to be Given</w:t>
            </w:r>
          </w:p>
        </w:tc>
        <w:tc>
          <w:tcPr>
            <w:tcW w:w="2685" w:type="dxa"/>
            <w:tcBorders>
              <w:top w:val="single" w:sz="6" w:space="0" w:color="auto"/>
              <w:left w:val="single" w:sz="6" w:space="0" w:color="auto"/>
              <w:bottom w:val="single" w:sz="6" w:space="0" w:color="auto"/>
              <w:right w:val="single" w:sz="6" w:space="0" w:color="auto"/>
            </w:tcBorders>
            <w:shd w:val="clear" w:color="auto" w:fill="4682B4"/>
            <w:tcMar>
              <w:left w:w="60" w:type="dxa"/>
              <w:right w:w="60" w:type="dxa"/>
            </w:tcMar>
          </w:tcPr>
          <w:p w14:paraId="39636E64" w14:textId="47B248E4"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Amount of Guarantee Given</w:t>
            </w:r>
          </w:p>
        </w:tc>
        <w:tc>
          <w:tcPr>
            <w:tcW w:w="1125" w:type="dxa"/>
            <w:tcBorders>
              <w:top w:val="single" w:sz="6" w:space="0" w:color="auto"/>
              <w:left w:val="single" w:sz="6" w:space="0" w:color="auto"/>
              <w:bottom w:val="single" w:sz="6" w:space="0" w:color="auto"/>
              <w:right w:val="single" w:sz="6" w:space="0" w:color="auto"/>
            </w:tcBorders>
            <w:shd w:val="clear" w:color="auto" w:fill="4682B4"/>
            <w:tcMar>
              <w:left w:w="60" w:type="dxa"/>
              <w:right w:w="60" w:type="dxa"/>
            </w:tcMar>
          </w:tcPr>
          <w:p w14:paraId="4DB0B15D" w14:textId="426D3C25"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Detections</w:t>
            </w:r>
          </w:p>
        </w:tc>
      </w:tr>
      <w:tr w:rsidR="6F691FB8" w:rsidRPr="008902F2" w14:paraId="4034ED15"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B174EB0" w14:textId="4E5E405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A4C0F31" w14:textId="787A66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ADANA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1D99B75" w14:textId="2B877E4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3.265.253,61₺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F05A0F2" w14:textId="4DDF5DE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710.000,00₺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BC5B15A" w14:textId="2A5EF61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w:t>
            </w:r>
          </w:p>
        </w:tc>
      </w:tr>
      <w:tr w:rsidR="6F691FB8" w:rsidRPr="008902F2" w14:paraId="28B4F431"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D3E6272" w14:textId="413F591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04A3DDE" w14:textId="17A3025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ADIYAMAN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4B2444D" w14:textId="61F0DF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127.022,79₺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88B6FAD" w14:textId="0F4D727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BEBC9BD" w14:textId="104C079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3D6FF0AC"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02F0382" w14:textId="27D864A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CE47088" w14:textId="22E9CC4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AFYONKARAHİSAR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F662671" w14:textId="745FC95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8.257.655,77₺</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E605F02" w14:textId="56829D7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9.385.650,00₺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42ADDC7C" w14:textId="5988999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39</w:t>
            </w:r>
          </w:p>
        </w:tc>
      </w:tr>
      <w:tr w:rsidR="6F691FB8" w:rsidRPr="008902F2" w14:paraId="41F70FA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6A55329" w14:textId="68CC83D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A0F0849" w14:textId="63BCED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AĞRI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A012EE7" w14:textId="0FF643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6.064,54₺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024B27E" w14:textId="2D0D96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6.064,54₺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61F5E59" w14:textId="73E7388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w:t>
            </w:r>
          </w:p>
        </w:tc>
      </w:tr>
      <w:tr w:rsidR="6F691FB8" w:rsidRPr="008902F2" w14:paraId="50AE4B5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A7E9DC4" w14:textId="261DDA5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5CE9E4E" w14:textId="332E9AE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AKSARAY</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ADCCC76" w14:textId="1FDF865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1.485.873,01₺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589EB4D" w14:textId="788104F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626.000,00₺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9C87A91" w14:textId="39B8A1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w:t>
            </w:r>
          </w:p>
        </w:tc>
      </w:tr>
      <w:tr w:rsidR="6F691FB8" w:rsidRPr="008902F2" w14:paraId="7C491CD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646DA47" w14:textId="405E3F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3912B7B" w14:textId="5B70DDF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AMASYA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87F1F73" w14:textId="46D8233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11.676.151,29₺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EFB6122" w14:textId="1720205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1.853.743,64₺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02C488C" w14:textId="157A42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w:t>
            </w:r>
          </w:p>
        </w:tc>
      </w:tr>
      <w:tr w:rsidR="6F691FB8" w:rsidRPr="008902F2" w14:paraId="036D836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9D4A70F" w14:textId="402663B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8191146" w14:textId="5404022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ANKARA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AF2CC2F" w14:textId="1BD62DB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15.477.432,23₺</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0EDD700" w14:textId="5DA33F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4.750.073,85₺</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BF06280" w14:textId="567D4AB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48</w:t>
            </w:r>
          </w:p>
        </w:tc>
      </w:tr>
      <w:tr w:rsidR="6F691FB8" w:rsidRPr="008902F2" w14:paraId="277A67B1"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3EB3B9A" w14:textId="4C7B835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A7DD1AE" w14:textId="1DD354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ANTALYA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1F3D045" w14:textId="3742A00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3.030.465,52₺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79EAE69" w14:textId="543507B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4.609.873,12₺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257FAA8A" w14:textId="1B5F40A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w:t>
            </w:r>
          </w:p>
        </w:tc>
      </w:tr>
      <w:tr w:rsidR="6F691FB8" w:rsidRPr="008902F2" w14:paraId="1312C46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4BD269B" w14:textId="074EF8B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1F241F9" w14:textId="5912A40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ARDAHAN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5DB6A38" w14:textId="26C2A99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921.856,76₺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58B1522" w14:textId="0AAB9E6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6B52C13" w14:textId="79EBED8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52286FCC"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4C4C130" w14:textId="71CC928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395BBA0A" w14:textId="5EF2B1E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ARTVİN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B25423A" w14:textId="276C10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53.957,14₺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034026B" w14:textId="50A97BE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9820BB1" w14:textId="607610A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104C88A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067F093" w14:textId="31E218D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CAD2EA3" w14:textId="47C8A2E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AYDIN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A0E0023" w14:textId="7FC931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25.068.313,91₺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C141E93" w14:textId="24E5244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1.551.263,17₺</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4DDC9C7" w14:textId="356FD40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39</w:t>
            </w:r>
          </w:p>
        </w:tc>
      </w:tr>
      <w:tr w:rsidR="6F691FB8" w:rsidRPr="008902F2" w14:paraId="327354E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F2BECC5" w14:textId="28BE78B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4B620CF" w14:textId="087BF66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BALIKESİR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6782712" w14:textId="7D6FC8A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10.622.252,65₺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8F6BF85" w14:textId="13539DA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5.577.920,93₺</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1DD4145" w14:textId="1A7740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w:t>
            </w:r>
          </w:p>
        </w:tc>
      </w:tr>
      <w:tr w:rsidR="6F691FB8" w:rsidRPr="008902F2" w14:paraId="6B07029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5BA3DC2" w14:textId="0EB52F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8F1A8C3" w14:textId="432DAB7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BARTIN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957562E" w14:textId="65B42DC2" w:rsidR="6F691FB8" w:rsidRPr="008902F2" w:rsidRDefault="6F691FB8" w:rsidP="6F691FB8">
            <w:pPr>
              <w:spacing w:after="0" w:line="240" w:lineRule="auto"/>
              <w:jc w:val="center"/>
              <w:rPr>
                <w:rFonts w:ascii="Times New Roman" w:hAnsi="Times New Roman"/>
                <w:color w:val="000000" w:themeColor="text1"/>
              </w:rPr>
            </w:pP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91A87F3" w14:textId="0ECABB38" w:rsidR="6F691FB8" w:rsidRPr="008902F2" w:rsidRDefault="6F691FB8" w:rsidP="6F691FB8">
            <w:pPr>
              <w:spacing w:after="0" w:line="240" w:lineRule="auto"/>
              <w:jc w:val="center"/>
              <w:rPr>
                <w:rFonts w:ascii="Times New Roman" w:hAnsi="Times New Roman"/>
                <w:color w:val="000000" w:themeColor="text1"/>
              </w:rPr>
            </w:pP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AC49E15" w14:textId="4BB439D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70BD335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EBF134F" w14:textId="2F382A4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7BAACD9" w14:textId="25B7AC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BATMAN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D609268" w14:textId="39E254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19.760.935,49₺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ED087DA" w14:textId="154B5F2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4.653.094,97₺</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F26D7DB" w14:textId="73B7581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w:t>
            </w:r>
          </w:p>
        </w:tc>
      </w:tr>
      <w:tr w:rsidR="6F691FB8" w:rsidRPr="008902F2" w14:paraId="5AAAF35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3935E2C" w14:textId="35DEDF0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11AF690" w14:textId="287BBC6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BİLECİK</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10C9C81" w14:textId="5229182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265.919,86₺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8730237" w14:textId="4768EF1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7508905" w14:textId="0D407D3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w:t>
            </w:r>
          </w:p>
        </w:tc>
      </w:tr>
      <w:tr w:rsidR="6F691FB8" w:rsidRPr="008902F2" w14:paraId="16EAC4B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1A6B4C7" w14:textId="20164F7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3946748" w14:textId="53A6DBD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BİNGÖL</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9767379" w14:textId="2E522EF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75.411,49₺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B299781" w14:textId="5D79C7D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E80FA02" w14:textId="324AEAC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4A8F850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736D64F" w14:textId="0829A02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FE6816A" w14:textId="6696F60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BİTLİS</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9B35046" w14:textId="009929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292.583,56₺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A8FB807" w14:textId="50B0B99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293.000,00₺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77C4310" w14:textId="0A72A1E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7502555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8C908D1" w14:textId="4BE2BDA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12728FE" w14:textId="7498FA7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BOLU</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A1A582D" w14:textId="5EC25B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3.442.818,04₺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38FD4C3" w14:textId="09ECA8B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2.690.016,45₺</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87CF6AA" w14:textId="3D22DD8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w:t>
            </w:r>
          </w:p>
        </w:tc>
      </w:tr>
      <w:tr w:rsidR="6F691FB8" w:rsidRPr="008902F2" w14:paraId="334ACA1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A8651BF" w14:textId="0CE934C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859D951" w14:textId="7361476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BURDUR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D1A1478" w14:textId="371FA02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2.371.526,91₺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58E185B" w14:textId="37A9986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0B88531" w14:textId="579D5F3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02644289"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362FD0C" w14:textId="1FB9F5B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A2449BF" w14:textId="306039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BURSA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A7DF90F" w14:textId="6C5E00B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1.772.286,21₺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6BF8160" w14:textId="57669BA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1.352.246,45₺</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692F640A" w14:textId="2AE192C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w:t>
            </w:r>
          </w:p>
        </w:tc>
      </w:tr>
      <w:tr w:rsidR="6F691FB8" w:rsidRPr="008902F2" w14:paraId="610242A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325BA1D" w14:textId="4574126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99BFBCD" w14:textId="0E0AE59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ÇANAKKALE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64DDEDF" w14:textId="41B0A3E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429.047,94₺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621947E" w14:textId="7F0339B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9607D94" w14:textId="0C9BF71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w:t>
            </w:r>
          </w:p>
        </w:tc>
      </w:tr>
      <w:tr w:rsidR="6F691FB8" w:rsidRPr="008902F2" w14:paraId="452BB54D"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C29A68E" w14:textId="5A48772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EBF30F0" w14:textId="0AD944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ÇANKIRI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10AF7F1" w14:textId="36C1A56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12.584.351,25₺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1C07433" w14:textId="7689244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876.663,06₺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FCE33F7" w14:textId="77B5AFE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w:t>
            </w:r>
          </w:p>
        </w:tc>
      </w:tr>
      <w:tr w:rsidR="6F691FB8" w:rsidRPr="008902F2" w14:paraId="1FC59F7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BF839BC" w14:textId="6261F59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lastRenderedPageBreak/>
              <w:t>23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1F72177" w14:textId="0ED552C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ÇORUM</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A406BC9" w14:textId="2F95C6F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1.135.190,88₺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748D437" w14:textId="7E18363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7FC658A" w14:textId="18C3491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w:t>
            </w:r>
          </w:p>
        </w:tc>
      </w:tr>
      <w:tr w:rsidR="6F691FB8" w:rsidRPr="008902F2" w14:paraId="56DC781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0FAB326" w14:textId="1376AF1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E456583" w14:textId="19A47B0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DENİZLİ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F034FB2" w14:textId="0D6700E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512.197,58₺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B2ED2F4" w14:textId="4528D62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228.000,00₺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6CC4329" w14:textId="675FFD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r>
      <w:tr w:rsidR="6F691FB8" w:rsidRPr="008902F2" w14:paraId="080CF48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75665E8" w14:textId="650285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CF1B190" w14:textId="181BD6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DİYARBAKIR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72F433A" w14:textId="5E3530C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9.257.768,93₺</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E6D5FB9" w14:textId="12741B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11.565.972,15₺</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3967DFA" w14:textId="18EFB09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w:t>
            </w:r>
          </w:p>
        </w:tc>
      </w:tr>
      <w:tr w:rsidR="6F691FB8" w:rsidRPr="008902F2" w14:paraId="7EFC294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7CCA68E" w14:textId="4AF39E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99FF887" w14:textId="0255241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DÜZCE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50FF98C" w14:textId="6F7F3E9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678.241,29₺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13589EE" w14:textId="1727F19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420.540,82₺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BC303B1" w14:textId="3C856C6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w:t>
            </w:r>
          </w:p>
        </w:tc>
      </w:tr>
      <w:tr w:rsidR="6F691FB8" w:rsidRPr="008902F2" w14:paraId="658C7727"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8DE7D9F" w14:textId="1FFA53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47DEBA1" w14:textId="555AF36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EDİRNE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450697D" w14:textId="620899D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1.627.313,59₺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9E1DC74" w14:textId="4EAA21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06B79A9" w14:textId="0A76AB3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6E3217E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2F7EA3A" w14:textId="2C91498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7C03483" w14:textId="4AC742F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ELAZIĞ</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B7D5850" w14:textId="3A6E295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649.860,61₺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EBB639A" w14:textId="319AF9A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364.322,95₺</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466524A0" w14:textId="337844C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w:t>
            </w:r>
          </w:p>
        </w:tc>
      </w:tr>
      <w:tr w:rsidR="6F691FB8" w:rsidRPr="008902F2" w14:paraId="3E16906B"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37ED3FA" w14:textId="69438E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36F52E7" w14:textId="057091A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ERZİNCAN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63E8376" w14:textId="4C4EA5F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197.861,48₺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A5B80AE" w14:textId="53ECD9C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197.873,50₺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B5D04FB" w14:textId="703EB1F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w:t>
            </w:r>
          </w:p>
        </w:tc>
      </w:tr>
      <w:tr w:rsidR="6F691FB8" w:rsidRPr="008902F2" w14:paraId="3F0D2BD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5D0F053" w14:textId="50AC113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FE7362A" w14:textId="2D856A8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ERZURUM</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8F60E84" w14:textId="651E607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14.610.003,47₺</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E4970D9" w14:textId="334217C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67DE22B7" w14:textId="2385A2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w:t>
            </w:r>
          </w:p>
        </w:tc>
      </w:tr>
      <w:tr w:rsidR="6F691FB8" w:rsidRPr="008902F2" w14:paraId="5415C2A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748FF47" w14:textId="291ADE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F07B7F7" w14:textId="1BDA0A7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ESKİŞEHİR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EDDACD8" w14:textId="41CB9B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1.476.032,14₺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B751EF3" w14:textId="7DE8DA2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658.000,00₺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6B1EA1BA" w14:textId="618672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w:t>
            </w:r>
          </w:p>
        </w:tc>
      </w:tr>
      <w:tr w:rsidR="6F691FB8" w:rsidRPr="008902F2" w14:paraId="7C1EA22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C39D19B" w14:textId="46F3328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D92E10A" w14:textId="3D6D077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GAZİANTEP</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4DBC548" w14:textId="29A780E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2.119.334,23₺</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E189656" w14:textId="7DAD859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4.425.219,92₺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F8119A5" w14:textId="5E0F107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3F14002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FD919C2" w14:textId="1918E7E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36B8FED1" w14:textId="6498BD7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GİRESUN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4400010" w14:textId="3B61D41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5.961,65₺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7A656BA" w14:textId="00739C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D41B3E3" w14:textId="7C62CF6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6BB5AB51"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31707F8" w14:textId="3BC9936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BC6C79A" w14:textId="1791EFA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GÜMÜŞHANE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0258336" w14:textId="52217D3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178.857,54₺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857EDB9" w14:textId="23664B4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123.715,54₺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4A1D416E" w14:textId="3F9A604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w:t>
            </w:r>
          </w:p>
        </w:tc>
      </w:tr>
      <w:tr w:rsidR="6F691FB8" w:rsidRPr="008902F2" w14:paraId="6304056F"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35D8FDA" w14:textId="1E4BDCB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FB06CC7" w14:textId="1C37EA0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HAKKARİ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53469AD" w14:textId="41596E8E" w:rsidR="6F691FB8" w:rsidRPr="008902F2" w:rsidRDefault="6F691FB8" w:rsidP="6F691FB8">
            <w:pPr>
              <w:spacing w:after="0" w:line="240" w:lineRule="auto"/>
              <w:jc w:val="center"/>
              <w:rPr>
                <w:rFonts w:ascii="Times New Roman" w:hAnsi="Times New Roman"/>
                <w:color w:val="000000" w:themeColor="text1"/>
              </w:rPr>
            </w:pP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4E168F9" w14:textId="22EA4537" w:rsidR="6F691FB8" w:rsidRPr="008902F2" w:rsidRDefault="6F691FB8" w:rsidP="6F691FB8">
            <w:pPr>
              <w:spacing w:after="0" w:line="240" w:lineRule="auto"/>
              <w:jc w:val="center"/>
              <w:rPr>
                <w:rFonts w:ascii="Times New Roman" w:hAnsi="Times New Roman"/>
                <w:color w:val="000000" w:themeColor="text1"/>
              </w:rPr>
            </w:pP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AB1C644" w14:textId="2537C79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658E39D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EA321AC" w14:textId="7202374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529CF14" w14:textId="62F753E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HATAY</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D00AEEF" w14:textId="2732D49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36.577,16₺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8A35D3B" w14:textId="3B5853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AD5AD8F" w14:textId="199D151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39BF557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82BE3E7" w14:textId="26A90B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29B507F" w14:textId="43E62D5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IĞDIR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6CF4FC4" w14:textId="22A2588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2.088.474,36₺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B7C2A11" w14:textId="0EE7774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127.000,00₺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1781A46" w14:textId="182501D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r>
      <w:tr w:rsidR="6F691FB8" w:rsidRPr="008902F2" w14:paraId="106BFD99"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1508FAE" w14:textId="159503F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D70984D" w14:textId="45F82A8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ISPARTA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B9E05F5" w14:textId="650E9F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3.250.000,00₺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43024EC" w14:textId="3B0CEE5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88C9E0A" w14:textId="48D0DC4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w:t>
            </w:r>
          </w:p>
        </w:tc>
      </w:tr>
      <w:tr w:rsidR="6F691FB8" w:rsidRPr="008902F2" w14:paraId="39DE142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4366F5D" w14:textId="5CEC990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306140D0" w14:textId="5D35C47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İSTANBUL</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DF97505" w14:textId="642D019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16.871.861,26₺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BD745C0" w14:textId="38B232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2.164.460,00₺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DBFAEC9" w14:textId="30E4B79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37</w:t>
            </w:r>
          </w:p>
        </w:tc>
      </w:tr>
      <w:tr w:rsidR="6F691FB8" w:rsidRPr="008902F2" w14:paraId="59F393E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266E195" w14:textId="457A9E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428819F" w14:textId="4DE991D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İZMİR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4600EDA" w14:textId="318F68C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9.175.821,70₺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D8507D2" w14:textId="1D883C1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6.000.005,24₺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FFBF0C7" w14:textId="5986DB3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w:t>
            </w:r>
          </w:p>
        </w:tc>
      </w:tr>
      <w:tr w:rsidR="6F691FB8" w:rsidRPr="008902F2" w14:paraId="6BFEF317"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F0CF90B" w14:textId="381BC2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ED74F62" w14:textId="0EDF85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KAHRAMANMARAŞ</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BB52AE0" w14:textId="7294206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202.786,68₺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EAC744C" w14:textId="62D33F0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24.578,26₺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9F0743C" w14:textId="34749D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r>
      <w:tr w:rsidR="6F691FB8" w:rsidRPr="008902F2" w14:paraId="367ED709"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7501C57" w14:textId="256DBFA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35B13A66" w14:textId="392827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KARABÜK</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2F89B37" w14:textId="47F6BD4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1.468.466,12₺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CEBCBCF" w14:textId="25F230B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900.000,00₺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8C146B7" w14:textId="1D5F97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0509CEB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E9EA623" w14:textId="35F929A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972520E" w14:textId="71D976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KARAMAN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E8091DD" w14:textId="4F978BE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648.471,50₺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0F522FB" w14:textId="134DEF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7816BBF" w14:textId="6B7F1A6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w:t>
            </w:r>
          </w:p>
        </w:tc>
      </w:tr>
      <w:tr w:rsidR="6F691FB8" w:rsidRPr="008902F2" w14:paraId="7F0AF39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D013EA8" w14:textId="402692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AFE002D" w14:textId="0D9A518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KARS</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741D769" w14:textId="7CE4963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611.524,86₺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73AEBA2" w14:textId="46D539C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42F478D8" w14:textId="0AF8B1E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51022456"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02870B1" w14:textId="3DBC0B2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5E08A87" w14:textId="175B572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KASTAMONU</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C707EE8" w14:textId="08DE77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3.710.689,74₺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547C703" w14:textId="50DEF94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4.497.645,00₺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86B327C" w14:textId="7C6426A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r>
      <w:tr w:rsidR="6F691FB8" w:rsidRPr="008902F2" w14:paraId="221F841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48B3154" w14:textId="241501F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A1DFFAC" w14:textId="0E52B37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KAYSERİ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5AC5839" w14:textId="440575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1.379.536,55₺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AF3B62D" w14:textId="118619C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718.000,00₺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1472D40" w14:textId="1BD1EB7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09FBBBF6"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5CC404B" w14:textId="2C20845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B16D2FE" w14:textId="72AE44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KIRIKKALE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26F2886" w14:textId="5AC839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3.000.961,24₺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04C09DB" w14:textId="1FB2FF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258.000,00₺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2B2A2779" w14:textId="3747F37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r>
      <w:tr w:rsidR="6F691FB8" w:rsidRPr="008902F2" w14:paraId="56F7FCF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649824E" w14:textId="3603E88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A70741F" w14:textId="61F8E7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KIRKLARELİ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CB6A141" w14:textId="5AE37B7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3.159.465,10₺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404A128" w14:textId="14AA09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102.801,12₺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D992CB5" w14:textId="6277A0F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3FD6A4C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1A2E2E7" w14:textId="128016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90871A6" w14:textId="7AC6C95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KIRŞEHİR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B30381C" w14:textId="3802EAC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1.769.033,12₺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8581EB7" w14:textId="2DD80A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1.300.000,00₺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F8A1515" w14:textId="1BD75BA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w:t>
            </w:r>
          </w:p>
        </w:tc>
      </w:tr>
      <w:tr w:rsidR="6F691FB8" w:rsidRPr="008902F2" w14:paraId="3057ABB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D9C0A02" w14:textId="4BF3783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0D3E11C" w14:textId="0D93759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KOCAELİ</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ED7A654" w14:textId="6A85ED7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5.986.815,64₺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DB70F6A" w14:textId="6E594D3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3.331.574,93₺</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1AB1094" w14:textId="55E426B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w:t>
            </w:r>
          </w:p>
        </w:tc>
      </w:tr>
      <w:tr w:rsidR="6F691FB8" w:rsidRPr="008902F2" w14:paraId="378AB970"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4201002" w14:textId="6C88A72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27C9D7B" w14:textId="38577E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KONYA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4F14C79" w14:textId="7140222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16.439.493,54₺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7D5389D" w14:textId="01381D6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6.624.137,50₺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299E2215" w14:textId="00D1389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w:t>
            </w:r>
          </w:p>
        </w:tc>
      </w:tr>
      <w:tr w:rsidR="6F691FB8" w:rsidRPr="008902F2" w14:paraId="5EFF38B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44D48BD" w14:textId="11BCCA2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C0C2466" w14:textId="1581AEF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KÜTAHYA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156F2B1" w14:textId="59F63F8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1.834.609,49₺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3AE5C0D" w14:textId="276FBF3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122.588,66₺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49758DC" w14:textId="070C55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w:t>
            </w:r>
          </w:p>
        </w:tc>
      </w:tr>
      <w:tr w:rsidR="6F691FB8" w:rsidRPr="008902F2" w14:paraId="1D06D1E9"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18894C9" w14:textId="7BCFBD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C1983B8" w14:textId="759E398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MALATYA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86A6A5B" w14:textId="3D40C70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93.388,96₺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CD539AC" w14:textId="520CC29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084EBAE7" w14:textId="3BA7712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2719D7C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C84137F" w14:textId="1897CB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32B52E57" w14:textId="2AD512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MANİSA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67952F3" w14:textId="764943F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6.301.359,93₺</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326E51E" w14:textId="2937809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3.130.444,06₺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C9BB946" w14:textId="01A9F4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w:t>
            </w:r>
          </w:p>
        </w:tc>
      </w:tr>
      <w:tr w:rsidR="6F691FB8" w:rsidRPr="008902F2" w14:paraId="4F1C53E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90E3373" w14:textId="572CBB2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704A1DE" w14:textId="68CCCBB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MARDİN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2CF2FB8" w14:textId="47D502F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7.291.308,07₺</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C26578D" w14:textId="6EDE507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352.731,47₺</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9C1BE2F" w14:textId="08F7E59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462B215C"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3100606" w14:textId="172A6E0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C86AE65" w14:textId="03D0361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MERSİN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681D222" w14:textId="62021D2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7.394.150,21₺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A52FFD5" w14:textId="5B1C12E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1.518.235,39₺</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EF06D0D" w14:textId="05BF49F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w:t>
            </w:r>
          </w:p>
        </w:tc>
      </w:tr>
      <w:tr w:rsidR="6F691FB8" w:rsidRPr="008902F2" w14:paraId="5E7CA4A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5317AEE" w14:textId="45C19F7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B865FEE" w14:textId="2B13A3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MUĞLA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410CD0D" w14:textId="347DE3F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1.012.413,11₺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B8DF1B1" w14:textId="111C14B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497.887,94₺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EF7D490" w14:textId="4E1A106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18</w:t>
            </w:r>
          </w:p>
        </w:tc>
      </w:tr>
      <w:tr w:rsidR="6F691FB8" w:rsidRPr="008902F2" w14:paraId="19E3CD04"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287848B" w14:textId="62A8E7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57FA9D5" w14:textId="6B1F9C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MUŞ</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F96147A" w14:textId="2DB844A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60.324,36₺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B3FCC81" w14:textId="1E2D9DA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61F0D60" w14:textId="32ABDBB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0E671C94"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7F3BA2A" w14:textId="3BA1132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D289D62" w14:textId="4FFC5EF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NEVŞEHİR</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CDB1F67" w14:textId="64BFF1C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3.475.584,55₺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ACED760" w14:textId="027002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1.450.000,00₺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EE9F85E" w14:textId="2F48F3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10</w:t>
            </w:r>
          </w:p>
        </w:tc>
      </w:tr>
      <w:tr w:rsidR="6F691FB8" w:rsidRPr="008902F2" w14:paraId="46811FA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CEEFDB2" w14:textId="7DAAC63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6CF6504" w14:textId="4A751EB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NİĞDE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7D735D3" w14:textId="11ADF9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61.018.406,14₺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97F24D2" w14:textId="24EDC65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5.850.000,00₺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A1618D8" w14:textId="63B215B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24</w:t>
            </w:r>
          </w:p>
        </w:tc>
      </w:tr>
      <w:tr w:rsidR="6F691FB8" w:rsidRPr="008902F2" w14:paraId="70216371"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9EA1B71" w14:textId="557A8D3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EE73773" w14:textId="6ACC954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ORDU</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D2A4197" w14:textId="2DEEA65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38,51₺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6C2CB11" w14:textId="1AE0186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28F8B715" w14:textId="778C67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w:t>
            </w:r>
          </w:p>
        </w:tc>
      </w:tr>
      <w:tr w:rsidR="6F691FB8" w:rsidRPr="008902F2" w14:paraId="5165CDCF"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EE1EFF4" w14:textId="6DAB04D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A14A5D5" w14:textId="7523A2C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OSMANİYE</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3D1DA55" w14:textId="3BCDF76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569.787,00₺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628523F" w14:textId="255D8BC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1B20BBD5" w14:textId="28F84CF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40B16BC4"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5C6450CF" w14:textId="7F4DDB4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F2A31F2" w14:textId="4B22E7E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SAKARYA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E78D1F9" w14:textId="135C9CE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1.650.198,05₺</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60D0799" w14:textId="240DAF1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436.452,04₺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638F768F" w14:textId="4B93D68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r>
      <w:tr w:rsidR="6F691FB8" w:rsidRPr="008902F2" w14:paraId="5872C19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178E5EF" w14:textId="1F7D74E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lastRenderedPageBreak/>
              <w:t>64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91324EF" w14:textId="73A1B0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SAMSUN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15DFEF6" w14:textId="30A1AC5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3.045.572,60₺</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EFBB1F9" w14:textId="0D161A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3.266.511,36₺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E931854" w14:textId="559AD14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r>
      <w:tr w:rsidR="6F691FB8" w:rsidRPr="008902F2" w14:paraId="28064D6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4314144" w14:textId="55D81EB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0978C26" w14:textId="351D4A9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SİİRT</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DCD4D6D" w14:textId="7DA400F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476.826,89₺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81E0187" w14:textId="5B1BC3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477.000,00₺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6E95DFB" w14:textId="4DBDE50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056729EB"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2FF4206" w14:textId="3E94F24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9191B4C" w14:textId="667F1CD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SİNOP</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9C84027" w14:textId="3B71C3D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197.089,74₺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2499790" w14:textId="0D24E33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B3F9D95" w14:textId="4CED4BA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w:t>
            </w:r>
          </w:p>
        </w:tc>
      </w:tr>
      <w:tr w:rsidR="6F691FB8" w:rsidRPr="008902F2" w14:paraId="504E0FF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37516E2E" w14:textId="62114E1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88DE92B" w14:textId="098C1C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SİVAS</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C3E3C34" w14:textId="6E7F0DC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3.827.745,04₺</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84F084E" w14:textId="3832B64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1.764.767,38₺</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51DF171" w14:textId="0A9E3FB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17</w:t>
            </w:r>
          </w:p>
        </w:tc>
      </w:tr>
      <w:tr w:rsidR="6F691FB8" w:rsidRPr="008902F2" w14:paraId="0B2F29BC"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02D07E2F" w14:textId="450C4D9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68</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34F8A6F" w14:textId="0A9A195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ŞANLIURFA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8AC363D" w14:textId="15F798F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8.902.452,13₺</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6686246" w14:textId="3F03C99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1.924.233,84₺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3A3EAED" w14:textId="63A58E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39</w:t>
            </w:r>
          </w:p>
        </w:tc>
      </w:tr>
      <w:tr w:rsidR="6F691FB8" w:rsidRPr="008902F2" w14:paraId="4F46EB28"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3561B2D" w14:textId="7296E5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69</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1A5DCE7" w14:textId="42999F7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ŞIRNAK</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98BC402" w14:textId="6B09208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752.985,12₺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292E4F4" w14:textId="7ECCC9F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4357181" w14:textId="71AD20D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4</w:t>
            </w:r>
          </w:p>
        </w:tc>
      </w:tr>
      <w:tr w:rsidR="6F691FB8" w:rsidRPr="008902F2" w14:paraId="3B48B4FE"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405D665" w14:textId="349D35E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70</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F09E4B1" w14:textId="6F0EC1A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TEKİRDAĞ</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B665E56" w14:textId="1688445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2.215.255,58₺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8F521D6" w14:textId="73E21AE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911.875,11₺</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4E46D11E" w14:textId="7115DA3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w:t>
            </w:r>
          </w:p>
        </w:tc>
      </w:tr>
      <w:tr w:rsidR="6F691FB8" w:rsidRPr="008902F2" w14:paraId="6110302A"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87A069E" w14:textId="3CDF4B0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71</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4BC9EBE4" w14:textId="596D40A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TOKAT</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E36128B" w14:textId="6889060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760.513,31₺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257A5B3" w14:textId="35A30A7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1.119.873,00₺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6079B405" w14:textId="6D124D9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12</w:t>
            </w:r>
          </w:p>
        </w:tc>
      </w:tr>
      <w:tr w:rsidR="6F691FB8" w:rsidRPr="008902F2" w14:paraId="796B1646"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F53D956" w14:textId="4FDE17A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72</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6A65BE37" w14:textId="64BD841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TRABZON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4CAE17E6" w14:textId="3BE0BCE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830.490,82₺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98661F7" w14:textId="493A37D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539.604,04₺</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03A8432" w14:textId="1E6991C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w:t>
            </w:r>
          </w:p>
        </w:tc>
      </w:tr>
      <w:tr w:rsidR="6F691FB8" w:rsidRPr="008902F2" w14:paraId="00BDD13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8701CAE" w14:textId="0C58BB5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73</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7DAEE70E" w14:textId="38C2DF6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UŞAK</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16B6DD6F" w14:textId="0C4879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3.898.120,89₺</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76F523D" w14:textId="2A4D3CE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193.847,66₺</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72832D5" w14:textId="175D54A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15</w:t>
            </w:r>
          </w:p>
        </w:tc>
      </w:tr>
      <w:tr w:rsidR="6F691FB8" w:rsidRPr="008902F2" w14:paraId="5F9C624C"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78CC1511" w14:textId="4A45D24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74</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9253B1D" w14:textId="43FBE8E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VAN</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8DFAD24" w14:textId="2332365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2.998.096,72₺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42929E6" w14:textId="0384CE3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3.037.325,52₺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3ED0F417" w14:textId="764B0D5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13</w:t>
            </w:r>
          </w:p>
        </w:tc>
      </w:tr>
      <w:tr w:rsidR="6F691FB8" w:rsidRPr="008902F2" w14:paraId="17DE6C92"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6CE38EE6" w14:textId="25A8985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75</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1F5F3961" w14:textId="00A365F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YALOVA</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077E7520" w14:textId="6D57776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366.939,98₺</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7714D48F" w14:textId="6560C93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270.111,90₺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D6B245D" w14:textId="6486DD8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6</w:t>
            </w:r>
          </w:p>
        </w:tc>
      </w:tr>
      <w:tr w:rsidR="6F691FB8" w:rsidRPr="008902F2" w14:paraId="116EF0B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1A8636AA" w14:textId="68337F8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76</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2D0AF7F4" w14:textId="06F181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YOZGAT</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28111D21" w14:textId="2E85B721"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355.693,02₺</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EE88940" w14:textId="5B68265C"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7A9A2AD5" w14:textId="7E81EFD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540934A5"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4321E469" w14:textId="7E785A9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77</w:t>
            </w: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03923E90" w14:textId="155A7FE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ZONGULDAK</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6AB75D18" w14:textId="27D9D4C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83.765,21₺</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2784364" w14:textId="0AF855A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0,00₺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5406388D" w14:textId="1FC7408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7</w:t>
            </w:r>
          </w:p>
        </w:tc>
      </w:tr>
      <w:tr w:rsidR="6F691FB8" w:rsidRPr="008902F2" w14:paraId="242BBDC3" w14:textId="77777777" w:rsidTr="6F691FB8">
        <w:trPr>
          <w:trHeight w:val="300"/>
        </w:trPr>
        <w:tc>
          <w:tcPr>
            <w:tcW w:w="570" w:type="dxa"/>
            <w:tcBorders>
              <w:top w:val="single" w:sz="6" w:space="0" w:color="auto"/>
              <w:left w:val="single" w:sz="6" w:space="0" w:color="auto"/>
              <w:bottom w:val="single" w:sz="6" w:space="0" w:color="auto"/>
              <w:right w:val="single" w:sz="6" w:space="0" w:color="auto"/>
            </w:tcBorders>
            <w:tcMar>
              <w:left w:w="60" w:type="dxa"/>
              <w:right w:w="60" w:type="dxa"/>
            </w:tcMar>
          </w:tcPr>
          <w:p w14:paraId="23F5E673" w14:textId="5D8A75C6" w:rsidR="6F691FB8" w:rsidRPr="008902F2" w:rsidRDefault="6F691FB8" w:rsidP="6F691FB8">
            <w:pPr>
              <w:spacing w:after="0" w:line="240" w:lineRule="auto"/>
              <w:jc w:val="center"/>
              <w:rPr>
                <w:rFonts w:ascii="Times New Roman" w:hAnsi="Times New Roman"/>
                <w:color w:val="000000" w:themeColor="text1"/>
              </w:rPr>
            </w:pPr>
          </w:p>
        </w:tc>
        <w:tc>
          <w:tcPr>
            <w:tcW w:w="1965" w:type="dxa"/>
            <w:tcBorders>
              <w:top w:val="single" w:sz="6" w:space="0" w:color="auto"/>
              <w:left w:val="single" w:sz="6" w:space="0" w:color="auto"/>
              <w:bottom w:val="single" w:sz="6" w:space="0" w:color="auto"/>
              <w:right w:val="single" w:sz="6" w:space="0" w:color="auto"/>
            </w:tcBorders>
            <w:tcMar>
              <w:left w:w="60" w:type="dxa"/>
              <w:right w:w="60" w:type="dxa"/>
            </w:tcMar>
          </w:tcPr>
          <w:p w14:paraId="5940022D" w14:textId="63B3A0DB"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TOPLAM</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33E09E8B" w14:textId="22AE591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342.648.897,36₺</w:t>
            </w:r>
          </w:p>
        </w:tc>
        <w:tc>
          <w:tcPr>
            <w:tcW w:w="2685" w:type="dxa"/>
            <w:tcBorders>
              <w:top w:val="single" w:sz="6" w:space="0" w:color="auto"/>
              <w:left w:val="single" w:sz="6" w:space="0" w:color="auto"/>
              <w:bottom w:val="single" w:sz="6" w:space="0" w:color="auto"/>
              <w:right w:val="single" w:sz="6" w:space="0" w:color="auto"/>
            </w:tcBorders>
            <w:tcMar>
              <w:left w:w="60" w:type="dxa"/>
              <w:right w:w="60" w:type="dxa"/>
            </w:tcMar>
          </w:tcPr>
          <w:p w14:paraId="5F0A4500" w14:textId="52BE325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109.930.946,48₺</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tcPr>
          <w:p w14:paraId="212FB231" w14:textId="0BC5C98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953</w:t>
            </w:r>
          </w:p>
        </w:tc>
      </w:tr>
    </w:tbl>
    <w:p w14:paraId="66DE3D26" w14:textId="2EB99109" w:rsidR="002C3099" w:rsidRPr="008902F2" w:rsidRDefault="002C3099" w:rsidP="6F691FB8">
      <w:pPr>
        <w:spacing w:after="0" w:line="240" w:lineRule="auto"/>
        <w:rPr>
          <w:rFonts w:ascii="Times New Roman" w:hAnsi="Times New Roman"/>
          <w:color w:val="000000" w:themeColor="text1"/>
        </w:rPr>
      </w:pPr>
    </w:p>
    <w:p w14:paraId="78E6F883" w14:textId="064A8A32" w:rsidR="002C3099" w:rsidRPr="008902F2" w:rsidRDefault="6F691FB8" w:rsidP="00514000">
      <w:pPr>
        <w:pStyle w:val="Balk2"/>
        <w:rPr>
          <w:rFonts w:ascii="Times New Roman" w:hAnsi="Times New Roman" w:cs="Times New Roman"/>
        </w:rPr>
      </w:pPr>
      <w:bookmarkStart w:id="182" w:name="_Toc143113465"/>
      <w:r w:rsidRPr="008902F2">
        <w:rPr>
          <w:rFonts w:ascii="Times New Roman" w:hAnsi="Times New Roman" w:cs="Times New Roman"/>
        </w:rPr>
        <w:t xml:space="preserve">6. </w:t>
      </w:r>
      <w:r w:rsidR="06EBC681" w:rsidRPr="008902F2">
        <w:rPr>
          <w:rFonts w:ascii="Times New Roman" w:hAnsi="Times New Roman" w:cs="Times New Roman"/>
        </w:rPr>
        <w:t xml:space="preserve">4. </w:t>
      </w:r>
      <w:r w:rsidR="71221A60" w:rsidRPr="008902F2">
        <w:rPr>
          <w:rFonts w:ascii="Times New Roman" w:hAnsi="Times New Roman" w:cs="Times New Roman"/>
        </w:rPr>
        <w:t>Liquefied Petroleum Gas Market Audit Activities</w:t>
      </w:r>
      <w:bookmarkEnd w:id="182"/>
    </w:p>
    <w:p w14:paraId="48E5D749" w14:textId="6BD3A5C2"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LPG market audits are carried out by examining and evaluating the compliance of market-related activities and accounts of real or legal persons operating in the market with the relevant legislation. Inspection and inspection activities and sanctions and penalties to be applied as a result of the activities carried out in the LPG market are implemented within the framework of Article 16 of the Law No. 5307. Transactions are also carried out within the scope of the secondary legislation enacted based on the provisions of this Law. Within the scope of Cooperation Protocols Regarding Audits to be Made in the Petroleum Market and LPG Market, the entire market was inspected, and the activities of real or legal persons operating without a license were stopped by sealing.</w:t>
      </w:r>
    </w:p>
    <w:p w14:paraId="755820F8" w14:textId="2EE0807B" w:rsidR="002C3099" w:rsidRPr="008902F2" w:rsidRDefault="71221A60" w:rsidP="004E0CD2">
      <w:pPr>
        <w:keepNext/>
        <w:keepLines/>
        <w:spacing w:before="200" w:after="0"/>
        <w:rPr>
          <w:rFonts w:ascii="Times New Roman" w:eastAsia="Cambria" w:hAnsi="Times New Roman"/>
          <w:color w:val="000000" w:themeColor="text1"/>
        </w:rPr>
      </w:pPr>
      <w:r w:rsidRPr="008902F2">
        <w:rPr>
          <w:rStyle w:val="Gl"/>
          <w:rFonts w:ascii="Times New Roman" w:eastAsia="Cambria" w:hAnsi="Times New Roman"/>
          <w:b w:val="0"/>
          <w:bCs w:val="0"/>
          <w:color w:val="000000" w:themeColor="text1"/>
        </w:rPr>
        <w:t xml:space="preserve">The Law No. 5307 on Liquefied Petroleum Gas (LPG) Market Law and the Law Amending the Electricity Market Law, Regulation on the Procedures and Principles to be Followed in the Inspections to be Made in the Liquefied Petroleum Gases (LPG) Market and the Preliminary Research and Investigations, Cooperation on the Inspections to be Made in the Petroleum Market and LPG Market Inspections have been made within the scope of the protocols; Its nature is determined by the Board in accordance with Article 36 of the Law No. As of today, during the inspections carried out within the scope of actions that can be corrected, a warning procedure was established at </w:t>
      </w:r>
      <w:r w:rsidRPr="008902F2">
        <w:rPr>
          <w:rStyle w:val="Gl"/>
          <w:rFonts w:ascii="Times New Roman" w:eastAsia="Cambria" w:hAnsi="Times New Roman"/>
          <w:color w:val="000000" w:themeColor="text1"/>
        </w:rPr>
        <w:t>795</w:t>
      </w:r>
      <w:r w:rsidRPr="008902F2">
        <w:rPr>
          <w:rStyle w:val="Gl"/>
          <w:rFonts w:ascii="Times New Roman" w:eastAsia="Cambria" w:hAnsi="Times New Roman"/>
          <w:b w:val="0"/>
          <w:bCs w:val="0"/>
          <w:color w:val="000000" w:themeColor="text1"/>
        </w:rPr>
        <w:t xml:space="preserve"> autogas stations.</w:t>
      </w:r>
    </w:p>
    <w:p w14:paraId="4E22AE03" w14:textId="05113CA0" w:rsidR="002C3099" w:rsidRPr="008902F2" w:rsidRDefault="71221A60"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6.11: Distribution of Administrative Fines Implemented in the LPG Market in 2022 by License Type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60"/>
        <w:gridCol w:w="1755"/>
        <w:gridCol w:w="1035"/>
        <w:gridCol w:w="1995"/>
        <w:gridCol w:w="1125"/>
      </w:tblGrid>
      <w:tr w:rsidR="6F691FB8" w:rsidRPr="008902F2" w14:paraId="0EF67407" w14:textId="77777777" w:rsidTr="6F691FB8">
        <w:trPr>
          <w:trHeight w:val="315"/>
        </w:trPr>
        <w:tc>
          <w:tcPr>
            <w:tcW w:w="18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E85954C" w14:textId="33F57675"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License Type</w:t>
            </w:r>
          </w:p>
        </w:tc>
        <w:tc>
          <w:tcPr>
            <w:tcW w:w="17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6A3B871" w14:textId="264579FF"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Administrative Fines Applied</w:t>
            </w:r>
          </w:p>
        </w:tc>
        <w:tc>
          <w:tcPr>
            <w:tcW w:w="10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082AB6C" w14:textId="24B4F976"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90333B1" w14:textId="5898798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11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6A1FAA4" w14:textId="2737FD46"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r>
      <w:tr w:rsidR="6F691FB8" w:rsidRPr="008902F2" w14:paraId="7125C0BA" w14:textId="77777777" w:rsidTr="6F691FB8">
        <w:trPr>
          <w:trHeight w:val="300"/>
        </w:trPr>
        <w:tc>
          <w:tcPr>
            <w:tcW w:w="18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609DC99" w14:textId="2F700A3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Autogas Dealership</w:t>
            </w:r>
          </w:p>
        </w:tc>
        <w:tc>
          <w:tcPr>
            <w:tcW w:w="17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907344" w14:textId="3A50B727"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91 </w:t>
            </w:r>
          </w:p>
        </w:tc>
        <w:tc>
          <w:tcPr>
            <w:tcW w:w="10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C7D2480" w14:textId="1F9644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95,78  </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EA96C8E" w14:textId="52A644FD"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14.493.673 </w:t>
            </w:r>
          </w:p>
        </w:tc>
        <w:tc>
          <w:tcPr>
            <w:tcW w:w="11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5C379D8" w14:textId="72300A1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93.21  </w:t>
            </w:r>
          </w:p>
        </w:tc>
      </w:tr>
      <w:tr w:rsidR="6F691FB8" w:rsidRPr="008902F2" w14:paraId="54861B57" w14:textId="77777777" w:rsidTr="6F691FB8">
        <w:trPr>
          <w:trHeight w:val="300"/>
        </w:trPr>
        <w:tc>
          <w:tcPr>
            <w:tcW w:w="18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D4E39D" w14:textId="3D13BBF6"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Storage</w:t>
            </w:r>
          </w:p>
        </w:tc>
        <w:tc>
          <w:tcPr>
            <w:tcW w:w="17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5C72986" w14:textId="7AB13CBE"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  </w:t>
            </w:r>
          </w:p>
        </w:tc>
        <w:tc>
          <w:tcPr>
            <w:tcW w:w="10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5D58FFD" w14:textId="50CEC4F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 </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E05A7E5" w14:textId="235B5C18"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0 </w:t>
            </w:r>
          </w:p>
        </w:tc>
        <w:tc>
          <w:tcPr>
            <w:tcW w:w="11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853E828" w14:textId="5C94AE1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0 </w:t>
            </w:r>
          </w:p>
        </w:tc>
      </w:tr>
      <w:tr w:rsidR="6F691FB8" w:rsidRPr="008902F2" w14:paraId="718AC1A8" w14:textId="77777777" w:rsidTr="6F691FB8">
        <w:trPr>
          <w:trHeight w:val="300"/>
        </w:trPr>
        <w:tc>
          <w:tcPr>
            <w:tcW w:w="18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1868122" w14:textId="618A7565"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Distributor</w:t>
            </w:r>
          </w:p>
        </w:tc>
        <w:tc>
          <w:tcPr>
            <w:tcW w:w="17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B7B3E7F" w14:textId="2D073DF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4 </w:t>
            </w:r>
          </w:p>
        </w:tc>
        <w:tc>
          <w:tcPr>
            <w:tcW w:w="10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5D567E" w14:textId="24EA56C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4,22  </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D6FFF4" w14:textId="1B9A5C2A"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1.055.438      </w:t>
            </w:r>
          </w:p>
        </w:tc>
        <w:tc>
          <w:tcPr>
            <w:tcW w:w="11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353D056" w14:textId="58CBA50A"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6,79  </w:t>
            </w:r>
          </w:p>
        </w:tc>
      </w:tr>
      <w:tr w:rsidR="6F691FB8" w:rsidRPr="008902F2" w14:paraId="5D9BB1F1" w14:textId="77777777" w:rsidTr="6F691FB8">
        <w:trPr>
          <w:trHeight w:val="300"/>
        </w:trPr>
        <w:tc>
          <w:tcPr>
            <w:tcW w:w="18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E3E05CE" w14:textId="72A667AF"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17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BDAFA48" w14:textId="41C2A30D"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95 </w:t>
            </w:r>
          </w:p>
        </w:tc>
        <w:tc>
          <w:tcPr>
            <w:tcW w:w="10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5D7C61B" w14:textId="12A307B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9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0197E1A" w14:textId="1B07BAD3"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15.549.111      </w:t>
            </w:r>
          </w:p>
        </w:tc>
        <w:tc>
          <w:tcPr>
            <w:tcW w:w="112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FBAB46" w14:textId="0B16A74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176BC32F" w14:textId="40283227" w:rsidR="002C3099" w:rsidRPr="008902F2" w:rsidRDefault="002C3099" w:rsidP="6F691FB8">
      <w:pPr>
        <w:rPr>
          <w:rFonts w:ascii="Times New Roman" w:hAnsi="Times New Roman"/>
          <w:color w:val="000000" w:themeColor="text1"/>
        </w:rPr>
      </w:pPr>
    </w:p>
    <w:p w14:paraId="35F4A96C" w14:textId="1747BF28" w:rsidR="002C3099" w:rsidRPr="008902F2" w:rsidRDefault="71221A60"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lastRenderedPageBreak/>
        <w:t>Table 6.12: Distribution of Administrative Fines Implemented in the LPG Market in 2021-2022 by License Type</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60"/>
        <w:gridCol w:w="2565"/>
        <w:gridCol w:w="855"/>
        <w:gridCol w:w="2565"/>
        <w:gridCol w:w="630"/>
      </w:tblGrid>
      <w:tr w:rsidR="6F691FB8" w:rsidRPr="008902F2" w14:paraId="2E3D98AD" w14:textId="77777777" w:rsidTr="6F691FB8">
        <w:trPr>
          <w:trHeight w:val="315"/>
        </w:trPr>
        <w:tc>
          <w:tcPr>
            <w:tcW w:w="1860"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6DA37571" w14:textId="74C7ADEA" w:rsidR="6F691FB8" w:rsidRPr="008902F2" w:rsidRDefault="6F691FB8" w:rsidP="6F691FB8">
            <w:pPr>
              <w:spacing w:after="0" w:line="240" w:lineRule="auto"/>
              <w:rPr>
                <w:rFonts w:ascii="Times New Roman" w:hAnsi="Times New Roman"/>
                <w:color w:val="FFFFFF" w:themeColor="background1"/>
              </w:rPr>
            </w:pPr>
            <w:r w:rsidRPr="008902F2">
              <w:rPr>
                <w:rFonts w:ascii="Times New Roman" w:hAnsi="Times New Roman"/>
                <w:b/>
                <w:bCs/>
                <w:color w:val="FFFFFF" w:themeColor="background1"/>
              </w:rPr>
              <w:t>Lisans Tipi</w:t>
            </w:r>
          </w:p>
        </w:tc>
        <w:tc>
          <w:tcPr>
            <w:tcW w:w="342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6A7A86C3" w14:textId="3BFCD688"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2021</w:t>
            </w:r>
          </w:p>
        </w:tc>
        <w:tc>
          <w:tcPr>
            <w:tcW w:w="3195"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D0767D3" w14:textId="45510E99"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Year 2022</w:t>
            </w:r>
          </w:p>
        </w:tc>
      </w:tr>
      <w:tr w:rsidR="6F691FB8" w:rsidRPr="008902F2" w14:paraId="1C79254A" w14:textId="77777777" w:rsidTr="6F691FB8">
        <w:trPr>
          <w:trHeight w:val="315"/>
        </w:trPr>
        <w:tc>
          <w:tcPr>
            <w:tcW w:w="1860" w:type="dxa"/>
            <w:vMerge/>
            <w:tcBorders>
              <w:left w:val="single" w:sz="0" w:space="0" w:color="D9D9D9" w:themeColor="background1" w:themeShade="D9"/>
              <w:bottom w:val="single" w:sz="0" w:space="0" w:color="D9D9D9" w:themeColor="background1" w:themeShade="D9"/>
              <w:right w:val="single" w:sz="0" w:space="0" w:color="D9D9D9" w:themeColor="background1" w:themeShade="D9"/>
            </w:tcBorders>
            <w:vAlign w:val="center"/>
          </w:tcPr>
          <w:p w14:paraId="7E9DDF87" w14:textId="77777777" w:rsidR="00A660AB" w:rsidRPr="008902F2" w:rsidRDefault="00A660AB">
            <w:pPr>
              <w:rPr>
                <w:rFonts w:ascii="Times New Roman" w:hAnsi="Times New Roman"/>
              </w:rPr>
            </w:pP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21644D25" w14:textId="0D9FAEA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2A330B3" w14:textId="0FCE5C62"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 (%)</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18A3F02E" w14:textId="42172E4B"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9E56DB6" w14:textId="3C605AC0"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w:t>
            </w:r>
          </w:p>
          <w:p w14:paraId="146BFB02" w14:textId="72197373"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w:t>
            </w:r>
          </w:p>
        </w:tc>
      </w:tr>
      <w:tr w:rsidR="6F691FB8" w:rsidRPr="008902F2" w14:paraId="4526D2EF" w14:textId="77777777" w:rsidTr="6F691FB8">
        <w:trPr>
          <w:trHeight w:val="315"/>
        </w:trPr>
        <w:tc>
          <w:tcPr>
            <w:tcW w:w="18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33E6068" w14:textId="05D2BE57"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Autogas Dealership</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845BD0D" w14:textId="1C83DDEE"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 xml:space="preserve">8.208.700 </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A21A0E7" w14:textId="6ECA6842"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83,02 </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4D8CDC7" w14:textId="7BFDE962"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14.493.673</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032D5FCA" w14:textId="4A1F47BA"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93.21 </w:t>
            </w:r>
          </w:p>
        </w:tc>
      </w:tr>
      <w:tr w:rsidR="6F691FB8" w:rsidRPr="008902F2" w14:paraId="1B27EF85" w14:textId="77777777" w:rsidTr="6F691FB8">
        <w:trPr>
          <w:trHeight w:val="315"/>
        </w:trPr>
        <w:tc>
          <w:tcPr>
            <w:tcW w:w="18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0DD04EB" w14:textId="108897B6"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Storage</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A284CD8" w14:textId="64D61671"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 xml:space="preserve">1.000.000 </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78B0180" w14:textId="51E75226"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10,11 </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280B103" w14:textId="53EA4E66"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 xml:space="preserve">0 </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5031888" w14:textId="2C1C703E"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0 </w:t>
            </w:r>
          </w:p>
        </w:tc>
      </w:tr>
      <w:tr w:rsidR="6F691FB8" w:rsidRPr="008902F2" w14:paraId="4718D632" w14:textId="77777777" w:rsidTr="6F691FB8">
        <w:trPr>
          <w:trHeight w:val="315"/>
        </w:trPr>
        <w:tc>
          <w:tcPr>
            <w:tcW w:w="18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708D0CFC" w14:textId="74A8DE83"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Distributor</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BC98EB9" w14:textId="3718C311"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 xml:space="preserve">679.628 </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0498B137" w14:textId="7C3D7333"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6,87  </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CA69D36" w14:textId="7081B09E" w:rsidR="6F691FB8" w:rsidRPr="008902F2" w:rsidRDefault="6F691FB8" w:rsidP="6F691FB8">
            <w:pPr>
              <w:spacing w:after="0" w:line="240" w:lineRule="auto"/>
              <w:jc w:val="right"/>
              <w:rPr>
                <w:rFonts w:ascii="Times New Roman" w:hAnsi="Times New Roman"/>
              </w:rPr>
            </w:pPr>
            <w:r w:rsidRPr="008902F2">
              <w:rPr>
                <w:rFonts w:ascii="Times New Roman" w:hAnsi="Times New Roman"/>
              </w:rPr>
              <w:t xml:space="preserve">1.055.438 </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785F7BA" w14:textId="1579C64D" w:rsidR="6F691FB8" w:rsidRPr="008902F2" w:rsidRDefault="6F691FB8" w:rsidP="6F691FB8">
            <w:pPr>
              <w:spacing w:after="0" w:line="240" w:lineRule="auto"/>
              <w:jc w:val="center"/>
              <w:rPr>
                <w:rFonts w:ascii="Times New Roman" w:hAnsi="Times New Roman"/>
              </w:rPr>
            </w:pPr>
            <w:r w:rsidRPr="008902F2">
              <w:rPr>
                <w:rFonts w:ascii="Times New Roman" w:hAnsi="Times New Roman"/>
              </w:rPr>
              <w:t xml:space="preserve">6.79 </w:t>
            </w:r>
          </w:p>
        </w:tc>
      </w:tr>
      <w:tr w:rsidR="6F691FB8" w:rsidRPr="008902F2" w14:paraId="12F2939E" w14:textId="77777777" w:rsidTr="6F691FB8">
        <w:trPr>
          <w:trHeight w:val="315"/>
        </w:trPr>
        <w:tc>
          <w:tcPr>
            <w:tcW w:w="18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FDCB270" w14:textId="4B990121"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6F656183" w14:textId="25F02094" w:rsidR="6F691FB8" w:rsidRPr="008902F2" w:rsidRDefault="6F691FB8" w:rsidP="6F691FB8">
            <w:pPr>
              <w:spacing w:after="0" w:line="240" w:lineRule="auto"/>
              <w:jc w:val="right"/>
              <w:rPr>
                <w:rFonts w:ascii="Times New Roman" w:hAnsi="Times New Roman"/>
              </w:rPr>
            </w:pPr>
            <w:r w:rsidRPr="008902F2">
              <w:rPr>
                <w:rFonts w:ascii="Times New Roman" w:hAnsi="Times New Roman"/>
                <w:b/>
                <w:bCs/>
              </w:rPr>
              <w:t xml:space="preserve">9.888.328 </w:t>
            </w:r>
          </w:p>
        </w:tc>
        <w:tc>
          <w:tcPr>
            <w:tcW w:w="85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26FA341" w14:textId="0F4AE1B9" w:rsidR="6F691FB8" w:rsidRPr="008902F2" w:rsidRDefault="6F691FB8" w:rsidP="6F691FB8">
            <w:pPr>
              <w:spacing w:after="0" w:line="240" w:lineRule="auto"/>
              <w:jc w:val="center"/>
              <w:rPr>
                <w:rFonts w:ascii="Times New Roman" w:hAnsi="Times New Roman"/>
              </w:rPr>
            </w:pPr>
            <w:r w:rsidRPr="008902F2">
              <w:rPr>
                <w:rFonts w:ascii="Times New Roman" w:hAnsi="Times New Roman"/>
                <w:b/>
                <w:bCs/>
              </w:rPr>
              <w:t>100</w:t>
            </w:r>
          </w:p>
        </w:tc>
        <w:tc>
          <w:tcPr>
            <w:tcW w:w="256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45014BB" w14:textId="7056FE17" w:rsidR="6F691FB8" w:rsidRPr="008902F2" w:rsidRDefault="6F691FB8" w:rsidP="6F691FB8">
            <w:pPr>
              <w:spacing w:after="0" w:line="240" w:lineRule="auto"/>
              <w:jc w:val="right"/>
              <w:rPr>
                <w:rFonts w:ascii="Times New Roman" w:hAnsi="Times New Roman"/>
              </w:rPr>
            </w:pPr>
            <w:r w:rsidRPr="008902F2">
              <w:rPr>
                <w:rFonts w:ascii="Times New Roman" w:hAnsi="Times New Roman"/>
                <w:b/>
                <w:bCs/>
              </w:rPr>
              <w:t xml:space="preserve">15.549.111 </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5EA0172E" w14:textId="58FBFB45"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6273A514" w14:textId="6F0171D7" w:rsidR="002C3099" w:rsidRPr="008902F2" w:rsidRDefault="002C3099" w:rsidP="6F691FB8">
      <w:pPr>
        <w:spacing w:after="0"/>
        <w:rPr>
          <w:rFonts w:ascii="Times New Roman" w:hAnsi="Times New Roman"/>
          <w:color w:val="000000" w:themeColor="text1"/>
        </w:rPr>
      </w:pPr>
    </w:p>
    <w:p w14:paraId="37A5FE25" w14:textId="280CE56D" w:rsidR="002C3099" w:rsidRPr="008902F2" w:rsidRDefault="71221A60" w:rsidP="004E0CD2">
      <w:pPr>
        <w:keepNext/>
        <w:keepLines/>
        <w:spacing w:before="200" w:after="0"/>
        <w:rPr>
          <w:rFonts w:ascii="Times New Roman" w:eastAsia="Cambria" w:hAnsi="Times New Roman"/>
          <w:color w:val="000000" w:themeColor="text1"/>
        </w:rPr>
      </w:pPr>
      <w:r w:rsidRPr="008902F2">
        <w:rPr>
          <w:rStyle w:val="Gl"/>
          <w:rFonts w:ascii="Times New Roman" w:eastAsia="Cambria" w:hAnsi="Times New Roman"/>
          <w:b w:val="0"/>
          <w:bCs w:val="0"/>
          <w:color w:val="000000" w:themeColor="text1"/>
        </w:rPr>
        <w:t>Administrative sanctions and fines in the LPG market, operating without a license, supplying products contrary to technical regulations, violating the rights and obligations given by the license, not employing a responsible manager and authorized personnel at the facility, having a cylinder belonging to another distributor, supplying LPG to a station that is not a distributor of the distributor. It is applied due to the actions of having an apparatus for filling cylinders and/or filling cylinders at the auto gas station.</w:t>
      </w:r>
    </w:p>
    <w:p w14:paraId="71CFD5C9" w14:textId="2785846B" w:rsidR="002C3099" w:rsidRPr="008902F2" w:rsidRDefault="71221A60" w:rsidP="6F691FB8">
      <w:pPr>
        <w:keepNext/>
        <w:keepLines/>
        <w:spacing w:before="200" w:after="0"/>
        <w:jc w:val="center"/>
        <w:rPr>
          <w:rFonts w:ascii="Times New Roman" w:eastAsia="Cambria" w:hAnsi="Times New Roman"/>
          <w:color w:val="000000" w:themeColor="text1"/>
        </w:rPr>
      </w:pPr>
      <w:r w:rsidRPr="008902F2">
        <w:rPr>
          <w:rStyle w:val="Gl"/>
          <w:rFonts w:ascii="Times New Roman" w:eastAsia="Cambria" w:hAnsi="Times New Roman"/>
          <w:color w:val="000000" w:themeColor="text1"/>
        </w:rPr>
        <w:t>Table 6.13: Distribution of Administrative Fines Implemented in the LPG Market in 2022 by Acts Subject to Administrative Fines</w:t>
      </w:r>
    </w:p>
    <w:tbl>
      <w:tblPr>
        <w:tblW w:w="0" w:type="auto"/>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60"/>
        <w:gridCol w:w="1815"/>
        <w:gridCol w:w="915"/>
        <w:gridCol w:w="1635"/>
        <w:gridCol w:w="915"/>
      </w:tblGrid>
      <w:tr w:rsidR="6F691FB8" w:rsidRPr="008902F2" w14:paraId="60F7D94D" w14:textId="77777777" w:rsidTr="6F691FB8">
        <w:trPr>
          <w:trHeight w:val="15"/>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3A96086" w14:textId="4BD10B91"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Act Subject to Administrative Fine</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773A991" w14:textId="1C261167"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Number of Administrative Fines Applied</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99493EC" w14:textId="3CA89B9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Ratio(%)</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9719017" w14:textId="3F71CF1C" w:rsidR="6F691FB8" w:rsidRPr="008902F2" w:rsidRDefault="6F691FB8" w:rsidP="6F691FB8">
            <w:pPr>
              <w:spacing w:after="0" w:line="240" w:lineRule="auto"/>
              <w:jc w:val="center"/>
              <w:rPr>
                <w:rFonts w:ascii="Times New Roman" w:hAnsi="Times New Roman"/>
                <w:color w:val="FFFFFF" w:themeColor="background1"/>
              </w:rPr>
            </w:pPr>
            <w:r w:rsidRPr="008902F2">
              <w:rPr>
                <w:rFonts w:ascii="Times New Roman" w:hAnsi="Times New Roman"/>
                <w:b/>
                <w:bCs/>
                <w:color w:val="FFFFFF" w:themeColor="background1"/>
              </w:rPr>
              <w:t>Administrative Fine Amount (TL)</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D26E7B6" w14:textId="2063B90F" w:rsidR="6F691FB8" w:rsidRPr="008902F2" w:rsidRDefault="6F691FB8" w:rsidP="6F691FB8">
            <w:pPr>
              <w:spacing w:after="0" w:line="240" w:lineRule="auto"/>
              <w:rPr>
                <w:rFonts w:ascii="Times New Roman" w:hAnsi="Times New Roman"/>
                <w:color w:val="FFFFFF" w:themeColor="background1"/>
              </w:rPr>
            </w:pPr>
            <w:r w:rsidRPr="008902F2">
              <w:rPr>
                <w:rFonts w:ascii="Times New Roman" w:hAnsi="Times New Roman"/>
                <w:b/>
                <w:bCs/>
                <w:color w:val="FFFFFF" w:themeColor="background1"/>
              </w:rPr>
              <w:t>Ratio(%)</w:t>
            </w:r>
          </w:p>
        </w:tc>
      </w:tr>
      <w:tr w:rsidR="6F691FB8" w:rsidRPr="008902F2" w14:paraId="73142468"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7EE7DB7" w14:textId="2DDA97F4"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Filling and Selling LPG Cylinders at Autogas Stations</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FB7F5A" w14:textId="2C6964E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46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0441E66" w14:textId="5B7CC636"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48.42  </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5F6A11" w14:textId="6D948514"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8.301.674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FEA73E" w14:textId="4C8C3F1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53,40 </w:t>
            </w:r>
          </w:p>
        </w:tc>
      </w:tr>
      <w:tr w:rsidR="6F691FB8" w:rsidRPr="008902F2" w14:paraId="165DF00C"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BE3F2DF" w14:textId="167C78EE"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Employing Uncertified Personnel</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1BFAA83" w14:textId="2C34573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29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50B8729" w14:textId="433DE6E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30,52  </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2517D2F" w14:textId="60BD1C8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4.992.231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5E6F238" w14:textId="513D3A89"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32,11  </w:t>
            </w:r>
          </w:p>
        </w:tc>
      </w:tr>
      <w:tr w:rsidR="6F691FB8" w:rsidRPr="008902F2" w14:paraId="48DC565B"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EBF647D" w14:textId="07A66AEA"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Offering Non-Technical LPG in Market Activities</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66A22F3" w14:textId="72D306D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 1</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95C7533" w14:textId="7C009C2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1,06  </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3E8A0C8" w14:textId="0C388AFD"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250.000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92B3331" w14:textId="5C9B18C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1,60  </w:t>
            </w:r>
          </w:p>
        </w:tc>
      </w:tr>
      <w:tr w:rsidR="6F691FB8" w:rsidRPr="008902F2" w14:paraId="4398573A"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3665C97" w14:textId="73AE7B59"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Dealing Without a License</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E6CEC46" w14:textId="3981D93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0EDD11" w14:textId="5F21B2E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3,16  </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9153826" w14:textId="55B5282B"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902.482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3AFBB3F" w14:textId="56ED0904"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5,80  </w:t>
            </w:r>
          </w:p>
        </w:tc>
      </w:tr>
      <w:tr w:rsidR="6F691FB8" w:rsidRPr="008902F2" w14:paraId="3E39146B"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1E9FB9" w14:textId="325F271B"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Other</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F8C164F" w14:textId="1571FC58"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16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4D87BA2" w14:textId="2637D8E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16,84  </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B907CB0" w14:textId="0D49EB2D"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color w:val="000000" w:themeColor="text1"/>
              </w:rPr>
              <w:t xml:space="preserve">1.102.424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1169AB" w14:textId="72A1E18F"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color w:val="000000" w:themeColor="text1"/>
              </w:rPr>
              <w:t xml:space="preserve">7,09  </w:t>
            </w:r>
          </w:p>
        </w:tc>
      </w:tr>
      <w:tr w:rsidR="6F691FB8" w:rsidRPr="008902F2" w14:paraId="4319527D" w14:textId="77777777" w:rsidTr="6F691FB8">
        <w:trPr>
          <w:trHeight w:val="390"/>
        </w:trPr>
        <w:tc>
          <w:tcPr>
            <w:tcW w:w="4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56C4B98" w14:textId="532DC068" w:rsidR="6F691FB8" w:rsidRPr="008902F2" w:rsidRDefault="6F691FB8" w:rsidP="6F691FB8">
            <w:pPr>
              <w:spacing w:after="0" w:line="240" w:lineRule="auto"/>
              <w:rPr>
                <w:rFonts w:ascii="Times New Roman" w:hAnsi="Times New Roman"/>
                <w:color w:val="000000" w:themeColor="text1"/>
              </w:rPr>
            </w:pPr>
            <w:r w:rsidRPr="008902F2">
              <w:rPr>
                <w:rFonts w:ascii="Times New Roman" w:hAnsi="Times New Roman"/>
                <w:b/>
                <w:bCs/>
                <w:color w:val="000000" w:themeColor="text1"/>
              </w:rPr>
              <w:t>Total</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939FD7D" w14:textId="3E981FC2"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 xml:space="preserve">95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9BCFAB" w14:textId="58A9D0D0"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c>
          <w:tcPr>
            <w:tcW w:w="163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A2DE11" w14:textId="2088EEFC" w:rsidR="6F691FB8" w:rsidRPr="008902F2" w:rsidRDefault="6F691FB8" w:rsidP="6F691FB8">
            <w:pPr>
              <w:spacing w:after="0" w:line="240" w:lineRule="auto"/>
              <w:jc w:val="right"/>
              <w:rPr>
                <w:rFonts w:ascii="Times New Roman" w:hAnsi="Times New Roman"/>
                <w:color w:val="000000" w:themeColor="text1"/>
              </w:rPr>
            </w:pPr>
            <w:r w:rsidRPr="008902F2">
              <w:rPr>
                <w:rFonts w:ascii="Times New Roman" w:hAnsi="Times New Roman"/>
                <w:b/>
                <w:bCs/>
                <w:color w:val="000000" w:themeColor="text1"/>
              </w:rPr>
              <w:t xml:space="preserve">15.549.111  </w:t>
            </w:r>
          </w:p>
        </w:tc>
        <w:tc>
          <w:tcPr>
            <w:tcW w:w="9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CA2149C" w14:textId="529CBC63" w:rsidR="6F691FB8" w:rsidRPr="008902F2" w:rsidRDefault="6F691FB8" w:rsidP="6F691FB8">
            <w:pPr>
              <w:spacing w:after="0" w:line="240" w:lineRule="auto"/>
              <w:jc w:val="center"/>
              <w:rPr>
                <w:rFonts w:ascii="Times New Roman" w:hAnsi="Times New Roman"/>
                <w:color w:val="000000" w:themeColor="text1"/>
              </w:rPr>
            </w:pPr>
            <w:r w:rsidRPr="008902F2">
              <w:rPr>
                <w:rFonts w:ascii="Times New Roman" w:hAnsi="Times New Roman"/>
                <w:b/>
                <w:bCs/>
                <w:color w:val="000000" w:themeColor="text1"/>
              </w:rPr>
              <w:t>100</w:t>
            </w:r>
          </w:p>
        </w:tc>
      </w:tr>
    </w:tbl>
    <w:p w14:paraId="56042E5B" w14:textId="164E3BB9" w:rsidR="002C3099" w:rsidRPr="008902F2" w:rsidRDefault="002C3099" w:rsidP="6F691FB8">
      <w:pPr>
        <w:pStyle w:val="Balk1"/>
        <w:spacing w:before="0" w:after="240"/>
        <w:rPr>
          <w:rFonts w:ascii="Times New Roman" w:eastAsia="Calibri" w:hAnsi="Times New Roman" w:cs="Times New Roman"/>
          <w:szCs w:val="22"/>
        </w:rPr>
      </w:pPr>
    </w:p>
    <w:p w14:paraId="06404342" w14:textId="40B9A72D" w:rsidR="002C3099" w:rsidRPr="008902F2" w:rsidRDefault="00B21F39" w:rsidP="00B21F39">
      <w:pPr>
        <w:pStyle w:val="Balk1"/>
        <w:rPr>
          <w:rFonts w:ascii="Times New Roman" w:hAnsi="Times New Roman" w:cs="Times New Roman"/>
        </w:rPr>
      </w:pPr>
      <w:bookmarkStart w:id="183" w:name="_Toc143113466"/>
      <w:r w:rsidRPr="008902F2">
        <w:rPr>
          <w:rFonts w:ascii="Times New Roman" w:hAnsi="Times New Roman" w:cs="Times New Roman"/>
        </w:rPr>
        <w:t xml:space="preserve">7. </w:t>
      </w:r>
      <w:r w:rsidR="71221A60" w:rsidRPr="008902F2">
        <w:rPr>
          <w:rFonts w:ascii="Times New Roman" w:hAnsi="Times New Roman" w:cs="Times New Roman"/>
        </w:rPr>
        <w:t>REAL ESTATE SUPPLY WORKS</w:t>
      </w:r>
      <w:bookmarkEnd w:id="183"/>
    </w:p>
    <w:p w14:paraId="06156AA4" w14:textId="3DB50134"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For electricity generation facilities according to Article 19 of the Electricity Market Law No. 6446, for natural gas transmission, distribution and storage facilities according to Article 12 of the Natural Gas Market Law No. 4646, and oil refineries and licensed storage facilities within the scope of Article 11 of the Petroleum Market Law No. 5015, Procurement of the immovables necessary for the establishment of transmission lines and processing facilities is carried out by the Authority (Expropriation Department).</w:t>
      </w:r>
    </w:p>
    <w:p w14:paraId="0C454C80" w14:textId="1F36BED4" w:rsidR="002C3099" w:rsidRPr="008902F2" w:rsidRDefault="71221A60"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t>In this context, the main procedures carried out are listed as follows: "expropriation" for privately-owned immovable properties, "establishment of easement or leasing" for properties owned by the Treasury of the Ministry of Finance or under the jurisdiction and control of the State, and "transfer" through the implementation of Article 30 of Law No. 2942 on properties owned by other public institutions and organizations. The distribution of activities conducted in 2022, based on sectors and transactions, is indicated below.</w:t>
      </w:r>
    </w:p>
    <w:p w14:paraId="7608257B" w14:textId="5A6C4F78" w:rsidR="002C3099" w:rsidRPr="008902F2" w:rsidRDefault="002C3099" w:rsidP="6F691FB8">
      <w:pPr>
        <w:spacing w:after="0" w:line="240" w:lineRule="auto"/>
        <w:rPr>
          <w:rFonts w:ascii="Times New Roman" w:hAnsi="Times New Roman"/>
          <w:color w:val="000000" w:themeColor="text1"/>
        </w:rPr>
      </w:pPr>
    </w:p>
    <w:p w14:paraId="7791E8D3" w14:textId="22594D2A" w:rsidR="002C3099" w:rsidRPr="008902F2" w:rsidRDefault="71221A60" w:rsidP="6F691FB8">
      <w:pPr>
        <w:spacing w:after="0" w:line="240" w:lineRule="auto"/>
        <w:rPr>
          <w:rFonts w:ascii="Times New Roman" w:hAnsi="Times New Roman"/>
          <w:color w:val="000000" w:themeColor="text1"/>
        </w:rPr>
      </w:pPr>
      <w:r w:rsidRPr="008902F2">
        <w:rPr>
          <w:rFonts w:ascii="Times New Roman" w:hAnsi="Times New Roman"/>
          <w:color w:val="000000" w:themeColor="text1"/>
        </w:rPr>
        <w:lastRenderedPageBreak/>
        <w:t>In 2022, a total of 442 Board Decisions were taken regarding the procurement of 3844 immovables required for the establishment of energy facilities. The distribution of the Board Decisions taken on the basis of the transactions is as follows:</w:t>
      </w:r>
    </w:p>
    <w:p w14:paraId="148380AB" w14:textId="481E5590" w:rsidR="002C3099" w:rsidRPr="008902F2" w:rsidRDefault="002C3099" w:rsidP="6F691FB8">
      <w:pPr>
        <w:spacing w:after="0" w:line="240" w:lineRule="auto"/>
        <w:rPr>
          <w:rFonts w:ascii="Times New Roman" w:hAnsi="Times New Roman"/>
          <w:color w:val="000000" w:themeColor="text1"/>
        </w:rPr>
      </w:pPr>
    </w:p>
    <w:p w14:paraId="2147328C" w14:textId="70BAB1C7" w:rsidR="002C3099" w:rsidRPr="008902F2" w:rsidRDefault="71221A60" w:rsidP="00A86526">
      <w:pPr>
        <w:pStyle w:val="ListeParagraf"/>
        <w:numPr>
          <w:ilvl w:val="0"/>
          <w:numId w:val="5"/>
        </w:numPr>
        <w:spacing w:after="160"/>
        <w:rPr>
          <w:rFonts w:ascii="Times New Roman" w:hAnsi="Times New Roman"/>
          <w:color w:val="000000" w:themeColor="text1"/>
        </w:rPr>
      </w:pPr>
      <w:r w:rsidRPr="008902F2">
        <w:rPr>
          <w:rFonts w:ascii="Times New Roman" w:hAnsi="Times New Roman"/>
          <w:color w:val="000000" w:themeColor="text1"/>
        </w:rPr>
        <w:t>For the purpose of expropriating privately owned immovables, 102 expropriation decisions were taken for a total of 1870 immovables. Regarding the urgent expropriation application, 34 Board Decisions were taken for a total of 328 immovables.</w:t>
      </w:r>
    </w:p>
    <w:p w14:paraId="3CDDFC2E" w14:textId="3CF16DEF" w:rsidR="002C3099" w:rsidRPr="008902F2" w:rsidRDefault="71221A60" w:rsidP="00A86526">
      <w:pPr>
        <w:pStyle w:val="ListeParagraf"/>
        <w:numPr>
          <w:ilvl w:val="0"/>
          <w:numId w:val="5"/>
        </w:numPr>
        <w:spacing w:after="160"/>
        <w:rPr>
          <w:rFonts w:ascii="Times New Roman" w:hAnsi="Times New Roman"/>
          <w:color w:val="000000" w:themeColor="text1"/>
        </w:rPr>
      </w:pPr>
      <w:r w:rsidRPr="008902F2">
        <w:rPr>
          <w:rFonts w:ascii="Times New Roman" w:hAnsi="Times New Roman"/>
          <w:color w:val="000000" w:themeColor="text1"/>
        </w:rPr>
        <w:t>99 Board Decisions have been taken regarding the establishment of easement rights in 491 immovables owned by the Treasury or under the jurisdiction and disposal of the State.</w:t>
      </w:r>
    </w:p>
    <w:p w14:paraId="3357C334" w14:textId="673BAF21" w:rsidR="002C3099" w:rsidRPr="008902F2" w:rsidRDefault="71221A60" w:rsidP="00A86526">
      <w:pPr>
        <w:pStyle w:val="ListeParagraf"/>
        <w:numPr>
          <w:ilvl w:val="0"/>
          <w:numId w:val="5"/>
        </w:numPr>
        <w:spacing w:after="160"/>
        <w:rPr>
          <w:rFonts w:ascii="Times New Roman" w:hAnsi="Times New Roman"/>
          <w:color w:val="000000" w:themeColor="text1"/>
        </w:rPr>
      </w:pPr>
      <w:r w:rsidRPr="008902F2">
        <w:rPr>
          <w:rFonts w:ascii="Times New Roman" w:hAnsi="Times New Roman"/>
          <w:color w:val="000000" w:themeColor="text1"/>
        </w:rPr>
        <w:t>32 Board Decisions were taken regarding the establishment of leasing transactions in 121 immovables owned by the Treasury or under the jurisdiction and disposal of the State.</w:t>
      </w:r>
    </w:p>
    <w:p w14:paraId="3456D9EB" w14:textId="1EDB9674" w:rsidR="002C3099" w:rsidRPr="008902F2" w:rsidRDefault="71221A60" w:rsidP="00A86526">
      <w:pPr>
        <w:pStyle w:val="ListeParagraf"/>
        <w:numPr>
          <w:ilvl w:val="0"/>
          <w:numId w:val="5"/>
        </w:numPr>
        <w:spacing w:after="160"/>
        <w:rPr>
          <w:rFonts w:ascii="Times New Roman" w:hAnsi="Times New Roman"/>
          <w:color w:val="000000" w:themeColor="text1"/>
        </w:rPr>
      </w:pPr>
      <w:r w:rsidRPr="008902F2">
        <w:rPr>
          <w:rFonts w:ascii="Times New Roman" w:hAnsi="Times New Roman"/>
          <w:color w:val="000000" w:themeColor="text1"/>
        </w:rPr>
        <w:t>40 Board Decisions were taken for the implementation of Article 30 of the Expropriation Law No. 2942 on 409 immovables owned by other public institutions and organizations.</w:t>
      </w:r>
    </w:p>
    <w:p w14:paraId="1AA01A87" w14:textId="32679FF3" w:rsidR="002C3099" w:rsidRPr="008902F2" w:rsidRDefault="71221A60" w:rsidP="00A86526">
      <w:pPr>
        <w:pStyle w:val="ListeParagraf"/>
        <w:numPr>
          <w:ilvl w:val="0"/>
          <w:numId w:val="4"/>
        </w:numPr>
        <w:spacing w:after="160"/>
        <w:rPr>
          <w:rFonts w:ascii="Times New Roman" w:hAnsi="Times New Roman"/>
          <w:color w:val="000000" w:themeColor="text1"/>
        </w:rPr>
      </w:pPr>
      <w:r w:rsidRPr="008902F2">
        <w:rPr>
          <w:rFonts w:ascii="Times New Roman" w:hAnsi="Times New Roman"/>
          <w:color w:val="000000" w:themeColor="text1"/>
        </w:rPr>
        <w:t>Within the scope of Article 12 of the Natural Gas Market Law No. 4646, a total of 61 Board Decisions were taken to replace the public interest decision.</w:t>
      </w:r>
    </w:p>
    <w:p w14:paraId="5539B5EE" w14:textId="2253B930" w:rsidR="002C3099" w:rsidRPr="008902F2" w:rsidRDefault="71221A60" w:rsidP="00A86526">
      <w:pPr>
        <w:pStyle w:val="ListeParagraf"/>
        <w:numPr>
          <w:ilvl w:val="0"/>
          <w:numId w:val="4"/>
        </w:numPr>
        <w:rPr>
          <w:rFonts w:ascii="Times New Roman" w:hAnsi="Times New Roman"/>
          <w:color w:val="000000" w:themeColor="text1"/>
        </w:rPr>
      </w:pPr>
      <w:r w:rsidRPr="008902F2">
        <w:rPr>
          <w:rFonts w:ascii="Times New Roman" w:hAnsi="Times New Roman"/>
          <w:color w:val="000000" w:themeColor="text1"/>
        </w:rPr>
        <w:t>9 Board Decisions were taken regarding the free use of 14 real estates, which are under the private ownership of the Treasury and/or under the jurisdiction and disposal of the State, located in the reservoir area of the hydroelectric generation facilities within the scope of the Law No. 5346 on the Use of Renewable Energy Resources for the Purpose of Electric Power Generation.</w:t>
      </w:r>
    </w:p>
    <w:p w14:paraId="1EDF97E4" w14:textId="5E41855D" w:rsidR="002C3099" w:rsidRPr="008902F2" w:rsidRDefault="71221A60" w:rsidP="00A86526">
      <w:pPr>
        <w:pStyle w:val="ListeParagraf"/>
        <w:numPr>
          <w:ilvl w:val="0"/>
          <w:numId w:val="4"/>
        </w:numPr>
        <w:rPr>
          <w:rFonts w:ascii="Times New Roman" w:hAnsi="Times New Roman"/>
          <w:color w:val="000000" w:themeColor="text1"/>
        </w:rPr>
      </w:pPr>
      <w:r w:rsidRPr="008902F2">
        <w:rPr>
          <w:rFonts w:ascii="Times New Roman" w:hAnsi="Times New Roman"/>
          <w:color w:val="000000" w:themeColor="text1"/>
        </w:rPr>
        <w:t>Within the scope of Article 14 of the Soil Conservation and Land Use Law No. 5403, 14 Board Decisions were taken regarding 70 immovables in total for the use of agricultural lands in large plains for purposes other than their intended use.</w:t>
      </w:r>
    </w:p>
    <w:p w14:paraId="64BB5988" w14:textId="1019CE3B" w:rsidR="002C3099" w:rsidRPr="008902F2" w:rsidRDefault="71221A60" w:rsidP="00A86526">
      <w:pPr>
        <w:pStyle w:val="ListeParagraf"/>
        <w:numPr>
          <w:ilvl w:val="0"/>
          <w:numId w:val="4"/>
        </w:numPr>
        <w:rPr>
          <w:rFonts w:ascii="Times New Roman" w:hAnsi="Times New Roman"/>
          <w:color w:val="000000" w:themeColor="text1"/>
        </w:rPr>
      </w:pPr>
      <w:r w:rsidRPr="008902F2">
        <w:rPr>
          <w:rFonts w:ascii="Times New Roman" w:hAnsi="Times New Roman"/>
          <w:color w:val="000000" w:themeColor="text1"/>
        </w:rPr>
        <w:t>Moreover; enforcement of the court decision, waiver, cancellation or amendment etc. 51 Board Decisions were taken for a total of 869 immovables.</w:t>
      </w:r>
    </w:p>
    <w:p w14:paraId="46EE2761" w14:textId="2B3A3118" w:rsidR="002C3099" w:rsidRPr="008902F2" w:rsidRDefault="002C3099" w:rsidP="6F691FB8">
      <w:pPr>
        <w:ind w:left="360"/>
        <w:contextualSpacing/>
        <w:rPr>
          <w:rFonts w:ascii="Times New Roman" w:hAnsi="Times New Roman"/>
          <w:color w:val="000000" w:themeColor="text1"/>
        </w:rPr>
      </w:pPr>
    </w:p>
    <w:p w14:paraId="0462F4AA" w14:textId="0CB8C9CD" w:rsidR="002C3099" w:rsidRPr="008902F2" w:rsidRDefault="359F4980" w:rsidP="6F691FB8">
      <w:pPr>
        <w:spacing w:after="0" w:line="240" w:lineRule="auto"/>
        <w:ind w:left="567"/>
        <w:contextualSpacing/>
        <w:jc w:val="center"/>
        <w:rPr>
          <w:rFonts w:ascii="Times New Roman" w:eastAsiaTheme="minorEastAsia" w:hAnsi="Times New Roman"/>
          <w:b/>
          <w:bCs/>
          <w:color w:val="000000" w:themeColor="text1"/>
        </w:rPr>
      </w:pPr>
      <w:r w:rsidRPr="008902F2">
        <w:rPr>
          <w:rFonts w:ascii="Times New Roman" w:eastAsiaTheme="minorEastAsia" w:hAnsi="Times New Roman"/>
          <w:b/>
          <w:bCs/>
          <w:color w:val="000000" w:themeColor="text1"/>
        </w:rPr>
        <w:t>Figure 7.1: Distribution of Board Decisions on Real Estate Acquisition Transactions in the Year 2022 by Transaction Type</w:t>
      </w:r>
    </w:p>
    <w:p w14:paraId="0D0B72EB" w14:textId="5248CA56" w:rsidR="002C3099" w:rsidRPr="008902F2" w:rsidRDefault="002C3099" w:rsidP="6F691FB8">
      <w:pPr>
        <w:spacing w:after="0" w:line="240" w:lineRule="auto"/>
        <w:ind w:left="567" w:hanging="709"/>
        <w:contextualSpacing/>
        <w:jc w:val="center"/>
        <w:rPr>
          <w:rFonts w:ascii="Times New Roman" w:eastAsia="Times New Roman" w:hAnsi="Times New Roman"/>
          <w:color w:val="000000" w:themeColor="text1"/>
          <w:sz w:val="24"/>
          <w:szCs w:val="24"/>
        </w:rPr>
      </w:pPr>
    </w:p>
    <w:p w14:paraId="05D4ECFE" w14:textId="69DE593B" w:rsidR="002C3099" w:rsidRPr="008902F2" w:rsidRDefault="00965D1B" w:rsidP="6F691FB8">
      <w:pPr>
        <w:jc w:val="center"/>
        <w:rPr>
          <w:rFonts w:ascii="Times New Roman" w:hAnsi="Times New Roman"/>
          <w:color w:val="000000" w:themeColor="text1"/>
        </w:rPr>
      </w:pPr>
      <w:r w:rsidRPr="008902F2">
        <w:rPr>
          <w:rFonts w:ascii="Times New Roman" w:hAnsi="Times New Roman"/>
          <w:noProof/>
          <w:color w:val="000000" w:themeColor="text1"/>
          <w:lang w:val="en-US"/>
        </w:rPr>
        <w:drawing>
          <wp:inline distT="0" distB="0" distL="0" distR="0" wp14:anchorId="53DD06A5" wp14:editId="5368785D">
            <wp:extent cx="5462270" cy="2810510"/>
            <wp:effectExtent l="0" t="0" r="5080" b="8890"/>
            <wp:docPr id="15834898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2270" cy="2810510"/>
                    </a:xfrm>
                    <a:prstGeom prst="rect">
                      <a:avLst/>
                    </a:prstGeom>
                    <a:noFill/>
                  </pic:spPr>
                </pic:pic>
              </a:graphicData>
            </a:graphic>
          </wp:inline>
        </w:drawing>
      </w:r>
    </w:p>
    <w:p w14:paraId="70C0209F" w14:textId="265B7C1E" w:rsidR="002C3099" w:rsidRPr="008902F2" w:rsidRDefault="71221A60" w:rsidP="6F691FB8">
      <w:pPr>
        <w:spacing w:after="0" w:line="240" w:lineRule="auto"/>
        <w:ind w:left="567"/>
        <w:contextualSpacing/>
        <w:rPr>
          <w:rFonts w:ascii="Times New Roman" w:hAnsi="Times New Roman"/>
          <w:color w:val="000000" w:themeColor="text1"/>
        </w:rPr>
      </w:pPr>
      <w:r w:rsidRPr="008902F2">
        <w:rPr>
          <w:rFonts w:ascii="Times New Roman" w:hAnsi="Times New Roman"/>
          <w:color w:val="000000" w:themeColor="text1"/>
        </w:rPr>
        <w:t>The distribution of Board Decisions taken on a sectoral basis is as follows:</w:t>
      </w:r>
    </w:p>
    <w:p w14:paraId="56DAEEA8" w14:textId="343B62E5" w:rsidR="002C3099" w:rsidRPr="008902F2" w:rsidRDefault="00BD4292" w:rsidP="00A86526">
      <w:pPr>
        <w:pStyle w:val="ListeParagraf"/>
        <w:numPr>
          <w:ilvl w:val="0"/>
          <w:numId w:val="4"/>
        </w:numPr>
        <w:spacing w:after="160"/>
        <w:rPr>
          <w:rFonts w:ascii="Times New Roman" w:hAnsi="Times New Roman"/>
          <w:color w:val="000000" w:themeColor="text1"/>
        </w:rPr>
      </w:pPr>
      <w:r w:rsidRPr="008902F2">
        <w:rPr>
          <w:rFonts w:ascii="Times New Roman" w:hAnsi="Times New Roman"/>
          <w:color w:val="000000" w:themeColor="text1"/>
        </w:rPr>
        <w:t>Under</w:t>
      </w:r>
      <w:r w:rsidR="71221A60" w:rsidRPr="008902F2">
        <w:rPr>
          <w:rFonts w:ascii="Times New Roman" w:hAnsi="Times New Roman"/>
          <w:color w:val="000000" w:themeColor="text1"/>
        </w:rPr>
        <w:t xml:space="preserve"> to Article 19 of the Electricity Market Law No. 6446, a total of 284 Board Decisions were taken regarding electricity generation facilities.</w:t>
      </w:r>
    </w:p>
    <w:p w14:paraId="25CE7D46" w14:textId="0647F419" w:rsidR="002C3099" w:rsidRPr="008902F2" w:rsidRDefault="00613B42" w:rsidP="00A86526">
      <w:pPr>
        <w:pStyle w:val="ListeParagraf"/>
        <w:numPr>
          <w:ilvl w:val="0"/>
          <w:numId w:val="4"/>
        </w:numPr>
        <w:spacing w:after="160"/>
        <w:rPr>
          <w:rFonts w:ascii="Times New Roman" w:hAnsi="Times New Roman"/>
          <w:color w:val="000000" w:themeColor="text1"/>
        </w:rPr>
      </w:pPr>
      <w:r w:rsidRPr="008902F2">
        <w:rPr>
          <w:rFonts w:ascii="Times New Roman" w:hAnsi="Times New Roman"/>
          <w:color w:val="000000" w:themeColor="text1"/>
        </w:rPr>
        <w:lastRenderedPageBreak/>
        <w:t>By</w:t>
      </w:r>
      <w:r w:rsidR="71221A60" w:rsidRPr="008902F2">
        <w:rPr>
          <w:rFonts w:ascii="Times New Roman" w:hAnsi="Times New Roman"/>
          <w:color w:val="000000" w:themeColor="text1"/>
        </w:rPr>
        <w:t xml:space="preserve"> Article 12 of the Natural Gas Market Law No. 4646, a total of 140 Board Decisions were taken regarding natural gas distribution, transmission and storage facilities.</w:t>
      </w:r>
    </w:p>
    <w:p w14:paraId="074A171E" w14:textId="31CD34AF" w:rsidR="002C3099" w:rsidRPr="008902F2" w:rsidRDefault="00613B42" w:rsidP="00A86526">
      <w:pPr>
        <w:pStyle w:val="ListeParagraf"/>
        <w:numPr>
          <w:ilvl w:val="0"/>
          <w:numId w:val="4"/>
        </w:numPr>
        <w:spacing w:after="0" w:line="240" w:lineRule="auto"/>
        <w:rPr>
          <w:rFonts w:ascii="Times New Roman" w:hAnsi="Times New Roman"/>
          <w:color w:val="000000" w:themeColor="text1"/>
        </w:rPr>
      </w:pPr>
      <w:r w:rsidRPr="008902F2">
        <w:rPr>
          <w:rFonts w:ascii="Times New Roman" w:hAnsi="Times New Roman"/>
          <w:color w:val="000000" w:themeColor="text1"/>
        </w:rPr>
        <w:t>By</w:t>
      </w:r>
      <w:r w:rsidR="71221A60" w:rsidRPr="008902F2">
        <w:rPr>
          <w:rFonts w:ascii="Times New Roman" w:hAnsi="Times New Roman"/>
          <w:color w:val="000000" w:themeColor="text1"/>
        </w:rPr>
        <w:t xml:space="preserve"> Article 11 of the Petroleum Market Law No. 5015, a total of 2 Board Decisions were taken regarding petroleum facilities.</w:t>
      </w:r>
    </w:p>
    <w:p w14:paraId="2F6DFE8E" w14:textId="0B78AFA9" w:rsidR="002C3099" w:rsidRPr="008902F2" w:rsidRDefault="002C3099" w:rsidP="6F691FB8">
      <w:pPr>
        <w:spacing w:after="0" w:line="240" w:lineRule="auto"/>
        <w:ind w:left="567"/>
        <w:rPr>
          <w:rFonts w:ascii="Times New Roman" w:eastAsia="Times New Roman" w:hAnsi="Times New Roman"/>
          <w:color w:val="000000" w:themeColor="text1"/>
          <w:sz w:val="24"/>
          <w:szCs w:val="24"/>
        </w:rPr>
      </w:pPr>
    </w:p>
    <w:p w14:paraId="2C01F7F2" w14:textId="4D717D90" w:rsidR="002C3099" w:rsidRPr="008902F2" w:rsidRDefault="002C3099" w:rsidP="6F691FB8">
      <w:pPr>
        <w:spacing w:after="0" w:line="240" w:lineRule="auto"/>
        <w:ind w:left="567"/>
        <w:rPr>
          <w:rFonts w:ascii="Times New Roman" w:eastAsia="Times New Roman" w:hAnsi="Times New Roman"/>
          <w:color w:val="000000" w:themeColor="text1"/>
          <w:sz w:val="24"/>
          <w:szCs w:val="24"/>
        </w:rPr>
      </w:pPr>
    </w:p>
    <w:p w14:paraId="199F4136" w14:textId="7A9F9754" w:rsidR="002C3099" w:rsidRPr="008902F2" w:rsidRDefault="14F1BC19" w:rsidP="6F691FB8">
      <w:pPr>
        <w:spacing w:after="0" w:line="240" w:lineRule="auto"/>
        <w:ind w:left="567"/>
        <w:jc w:val="center"/>
        <w:rPr>
          <w:rFonts w:ascii="Times New Roman" w:eastAsiaTheme="minorEastAsia" w:hAnsi="Times New Roman"/>
          <w:b/>
          <w:bCs/>
          <w:color w:val="000000" w:themeColor="text1"/>
        </w:rPr>
      </w:pPr>
      <w:r w:rsidRPr="008902F2">
        <w:rPr>
          <w:rFonts w:ascii="Times New Roman" w:eastAsiaTheme="minorEastAsia" w:hAnsi="Times New Roman"/>
          <w:b/>
          <w:bCs/>
          <w:color w:val="000000" w:themeColor="text1"/>
        </w:rPr>
        <w:t>Figure 7.2: Sectoral Distribution of Board Decisions on Real Estate Acquisition Transactions in the Year 2022</w:t>
      </w:r>
    </w:p>
    <w:p w14:paraId="55ED6E31" w14:textId="7E31D22E" w:rsidR="002C3099" w:rsidRPr="008902F2" w:rsidRDefault="002C3099" w:rsidP="6F691FB8">
      <w:pPr>
        <w:spacing w:after="0" w:line="240" w:lineRule="auto"/>
        <w:ind w:left="567"/>
        <w:rPr>
          <w:rFonts w:ascii="Times New Roman" w:eastAsia="Times New Roman" w:hAnsi="Times New Roman"/>
          <w:color w:val="000000" w:themeColor="text1"/>
          <w:sz w:val="24"/>
          <w:szCs w:val="24"/>
        </w:rPr>
      </w:pPr>
    </w:p>
    <w:p w14:paraId="5191856A" w14:textId="589830D9" w:rsidR="002C3099" w:rsidRPr="008902F2" w:rsidRDefault="00965D1B" w:rsidP="6F691FB8">
      <w:pPr>
        <w:jc w:val="center"/>
        <w:rPr>
          <w:rFonts w:ascii="Times New Roman" w:hAnsi="Times New Roman"/>
          <w:color w:val="000000" w:themeColor="text1"/>
        </w:rPr>
      </w:pPr>
      <w:r w:rsidRPr="008902F2">
        <w:rPr>
          <w:rFonts w:ascii="Times New Roman" w:hAnsi="Times New Roman"/>
          <w:noProof/>
          <w:color w:val="000000" w:themeColor="text1"/>
          <w:lang w:val="en-US"/>
        </w:rPr>
        <w:drawing>
          <wp:inline distT="0" distB="0" distL="0" distR="0" wp14:anchorId="2DBAB20F" wp14:editId="2064DDA8">
            <wp:extent cx="5395595" cy="2810510"/>
            <wp:effectExtent l="0" t="0" r="0" b="8890"/>
            <wp:docPr id="1366626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5595" cy="2810510"/>
                    </a:xfrm>
                    <a:prstGeom prst="rect">
                      <a:avLst/>
                    </a:prstGeom>
                    <a:noFill/>
                  </pic:spPr>
                </pic:pic>
              </a:graphicData>
            </a:graphic>
          </wp:inline>
        </w:drawing>
      </w:r>
    </w:p>
    <w:p w14:paraId="590A0184" w14:textId="21B9DCD9"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In addition, within the scope of legislative studies “Regulation on Real Estate Procurement Transactions Carried out by the Energy Market Regulatory Authority”, which was prepared with the aim of determining the procedures and principles regarding the real estate procurement practices to be carried out by the Authority in electricity, natural gas</w:t>
      </w:r>
      <w:r w:rsidR="00613B42" w:rsidRPr="008902F2">
        <w:rPr>
          <w:rFonts w:ascii="Times New Roman" w:hAnsi="Times New Roman"/>
          <w:color w:val="000000" w:themeColor="text1"/>
        </w:rPr>
        <w:t>,</w:t>
      </w:r>
      <w:r w:rsidRPr="008902F2">
        <w:rPr>
          <w:rFonts w:ascii="Times New Roman" w:hAnsi="Times New Roman"/>
          <w:color w:val="000000" w:themeColor="text1"/>
        </w:rPr>
        <w:t xml:space="preserve"> and petroleum markets, and the rights and obligations of associate or license holders arising from the acquisition of real estates. It was published in the Official Gazette No.31679. In addition, with the Board Decision dated 11.11.2021 and numbered 10554-2 published in the Official Gazette No. 31660 and dated 15.11.2021 The "Procedures and Principles Regarding the Procurement of Immovable Transactions Conducted by the Energy Market Regulatory Authority" published in the Official Gazette dated 02.02.2018 and numbered 30320 was repealed with the Board Decision dated 11.11.2021 and numbered 10554-2.</w:t>
      </w:r>
    </w:p>
    <w:p w14:paraId="62C6B6F4" w14:textId="2D1485D5"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On the other hand; Work continued under the coordination of the Department of Expropriation and the Department of Information Processing to develop the practice of receiving applications for real estate procurement electronically.</w:t>
      </w:r>
    </w:p>
    <w:p w14:paraId="46DE311F" w14:textId="6D87B114"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 xml:space="preserve">Data reporting, conversion to vector data, mapping and map visualization studies continued to evaluate the conformity of the coordinate data submitted to the Authority for the determination of power plant sites, </w:t>
      </w:r>
      <w:r w:rsidR="00613B42" w:rsidRPr="008902F2">
        <w:rPr>
          <w:rFonts w:ascii="Times New Roman" w:hAnsi="Times New Roman"/>
          <w:color w:val="000000" w:themeColor="text1"/>
        </w:rPr>
        <w:t xml:space="preserve">by </w:t>
      </w:r>
      <w:r w:rsidRPr="008902F2">
        <w:rPr>
          <w:rFonts w:ascii="Times New Roman" w:hAnsi="Times New Roman"/>
          <w:color w:val="000000" w:themeColor="text1"/>
        </w:rPr>
        <w:t>the “Procedures and Principles Regarding the Determination of Power Plant Sites of Production Facilities Subject to Associate License or Licenses in the Electricity Market”.</w:t>
      </w:r>
    </w:p>
    <w:p w14:paraId="0097466E" w14:textId="2E543ADA"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 xml:space="preserve">In addition, the power plant site map of the Electricity Market Department, field overlap, etc., regarding the storage </w:t>
      </w:r>
      <w:r w:rsidR="00422DF2" w:rsidRPr="008902F2">
        <w:rPr>
          <w:rFonts w:ascii="Times New Roman" w:hAnsi="Times New Roman"/>
          <w:color w:val="000000" w:themeColor="text1"/>
        </w:rPr>
        <w:t xml:space="preserve">of </w:t>
      </w:r>
      <w:r w:rsidRPr="008902F2">
        <w:rPr>
          <w:rFonts w:ascii="Times New Roman" w:hAnsi="Times New Roman"/>
          <w:color w:val="000000" w:themeColor="text1"/>
        </w:rPr>
        <w:t xml:space="preserve">electricity generation facilities that have just entered the legislation. </w:t>
      </w:r>
      <w:r w:rsidR="00422DF2" w:rsidRPr="008902F2">
        <w:rPr>
          <w:rFonts w:ascii="Times New Roman" w:hAnsi="Times New Roman"/>
          <w:color w:val="000000" w:themeColor="text1"/>
        </w:rPr>
        <w:t>T</w:t>
      </w:r>
      <w:r w:rsidRPr="008902F2">
        <w:rPr>
          <w:rFonts w:ascii="Times New Roman" w:hAnsi="Times New Roman"/>
          <w:color w:val="000000" w:themeColor="text1"/>
        </w:rPr>
        <w:t xml:space="preserve">o meet the requests for opinions on these issues, necessary technical studies were carried out for the map studies to be needed by using the relevant coordinate data submitted within the scope of the new production facility associate license applications and the </w:t>
      </w:r>
      <w:r w:rsidRPr="008902F2">
        <w:rPr>
          <w:rFonts w:ascii="Times New Roman" w:hAnsi="Times New Roman"/>
          <w:color w:val="000000" w:themeColor="text1"/>
        </w:rPr>
        <w:lastRenderedPageBreak/>
        <w:t>detached storage facilities and the related production facility pre-license applications. Opinion requests of the Electricity Market Department within this scope have begun to be met.</w:t>
      </w:r>
    </w:p>
    <w:p w14:paraId="4FF7BDC8" w14:textId="11C8AD54"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preparation of technical specifications for the development of the Geographical Information Systems infrastructure has been completed and the "EMRA Integrated Geographical Information System (ECBS) Development and Establishment Project" has been initiated.</w:t>
      </w:r>
    </w:p>
    <w:p w14:paraId="3269AD1A" w14:textId="37A1AD22"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Authority continued to work on providing access to the grid data of electricity distribution companies and natural gas distribution companies and keeping the services that have been accessed alive. In addition, data sharing principles regarding the geographical data layers of electricity and natural gas distribution networks have been determined and notified to the relevant parties to be taken into account in practice. After determining the data sharing principles, geographical data layers of distribution networks belonging to some distribution companies were submitted to the Turkish National Geographic Information System (TUCBS) Platform for testing purposes.</w:t>
      </w:r>
    </w:p>
    <w:p w14:paraId="72E6E777" w14:textId="15639338"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The data in the geographical data layers created by transforming the coordinate data of the associate/licenses granted by the institution into digital vector data and submitted to the TUCBS platform with the geographical web services were updated. In addition, the metadata preparation work for these layers was started and completed, and the registration of the created metadata sets to the metadata portal within the scope of TUCBS was started.</w:t>
      </w:r>
    </w:p>
    <w:p w14:paraId="2A9FB397" w14:textId="52780971" w:rsidR="002C3099" w:rsidRPr="008902F2" w:rsidRDefault="71221A60" w:rsidP="6F691FB8">
      <w:pPr>
        <w:rPr>
          <w:rFonts w:ascii="Times New Roman" w:hAnsi="Times New Roman"/>
          <w:color w:val="000000" w:themeColor="text1"/>
        </w:rPr>
      </w:pPr>
      <w:r w:rsidRPr="008902F2">
        <w:rPr>
          <w:rFonts w:ascii="Times New Roman" w:hAnsi="Times New Roman"/>
          <w:color w:val="000000" w:themeColor="text1"/>
        </w:rPr>
        <w:t>Within the scope of the TUCBS Infrastructure Establishment Project (5th PHASE) carried out by the General Directorate of Geographic Information Systems of the Ministry of Environment, Urbanization and Climate Change, the works on the expansion of the sections on the Electricity Sub-Theme and Oil/Gas/Chemical Sub-Theme of the standard document on the Infrastructure Theme were cooperated with the Institution units and distribution companies. Necessary coordination was ensured, the formation of working committees was coordinated, and participation in the committee work, which lasted for about three months, contributed to the updating of the theme standard document.</w:t>
      </w:r>
    </w:p>
    <w:p w14:paraId="15BE3B66" w14:textId="5C7B2155" w:rsidR="002C3099" w:rsidRPr="008902F2" w:rsidRDefault="002C3099" w:rsidP="6F691FB8">
      <w:pPr>
        <w:jc w:val="left"/>
        <w:rPr>
          <w:rFonts w:ascii="Times New Roman" w:hAnsi="Times New Roman"/>
        </w:rPr>
      </w:pPr>
    </w:p>
    <w:p w14:paraId="6AE7F0A7" w14:textId="12AC9C26" w:rsidR="002C3099" w:rsidRPr="008902F2" w:rsidRDefault="67863AE9" w:rsidP="6F691FB8">
      <w:pPr>
        <w:pStyle w:val="Balk1"/>
        <w:spacing w:before="0"/>
        <w:rPr>
          <w:rFonts w:ascii="Times New Roman" w:eastAsia="Calibri" w:hAnsi="Times New Roman" w:cs="Times New Roman"/>
          <w:szCs w:val="22"/>
        </w:rPr>
      </w:pPr>
      <w:bookmarkStart w:id="184" w:name="_Toc143113467"/>
      <w:r w:rsidRPr="008902F2">
        <w:rPr>
          <w:rFonts w:ascii="Times New Roman" w:eastAsia="Calibri" w:hAnsi="Times New Roman" w:cs="Times New Roman"/>
          <w:szCs w:val="22"/>
        </w:rPr>
        <w:t xml:space="preserve">8. </w:t>
      </w:r>
      <w:r w:rsidR="71221A60" w:rsidRPr="008902F2">
        <w:rPr>
          <w:rFonts w:ascii="Times New Roman" w:eastAsia="Calibri" w:hAnsi="Times New Roman" w:cs="Times New Roman"/>
          <w:szCs w:val="22"/>
        </w:rPr>
        <w:t>ACTIVITIES RELATING TO LEGAL SERVICES</w:t>
      </w:r>
      <w:bookmarkEnd w:id="184"/>
    </w:p>
    <w:p w14:paraId="2555F373" w14:textId="790E6468" w:rsidR="002C3099" w:rsidRPr="008902F2" w:rsidRDefault="71221A60" w:rsidP="6F691FB8">
      <w:pPr>
        <w:pStyle w:val="Balk2"/>
        <w:spacing w:after="240"/>
        <w:rPr>
          <w:rFonts w:ascii="Times New Roman" w:eastAsia="Calibri" w:hAnsi="Times New Roman" w:cs="Times New Roman"/>
          <w:szCs w:val="22"/>
        </w:rPr>
      </w:pPr>
      <w:bookmarkStart w:id="185" w:name="_Toc143113468"/>
      <w:r w:rsidRPr="008902F2">
        <w:rPr>
          <w:rFonts w:ascii="Times New Roman" w:eastAsia="Calibri" w:hAnsi="Times New Roman" w:cs="Times New Roman"/>
          <w:szCs w:val="22"/>
        </w:rPr>
        <w:t>8.1.</w:t>
      </w:r>
      <w:r w:rsidRPr="008902F2">
        <w:rPr>
          <w:rFonts w:ascii="Times New Roman" w:eastAsia="Cambria" w:hAnsi="Times New Roman" w:cs="Times New Roman"/>
        </w:rPr>
        <w:t xml:space="preserve"> </w:t>
      </w:r>
      <w:r w:rsidRPr="008902F2">
        <w:rPr>
          <w:rFonts w:ascii="Times New Roman" w:eastAsia="Calibri" w:hAnsi="Times New Roman" w:cs="Times New Roman"/>
          <w:szCs w:val="22"/>
        </w:rPr>
        <w:t>Litigation Procedures</w:t>
      </w:r>
      <w:bookmarkEnd w:id="185"/>
    </w:p>
    <w:p w14:paraId="56D2815A"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The works and transactions related to the lawsuits and proceedings to which the Authority is a party are carried out within the framework of the Regulation on the Procedures and Principles Regarding the Follow-up of the Lawsuits to which the Energy Market Regulatory Authority is a party, which was adopted and entered into force with the Board Decision dated 11.09.2003 and numbered 207-51.</w:t>
      </w:r>
    </w:p>
    <w:p w14:paraId="64B930D6" w14:textId="77777777" w:rsidR="00C11703" w:rsidRPr="008902F2" w:rsidRDefault="00C11703" w:rsidP="00C11703">
      <w:pPr>
        <w:rPr>
          <w:rFonts w:ascii="Times New Roman" w:hAnsi="Times New Roman"/>
          <w:color w:val="000000" w:themeColor="text1"/>
          <w:lang w:val="en-GB"/>
        </w:rPr>
      </w:pPr>
    </w:p>
    <w:p w14:paraId="2F936519"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8.1: As of the End of 2022, The Total Number of Lawsuits To which Our Institution is a Party</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95"/>
        <w:gridCol w:w="1845"/>
        <w:gridCol w:w="2445"/>
      </w:tblGrid>
      <w:tr w:rsidR="00C11703" w:rsidRPr="008902F2" w14:paraId="4065DE48" w14:textId="77777777" w:rsidTr="00C11703">
        <w:trPr>
          <w:trHeight w:val="510"/>
        </w:trPr>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49A446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Case Type</w:t>
            </w:r>
          </w:p>
        </w:tc>
        <w:tc>
          <w:tcPr>
            <w:tcW w:w="18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D3DFDF9"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24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E453742"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30CD3D07" w14:textId="77777777" w:rsidTr="00C11703">
        <w:trPr>
          <w:trHeight w:val="510"/>
        </w:trPr>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0D3B03"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Criminal Cases</w:t>
            </w:r>
          </w:p>
        </w:tc>
        <w:tc>
          <w:tcPr>
            <w:tcW w:w="18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99DA72C"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35.545 </w:t>
            </w:r>
          </w:p>
        </w:tc>
        <w:tc>
          <w:tcPr>
            <w:tcW w:w="24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0232EF6"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53.05</w:t>
            </w:r>
          </w:p>
        </w:tc>
      </w:tr>
      <w:tr w:rsidR="00C11703" w:rsidRPr="008902F2" w14:paraId="321DD7B4" w14:textId="77777777" w:rsidTr="00C11703">
        <w:trPr>
          <w:trHeight w:val="510"/>
        </w:trPr>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CAB0F15"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Administrative Lawsuits</w:t>
            </w:r>
          </w:p>
        </w:tc>
        <w:tc>
          <w:tcPr>
            <w:tcW w:w="18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96E74C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24.318 </w:t>
            </w:r>
          </w:p>
        </w:tc>
        <w:tc>
          <w:tcPr>
            <w:tcW w:w="24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D83534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36.29 </w:t>
            </w:r>
          </w:p>
        </w:tc>
      </w:tr>
      <w:tr w:rsidR="00C11703" w:rsidRPr="008902F2" w14:paraId="2478FAC1" w14:textId="77777777" w:rsidTr="00C11703">
        <w:trPr>
          <w:trHeight w:val="510"/>
        </w:trPr>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E8EE3B"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Legal Litigation</w:t>
            </w:r>
          </w:p>
        </w:tc>
        <w:tc>
          <w:tcPr>
            <w:tcW w:w="18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081F1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7.143 </w:t>
            </w:r>
          </w:p>
        </w:tc>
        <w:tc>
          <w:tcPr>
            <w:tcW w:w="24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9E2833"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10.66</w:t>
            </w:r>
          </w:p>
        </w:tc>
      </w:tr>
      <w:tr w:rsidR="00C11703" w:rsidRPr="008902F2" w14:paraId="600FED3E" w14:textId="77777777" w:rsidTr="00C11703">
        <w:trPr>
          <w:trHeight w:val="510"/>
        </w:trPr>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03889DD"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8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0DD5A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67.006</w:t>
            </w:r>
          </w:p>
        </w:tc>
        <w:tc>
          <w:tcPr>
            <w:tcW w:w="24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1C93C02"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r>
    </w:tbl>
    <w:p w14:paraId="5E0D5F87" w14:textId="77777777" w:rsidR="00C11703" w:rsidRPr="008902F2" w:rsidRDefault="00C11703" w:rsidP="00C11703">
      <w:pPr>
        <w:spacing w:after="240"/>
        <w:rPr>
          <w:rFonts w:ascii="Times New Roman" w:hAnsi="Times New Roman"/>
          <w:highlight w:val="yellow"/>
          <w:lang w:val="en-GB"/>
        </w:rPr>
      </w:pPr>
    </w:p>
    <w:p w14:paraId="4216AF7C" w14:textId="77777777" w:rsidR="00C11703" w:rsidRPr="008902F2" w:rsidRDefault="00C11703" w:rsidP="00C11703">
      <w:pPr>
        <w:spacing w:after="240"/>
        <w:rPr>
          <w:rFonts w:ascii="Times New Roman" w:hAnsi="Times New Roman"/>
          <w:highlight w:val="yellow"/>
          <w:lang w:val="en-GB"/>
        </w:rPr>
      </w:pPr>
    </w:p>
    <w:p w14:paraId="7B570208"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8.2: Distribution of Lawsuits by the Markes To which The Authority is a Party, as of the End of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115"/>
        <w:gridCol w:w="1695"/>
        <w:gridCol w:w="2295"/>
      </w:tblGrid>
      <w:tr w:rsidR="00C11703" w:rsidRPr="008902F2" w14:paraId="5740DCC2"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3F5F2E1"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Market</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D7372E3"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10B3D7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424B97FC"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E61EE0B"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Electric</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F6079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9.745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8E25C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14.54</w:t>
            </w:r>
          </w:p>
        </w:tc>
      </w:tr>
      <w:tr w:rsidR="00C11703" w:rsidRPr="008902F2" w14:paraId="42F9CEC0"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91278D5"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Natural gas</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4B27EDD"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547</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B9A4F3"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0,82</w:t>
            </w:r>
          </w:p>
        </w:tc>
      </w:tr>
      <w:tr w:rsidR="00C11703" w:rsidRPr="008902F2" w14:paraId="7A78A810"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47D78BD"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Oil</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C8DAE1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51.659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25CBAD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77,09 </w:t>
            </w:r>
          </w:p>
        </w:tc>
      </w:tr>
      <w:tr w:rsidR="00C11703" w:rsidRPr="008902F2" w14:paraId="28DD4B75"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1D4657A"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LPG</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C45AFF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2.379</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87B9A5B"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3,55</w:t>
            </w:r>
          </w:p>
        </w:tc>
      </w:tr>
      <w:tr w:rsidR="00C11703" w:rsidRPr="008902F2" w14:paraId="354C74F0"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CA49C6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Expropriation</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210C72D"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1.928 </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8B5E62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2,88</w:t>
            </w:r>
          </w:p>
        </w:tc>
      </w:tr>
      <w:tr w:rsidR="00C11703" w:rsidRPr="008902F2" w14:paraId="5B30FCB3"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2EE93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Other</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FB4B3A7"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748</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5CBFA6"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1,12</w:t>
            </w:r>
          </w:p>
        </w:tc>
      </w:tr>
      <w:tr w:rsidR="00C11703" w:rsidRPr="008902F2" w14:paraId="4F3AC1A1" w14:textId="77777777" w:rsidTr="00C11703">
        <w:trPr>
          <w:trHeight w:val="315"/>
        </w:trPr>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15B3E1E"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6AA545"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67.006</w:t>
            </w:r>
          </w:p>
        </w:tc>
        <w:tc>
          <w:tcPr>
            <w:tcW w:w="22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530D8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r>
    </w:tbl>
    <w:p w14:paraId="1C232DEC" w14:textId="77777777" w:rsidR="00C11703" w:rsidRPr="008902F2" w:rsidRDefault="00C11703" w:rsidP="00C11703">
      <w:pPr>
        <w:spacing w:after="0" w:line="240" w:lineRule="auto"/>
        <w:rPr>
          <w:rFonts w:ascii="Times New Roman" w:hAnsi="Times New Roman"/>
          <w:color w:val="000000" w:themeColor="text1"/>
          <w:lang w:val="en-GB"/>
        </w:rPr>
      </w:pPr>
    </w:p>
    <w:p w14:paraId="0CA56C3D" w14:textId="77777777" w:rsidR="00C11703" w:rsidRPr="008902F2" w:rsidRDefault="00C11703" w:rsidP="00C11703">
      <w:pPr>
        <w:spacing w:after="0" w:line="240" w:lineRule="auto"/>
        <w:rPr>
          <w:rFonts w:ascii="Times New Roman" w:hAnsi="Times New Roman"/>
          <w:color w:val="000000" w:themeColor="text1"/>
          <w:lang w:val="en-GB"/>
        </w:rPr>
      </w:pPr>
    </w:p>
    <w:p w14:paraId="413607CC" w14:textId="77777777" w:rsidR="00C11703" w:rsidRPr="008902F2" w:rsidRDefault="00C11703" w:rsidP="00C11703">
      <w:pPr>
        <w:spacing w:after="0" w:line="240" w:lineRule="auto"/>
        <w:rPr>
          <w:rFonts w:ascii="Times New Roman" w:hAnsi="Times New Roman"/>
          <w:color w:val="000000" w:themeColor="text1"/>
          <w:lang w:val="en-GB"/>
        </w:rPr>
      </w:pPr>
    </w:p>
    <w:p w14:paraId="50D5FA52" w14:textId="77777777" w:rsidR="00C11703" w:rsidRPr="008902F2" w:rsidRDefault="00C11703" w:rsidP="00C11703">
      <w:pPr>
        <w:spacing w:after="0" w:line="240" w:lineRule="auto"/>
        <w:rPr>
          <w:rFonts w:ascii="Times New Roman" w:hAnsi="Times New Roman"/>
          <w:color w:val="000000" w:themeColor="text1"/>
          <w:lang w:val="en-GB"/>
        </w:rPr>
      </w:pPr>
    </w:p>
    <w:p w14:paraId="3BF0F421"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 xml:space="preserve">Table 8.3: Distribution of Lawsuits by the Case Types in 2022 to which The Authority is a Party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1695"/>
        <w:gridCol w:w="2310"/>
      </w:tblGrid>
      <w:tr w:rsidR="00C11703" w:rsidRPr="008902F2" w14:paraId="1AEFCAC3" w14:textId="77777777" w:rsidTr="00C11703">
        <w:trPr>
          <w:trHeight w:val="615"/>
        </w:trPr>
        <w:tc>
          <w:tcPr>
            <w:tcW w:w="22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5D275C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Case Type</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5FBFF79"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F848BB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6FDE32AA" w14:textId="77777777" w:rsidTr="00C11703">
        <w:trPr>
          <w:trHeight w:val="315"/>
        </w:trPr>
        <w:tc>
          <w:tcPr>
            <w:tcW w:w="22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C425D0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Criminal Cases</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F6B1C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1.043</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B0DEA3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26,45</w:t>
            </w:r>
          </w:p>
        </w:tc>
      </w:tr>
      <w:tr w:rsidR="00C11703" w:rsidRPr="008902F2" w14:paraId="1A1EEDAF" w14:textId="77777777" w:rsidTr="00C11703">
        <w:trPr>
          <w:trHeight w:val="315"/>
        </w:trPr>
        <w:tc>
          <w:tcPr>
            <w:tcW w:w="22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A4A8DEF"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 Administrative Cases</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933CC2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2.416</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32B2B0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61,28</w:t>
            </w:r>
          </w:p>
        </w:tc>
      </w:tr>
      <w:tr w:rsidR="00C11703" w:rsidRPr="008902F2" w14:paraId="52BCB359" w14:textId="77777777" w:rsidTr="00C11703">
        <w:trPr>
          <w:trHeight w:val="315"/>
        </w:trPr>
        <w:tc>
          <w:tcPr>
            <w:tcW w:w="22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F911E4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Law Cases</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D42689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484</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7B480C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12,27</w:t>
            </w:r>
          </w:p>
        </w:tc>
      </w:tr>
      <w:tr w:rsidR="00C11703" w:rsidRPr="008902F2" w14:paraId="51FADDA2" w14:textId="77777777" w:rsidTr="00C11703">
        <w:trPr>
          <w:trHeight w:val="315"/>
        </w:trPr>
        <w:tc>
          <w:tcPr>
            <w:tcW w:w="22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39368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6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9EC85D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3.943</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1D6A16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r>
    </w:tbl>
    <w:p w14:paraId="20157B60" w14:textId="77777777" w:rsidR="00C11703" w:rsidRPr="008902F2" w:rsidRDefault="00C11703" w:rsidP="00C11703">
      <w:pPr>
        <w:spacing w:after="0"/>
        <w:rPr>
          <w:rFonts w:ascii="Times New Roman" w:hAnsi="Times New Roman"/>
          <w:color w:val="000000" w:themeColor="text1"/>
          <w:lang w:val="en-GB"/>
        </w:rPr>
      </w:pPr>
    </w:p>
    <w:p w14:paraId="732ADE73"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color w:val="000000" w:themeColor="text1"/>
          <w:lang w:val="en-GB"/>
        </w:rPr>
        <w:t>As can be seen from the tables, most of the lawsuits that the Authority is a party to are related to the petroleum market. It is considered that this situation arises from the high number of licensed actors in the that market.</w:t>
      </w:r>
    </w:p>
    <w:p w14:paraId="4EA4D40B" w14:textId="77777777" w:rsidR="00C11703" w:rsidRPr="008902F2" w:rsidRDefault="00C11703" w:rsidP="00C11703">
      <w:pPr>
        <w:spacing w:after="0"/>
        <w:rPr>
          <w:rFonts w:ascii="Times New Roman" w:hAnsi="Times New Roman"/>
          <w:color w:val="000000" w:themeColor="text1"/>
          <w:lang w:val="en-GB"/>
        </w:rPr>
      </w:pPr>
    </w:p>
    <w:p w14:paraId="246783FD" w14:textId="77777777" w:rsidR="00C11703" w:rsidRPr="008902F2" w:rsidRDefault="00C11703" w:rsidP="00C11703">
      <w:pPr>
        <w:spacing w:after="0"/>
        <w:rPr>
          <w:rFonts w:ascii="Times New Roman" w:hAnsi="Times New Roman"/>
          <w:color w:val="000000" w:themeColor="text1"/>
          <w:lang w:val="en-GB"/>
        </w:rPr>
      </w:pPr>
    </w:p>
    <w:p w14:paraId="323F3A28" w14:textId="77777777" w:rsidR="00C11703" w:rsidRPr="008902F2" w:rsidRDefault="00C11703" w:rsidP="00C11703">
      <w:pPr>
        <w:spacing w:after="0"/>
        <w:rPr>
          <w:rFonts w:ascii="Times New Roman" w:hAnsi="Times New Roman"/>
          <w:color w:val="000000" w:themeColor="text1"/>
          <w:lang w:val="en-GB"/>
        </w:rPr>
      </w:pPr>
    </w:p>
    <w:p w14:paraId="3EA6E1AE" w14:textId="77777777" w:rsidR="00C11703" w:rsidRPr="008902F2" w:rsidRDefault="00C11703" w:rsidP="00C11703">
      <w:pPr>
        <w:keepNext/>
        <w:keepLines/>
        <w:spacing w:before="200" w:after="0"/>
        <w:jc w:val="center"/>
        <w:rPr>
          <w:rFonts w:ascii="Times New Roman" w:eastAsia="Cambria" w:hAnsi="Times New Roman"/>
          <w:b/>
          <w:bCs/>
          <w:lang w:val="en-GB"/>
        </w:rPr>
      </w:pPr>
      <w:r w:rsidRPr="008902F2">
        <w:rPr>
          <w:rFonts w:ascii="Times New Roman" w:eastAsia="Cambria" w:hAnsi="Times New Roman"/>
          <w:b/>
          <w:bCs/>
          <w:lang w:val="en-GB"/>
        </w:rPr>
        <w:lastRenderedPageBreak/>
        <w:t>Shape 8.1: Distribution of Lawsuits Sued Against to the Authority by Years on the Market Basis</w:t>
      </w:r>
    </w:p>
    <w:p w14:paraId="232C9F30" w14:textId="77777777" w:rsidR="00C11703" w:rsidRPr="008902F2" w:rsidRDefault="00C11703" w:rsidP="00C11703">
      <w:pPr>
        <w:keepNext/>
        <w:keepLines/>
        <w:spacing w:before="200" w:after="0"/>
        <w:jc w:val="center"/>
        <w:rPr>
          <w:rFonts w:ascii="Times New Roman" w:eastAsia="Cambria" w:hAnsi="Times New Roman"/>
          <w:lang w:val="en-GB"/>
        </w:rPr>
      </w:pPr>
    </w:p>
    <w:p w14:paraId="01E3B927"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5D73ADF7" wp14:editId="39E5C328">
            <wp:extent cx="6169660" cy="3347085"/>
            <wp:effectExtent l="0" t="0" r="2540" b="5715"/>
            <wp:docPr id="11792923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69660" cy="3347085"/>
                    </a:xfrm>
                    <a:prstGeom prst="rect">
                      <a:avLst/>
                    </a:prstGeom>
                    <a:noFill/>
                  </pic:spPr>
                </pic:pic>
              </a:graphicData>
            </a:graphic>
          </wp:inline>
        </w:drawing>
      </w:r>
    </w:p>
    <w:p w14:paraId="1842AFF0" w14:textId="77777777" w:rsidR="00C11703" w:rsidRPr="008902F2" w:rsidRDefault="00C11703" w:rsidP="00C11703">
      <w:pPr>
        <w:spacing w:after="0" w:line="240" w:lineRule="auto"/>
        <w:rPr>
          <w:rFonts w:ascii="Times New Roman" w:hAnsi="Times New Roman"/>
          <w:color w:val="000000" w:themeColor="text1"/>
          <w:lang w:val="en-GB"/>
        </w:rPr>
      </w:pPr>
    </w:p>
    <w:p w14:paraId="51644874" w14:textId="77777777" w:rsidR="00C11703" w:rsidRPr="008902F2" w:rsidRDefault="00C11703" w:rsidP="00C11703">
      <w:pPr>
        <w:spacing w:after="0" w:line="240" w:lineRule="auto"/>
        <w:rPr>
          <w:rFonts w:ascii="Times New Roman" w:hAnsi="Times New Roman"/>
          <w:color w:val="000000" w:themeColor="text1"/>
          <w:lang w:val="en-GB"/>
        </w:rPr>
      </w:pPr>
    </w:p>
    <w:p w14:paraId="0F3C78D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In 2022;</w:t>
      </w:r>
    </w:p>
    <w:p w14:paraId="1DF381E8" w14:textId="77777777" w:rsidR="00C11703" w:rsidRPr="008902F2" w:rsidRDefault="00C11703" w:rsidP="00C11703">
      <w:pPr>
        <w:spacing w:after="0" w:line="240" w:lineRule="auto"/>
        <w:rPr>
          <w:rFonts w:ascii="Times New Roman" w:hAnsi="Times New Roman"/>
          <w:color w:val="000000" w:themeColor="text1"/>
          <w:lang w:val="en-GB"/>
        </w:rPr>
      </w:pPr>
    </w:p>
    <w:p w14:paraId="21CB598E" w14:textId="77777777"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Our Authority  was a party to 3.943 lawsuits.</w:t>
      </w:r>
    </w:p>
    <w:p w14:paraId="11375FE0" w14:textId="77777777" w:rsidR="00C11703" w:rsidRPr="008902F2" w:rsidRDefault="00C11703" w:rsidP="00C11703">
      <w:pPr>
        <w:spacing w:after="0" w:line="240" w:lineRule="auto"/>
        <w:rPr>
          <w:rFonts w:ascii="Times New Roman" w:hAnsi="Times New Roman"/>
          <w:color w:val="000000" w:themeColor="text1"/>
          <w:lang w:val="en-GB"/>
        </w:rPr>
      </w:pPr>
    </w:p>
    <w:p w14:paraId="1465CC33" w14:textId="77777777"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Of the 3.943 lawsuits that our Authority was a party to; 1.043 criminal cases, 2.416 administrative cases, and 484 civil cases.</w:t>
      </w:r>
    </w:p>
    <w:p w14:paraId="2057805E" w14:textId="77777777"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3.015 non-litigation files (non-prosecution, attachment notice, lack of jurisdiction, etc.) were followed up.</w:t>
      </w:r>
    </w:p>
    <w:p w14:paraId="57E466B2"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8.4: Distribution of Non-Litigation Files Followed in 2022</w:t>
      </w:r>
    </w:p>
    <w:tbl>
      <w:tblPr>
        <w:tblW w:w="0" w:type="auto"/>
        <w:tblInd w:w="27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10"/>
        <w:gridCol w:w="945"/>
      </w:tblGrid>
      <w:tr w:rsidR="00C11703" w:rsidRPr="008902F2" w14:paraId="15B13A7A"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70449E9E" w14:textId="77777777" w:rsidR="00C11703" w:rsidRPr="008902F2" w:rsidRDefault="00C11703" w:rsidP="00C11703">
            <w:pPr>
              <w:spacing w:after="0" w:line="240" w:lineRule="auto"/>
              <w:rPr>
                <w:rFonts w:ascii="Times New Roman" w:hAnsi="Times New Roman"/>
                <w:color w:val="FFFFFF" w:themeColor="background1"/>
                <w:lang w:val="en-GB"/>
              </w:rPr>
            </w:pPr>
            <w:r w:rsidRPr="008902F2">
              <w:rPr>
                <w:rFonts w:ascii="Times New Roman" w:hAnsi="Times New Roman"/>
                <w:color w:val="FFFFFF" w:themeColor="background1"/>
                <w:lang w:val="en-GB"/>
              </w:rPr>
              <w:t>File Type</w:t>
            </w:r>
          </w:p>
        </w:tc>
        <w:tc>
          <w:tcPr>
            <w:tcW w:w="945" w:type="dxa"/>
            <w:tcBorders>
              <w:top w:val="single" w:sz="6" w:space="0" w:color="auto"/>
              <w:left w:val="single" w:sz="6" w:space="0" w:color="auto"/>
              <w:bottom w:val="single" w:sz="6" w:space="0" w:color="auto"/>
              <w:right w:val="single" w:sz="6" w:space="0" w:color="auto"/>
            </w:tcBorders>
            <w:shd w:val="clear" w:color="auto" w:fill="6E9ECA"/>
            <w:tcMar>
              <w:left w:w="60" w:type="dxa"/>
              <w:right w:w="60" w:type="dxa"/>
            </w:tcMar>
            <w:vAlign w:val="center"/>
          </w:tcPr>
          <w:p w14:paraId="1385F914" w14:textId="77777777" w:rsidR="00C11703" w:rsidRPr="008902F2" w:rsidRDefault="00C11703" w:rsidP="00C11703">
            <w:pPr>
              <w:spacing w:after="0" w:line="240" w:lineRule="auto"/>
              <w:rPr>
                <w:rFonts w:ascii="Times New Roman" w:hAnsi="Times New Roman"/>
                <w:color w:val="FFFFFF" w:themeColor="background1"/>
                <w:lang w:val="en-GB"/>
              </w:rPr>
            </w:pPr>
            <w:r w:rsidRPr="008902F2">
              <w:rPr>
                <w:rFonts w:ascii="Times New Roman" w:hAnsi="Times New Roman"/>
                <w:color w:val="FFFFFF" w:themeColor="background1"/>
                <w:lang w:val="en-GB"/>
              </w:rPr>
              <w:t>Number</w:t>
            </w:r>
          </w:p>
        </w:tc>
      </w:tr>
      <w:tr w:rsidR="00C11703" w:rsidRPr="008902F2" w14:paraId="0BCFC502"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B1D155D"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Training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C96FB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13</w:t>
            </w:r>
          </w:p>
        </w:tc>
      </w:tr>
      <w:tr w:rsidR="00C11703" w:rsidRPr="008902F2" w14:paraId="7A63F069"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CC5851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Opinion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8E9E8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131</w:t>
            </w:r>
          </w:p>
        </w:tc>
      </w:tr>
      <w:tr w:rsidR="00C11703" w:rsidRPr="008902F2" w14:paraId="4D41E763"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70AF0C4"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Different Job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C387E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335</w:t>
            </w:r>
          </w:p>
        </w:tc>
      </w:tr>
      <w:tr w:rsidR="00C11703" w:rsidRPr="008902F2" w14:paraId="31DB19B5"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56907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Attachment Notice / Written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F0F45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127</w:t>
            </w:r>
          </w:p>
        </w:tc>
      </w:tr>
      <w:tr w:rsidR="00C11703" w:rsidRPr="008902F2" w14:paraId="2A1C7CA1"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D75F5A4"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Executive Order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15D79F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59</w:t>
            </w:r>
          </w:p>
        </w:tc>
      </w:tr>
      <w:tr w:rsidR="00C11703" w:rsidRPr="008902F2" w14:paraId="4CAA0FE1"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5F10D"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Enforcement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5D3AE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23</w:t>
            </w:r>
          </w:p>
        </w:tc>
      </w:tr>
      <w:tr w:rsidR="00C11703" w:rsidRPr="008902F2" w14:paraId="7B9B4756"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33001A8"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Tender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BC587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8</w:t>
            </w:r>
          </w:p>
        </w:tc>
      </w:tr>
      <w:tr w:rsidR="00C11703" w:rsidRPr="008902F2" w14:paraId="2D33908B"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F0CBA9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Written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5EC835"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1.851</w:t>
            </w:r>
          </w:p>
        </w:tc>
      </w:tr>
      <w:tr w:rsidR="00C11703" w:rsidRPr="008902F2" w14:paraId="77085AC1"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E3CDE9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Criminal Indictment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03331B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10</w:t>
            </w:r>
          </w:p>
        </w:tc>
      </w:tr>
      <w:tr w:rsidR="00C11703" w:rsidRPr="008902F2" w14:paraId="2FF90C0E"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68E8D62"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Non-Prosecution Decision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D2B866"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32</w:t>
            </w:r>
          </w:p>
        </w:tc>
      </w:tr>
      <w:tr w:rsidR="00C11703" w:rsidRPr="008902F2" w14:paraId="440FC882"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50374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Attorney Fee and Litigation Expenses Payment Files</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06454A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426</w:t>
            </w:r>
          </w:p>
        </w:tc>
      </w:tr>
      <w:tr w:rsidR="00C11703" w:rsidRPr="008902F2" w14:paraId="4A55E6FD" w14:textId="77777777" w:rsidTr="00C11703">
        <w:trPr>
          <w:trHeight w:val="300"/>
        </w:trPr>
        <w:tc>
          <w:tcPr>
            <w:tcW w:w="3510"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8BFC8B"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94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6427C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3.015</w:t>
            </w:r>
          </w:p>
        </w:tc>
      </w:tr>
    </w:tbl>
    <w:p w14:paraId="5C8B4383" w14:textId="77777777" w:rsidR="00C11703" w:rsidRPr="008902F2" w:rsidRDefault="00C11703" w:rsidP="00C11703">
      <w:pPr>
        <w:spacing w:after="0" w:line="240" w:lineRule="auto"/>
        <w:rPr>
          <w:rFonts w:ascii="Times New Roman" w:hAnsi="Times New Roman"/>
          <w:color w:val="000000" w:themeColor="text1"/>
          <w:lang w:val="en-GB"/>
        </w:rPr>
      </w:pPr>
    </w:p>
    <w:p w14:paraId="65A9DCFE"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lastRenderedPageBreak/>
        <w:t>Table 8.5:</w:t>
      </w:r>
      <w:r w:rsidRPr="008902F2">
        <w:rPr>
          <w:rFonts w:ascii="Times New Roman" w:eastAsia="Cambria" w:hAnsi="Times New Roman"/>
          <w:lang w:val="en-GB"/>
        </w:rPr>
        <w:t xml:space="preserve"> </w:t>
      </w:r>
      <w:r w:rsidRPr="008902F2">
        <w:rPr>
          <w:rFonts w:ascii="Times New Roman" w:eastAsia="Cambria" w:hAnsi="Times New Roman"/>
          <w:b/>
          <w:bCs/>
          <w:lang w:val="en-GB"/>
        </w:rPr>
        <w:t>Finalization Status of Administrative Cases Followed by Our Authority as of the End of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85"/>
        <w:gridCol w:w="2085"/>
        <w:gridCol w:w="2085"/>
      </w:tblGrid>
      <w:tr w:rsidR="00C11703" w:rsidRPr="008902F2" w14:paraId="6EF9FB9A" w14:textId="77777777" w:rsidTr="00C11703">
        <w:trPr>
          <w:trHeight w:val="225"/>
        </w:trPr>
        <w:tc>
          <w:tcPr>
            <w:tcW w:w="2085" w:type="dxa"/>
            <w:tcBorders>
              <w:top w:val="single" w:sz="6" w:space="0" w:color="BFBFBF" w:themeColor="background1" w:themeShade="BF"/>
              <w:left w:val="single" w:sz="6" w:space="0" w:color="9BBB59" w:themeColor="accent3"/>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08FE566"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20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B604DD2"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Finalists</w:t>
            </w:r>
          </w:p>
        </w:tc>
        <w:tc>
          <w:tcPr>
            <w:tcW w:w="20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8967456"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Pending</w:t>
            </w:r>
          </w:p>
        </w:tc>
      </w:tr>
      <w:tr w:rsidR="00C11703" w:rsidRPr="008902F2" w14:paraId="136E5478" w14:textId="77777777" w:rsidTr="00C11703">
        <w:trPr>
          <w:trHeight w:val="225"/>
        </w:trPr>
        <w:tc>
          <w:tcPr>
            <w:tcW w:w="2085" w:type="dxa"/>
            <w:tcBorders>
              <w:top w:val="single" w:sz="6" w:space="0" w:color="BFBFBF" w:themeColor="background1" w:themeShade="BF"/>
              <w:left w:val="single" w:sz="6" w:space="0" w:color="9BBB59" w:themeColor="accent3"/>
              <w:bottom w:val="single" w:sz="6" w:space="0" w:color="BFBFBF" w:themeColor="background1" w:themeShade="BF"/>
              <w:right w:val="single" w:sz="6" w:space="0" w:color="BFBFBF" w:themeColor="background1" w:themeShade="BF"/>
            </w:tcBorders>
            <w:tcMar>
              <w:left w:w="60" w:type="dxa"/>
              <w:right w:w="60" w:type="dxa"/>
            </w:tcMar>
            <w:vAlign w:val="center"/>
          </w:tcPr>
          <w:p w14:paraId="07364686"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24.318</w:t>
            </w:r>
          </w:p>
        </w:tc>
        <w:tc>
          <w:tcPr>
            <w:tcW w:w="20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83C34A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6.984</w:t>
            </w:r>
          </w:p>
        </w:tc>
        <w:tc>
          <w:tcPr>
            <w:tcW w:w="20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8BCF0C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17.334</w:t>
            </w:r>
          </w:p>
        </w:tc>
      </w:tr>
    </w:tbl>
    <w:p w14:paraId="0AAB4654" w14:textId="77777777" w:rsidR="00C11703" w:rsidRPr="008902F2" w:rsidRDefault="00C11703" w:rsidP="00C11703">
      <w:pPr>
        <w:spacing w:after="0" w:line="240" w:lineRule="auto"/>
        <w:rPr>
          <w:rFonts w:ascii="Times New Roman" w:hAnsi="Times New Roman"/>
          <w:color w:val="000000" w:themeColor="text1"/>
          <w:lang w:val="en-GB"/>
        </w:rPr>
      </w:pPr>
    </w:p>
    <w:p w14:paraId="67B5C9F9" w14:textId="77777777"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As of 31.12.2022 Our Authority has been a party to 67.006 lawsuits and 59.751 of the mentioned lawsuits are still pending.</w:t>
      </w:r>
    </w:p>
    <w:p w14:paraId="44123DE8" w14:textId="77777777" w:rsidR="00C11703" w:rsidRPr="008902F2" w:rsidRDefault="00C11703" w:rsidP="00C11703">
      <w:pPr>
        <w:spacing w:after="0" w:line="240" w:lineRule="auto"/>
        <w:rPr>
          <w:rFonts w:ascii="Times New Roman" w:hAnsi="Times New Roman"/>
          <w:color w:val="000000" w:themeColor="text1"/>
          <w:lang w:val="en-GB"/>
        </w:rPr>
      </w:pPr>
    </w:p>
    <w:p w14:paraId="0ADDCF11" w14:textId="4040F493"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Of the 67.006 l</w:t>
      </w:r>
      <w:r w:rsidR="0013626E">
        <w:rPr>
          <w:rFonts w:ascii="Times New Roman" w:hAnsi="Times New Roman"/>
          <w:color w:val="000000" w:themeColor="text1"/>
          <w:lang w:val="en-GB"/>
        </w:rPr>
        <w:t xml:space="preserve">awsuits to which our Authority </w:t>
      </w:r>
      <w:r w:rsidRPr="008902F2">
        <w:rPr>
          <w:rFonts w:ascii="Times New Roman" w:hAnsi="Times New Roman"/>
          <w:color w:val="000000" w:themeColor="text1"/>
          <w:lang w:val="en-GB"/>
        </w:rPr>
        <w:t>is a party; 35.545 are criminal cases, 24.318 are administrative cases, and 7.143 are civil cases.</w:t>
      </w:r>
    </w:p>
    <w:p w14:paraId="7A5D7439" w14:textId="77777777" w:rsidR="00C11703" w:rsidRPr="008902F2" w:rsidRDefault="00C11703" w:rsidP="00C11703">
      <w:pPr>
        <w:spacing w:after="0" w:line="240" w:lineRule="auto"/>
        <w:rPr>
          <w:rFonts w:ascii="Times New Roman" w:hAnsi="Times New Roman"/>
          <w:color w:val="000000" w:themeColor="text1"/>
          <w:lang w:val="en-GB"/>
        </w:rPr>
      </w:pPr>
    </w:p>
    <w:p w14:paraId="6E409F9F" w14:textId="77777777" w:rsidR="00C11703" w:rsidRPr="008902F2" w:rsidRDefault="00C11703" w:rsidP="00C11703">
      <w:pPr>
        <w:spacing w:after="0" w:line="240" w:lineRule="auto"/>
        <w:ind w:left="720"/>
        <w:contextualSpacing/>
        <w:rPr>
          <w:rFonts w:ascii="Times New Roman" w:hAnsi="Times New Roman"/>
          <w:color w:val="000000" w:themeColor="text1"/>
          <w:lang w:val="en-GB"/>
        </w:rPr>
      </w:pPr>
    </w:p>
    <w:p w14:paraId="40388CC6" w14:textId="77777777" w:rsidR="00C11703" w:rsidRPr="008902F2" w:rsidRDefault="00C11703" w:rsidP="00A86526">
      <w:pPr>
        <w:numPr>
          <w:ilvl w:val="0"/>
          <w:numId w:val="3"/>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 xml:space="preserve"> 23.167 non-litigation files (non-prosecution, attachment notice, lack of jurisdiction, etc.) were followed up.</w:t>
      </w:r>
    </w:p>
    <w:p w14:paraId="547D6511" w14:textId="77777777" w:rsidR="00C11703" w:rsidRPr="008902F2" w:rsidRDefault="00C11703" w:rsidP="00C11703">
      <w:pPr>
        <w:spacing w:after="0" w:line="240" w:lineRule="auto"/>
        <w:rPr>
          <w:rFonts w:ascii="Times New Roman" w:hAnsi="Times New Roman"/>
          <w:color w:val="000000" w:themeColor="text1"/>
          <w:lang w:val="en-GB"/>
        </w:rPr>
      </w:pPr>
    </w:p>
    <w:p w14:paraId="699B0E8C"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8.6: As of the End of 2022, Distribution of the Cases To Which Our Institution is a Party in Terms of Results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70"/>
        <w:gridCol w:w="1665"/>
        <w:gridCol w:w="1665"/>
        <w:gridCol w:w="1590"/>
        <w:gridCol w:w="1590"/>
      </w:tblGrid>
      <w:tr w:rsidR="00C11703" w:rsidRPr="008902F2" w14:paraId="13B5A445" w14:textId="77777777" w:rsidTr="00C11703">
        <w:trPr>
          <w:trHeight w:val="15"/>
        </w:trPr>
        <w:tc>
          <w:tcPr>
            <w:tcW w:w="2370"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C89F4BC"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Case Type</w:t>
            </w:r>
          </w:p>
        </w:tc>
        <w:tc>
          <w:tcPr>
            <w:tcW w:w="333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37ED55E"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Favors</w:t>
            </w:r>
          </w:p>
        </w:tc>
        <w:tc>
          <w:tcPr>
            <w:tcW w:w="318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3CC67C4"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Contras</w:t>
            </w:r>
          </w:p>
        </w:tc>
      </w:tr>
      <w:tr w:rsidR="00C11703" w:rsidRPr="008902F2" w14:paraId="1CCE3DDC" w14:textId="77777777" w:rsidTr="00C11703">
        <w:trPr>
          <w:trHeight w:val="15"/>
        </w:trPr>
        <w:tc>
          <w:tcPr>
            <w:tcW w:w="2370" w:type="dxa"/>
            <w:vMerge/>
            <w:vAlign w:val="center"/>
          </w:tcPr>
          <w:p w14:paraId="3A6BAB48" w14:textId="77777777" w:rsidR="00C11703" w:rsidRPr="008902F2" w:rsidRDefault="00C11703" w:rsidP="00C11703">
            <w:pPr>
              <w:rPr>
                <w:rFonts w:ascii="Times New Roman" w:hAnsi="Times New Roman"/>
                <w:lang w:val="en-GB"/>
              </w:rPr>
            </w:pP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F96B62F"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3D7F86C"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F622EC8"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4A9AFE9"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78C19E87" w14:textId="77777777" w:rsidTr="00C11703">
        <w:trPr>
          <w:trHeight w:val="15"/>
        </w:trPr>
        <w:tc>
          <w:tcPr>
            <w:tcW w:w="23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F27EDF3"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Criminal Cases</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9E052A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200</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DCEABA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82,99</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C9CE6BD"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41</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A4CA0CC"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17,01</w:t>
            </w:r>
          </w:p>
        </w:tc>
      </w:tr>
      <w:tr w:rsidR="00C11703" w:rsidRPr="008902F2" w14:paraId="5B09F805" w14:textId="77777777" w:rsidTr="00C11703">
        <w:trPr>
          <w:trHeight w:val="15"/>
        </w:trPr>
        <w:tc>
          <w:tcPr>
            <w:tcW w:w="23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6EB9AE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Administrative Lawsuits</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7A16AB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5.255</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687415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75,24 </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DE3CC6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1.729</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246A2C"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24,76</w:t>
            </w:r>
          </w:p>
        </w:tc>
      </w:tr>
      <w:tr w:rsidR="00C11703" w:rsidRPr="008902F2" w14:paraId="6313305F" w14:textId="77777777" w:rsidTr="00C11703">
        <w:trPr>
          <w:trHeight w:val="15"/>
        </w:trPr>
        <w:tc>
          <w:tcPr>
            <w:tcW w:w="23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87CB015"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Civil Litigation</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7BEE6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20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7766213"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66,67 </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39D5FA0"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10</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76A462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33,33</w:t>
            </w:r>
          </w:p>
        </w:tc>
      </w:tr>
      <w:tr w:rsidR="00C11703" w:rsidRPr="008902F2" w14:paraId="734839E4" w14:textId="77777777" w:rsidTr="00C11703">
        <w:trPr>
          <w:trHeight w:val="15"/>
        </w:trPr>
        <w:tc>
          <w:tcPr>
            <w:tcW w:w="23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233884C"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E00B90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 xml:space="preserve"> 5.475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CC63CB2"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75,47</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C1350A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1.780</w:t>
            </w:r>
          </w:p>
        </w:tc>
        <w:tc>
          <w:tcPr>
            <w:tcW w:w="15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0913C5"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 xml:space="preserve"> 24,53 </w:t>
            </w:r>
          </w:p>
        </w:tc>
      </w:tr>
    </w:tbl>
    <w:p w14:paraId="34E1CB0D" w14:textId="77777777" w:rsidR="00C11703" w:rsidRPr="008902F2" w:rsidRDefault="00C11703" w:rsidP="00C11703">
      <w:pPr>
        <w:spacing w:after="0" w:line="240" w:lineRule="auto"/>
        <w:rPr>
          <w:rFonts w:ascii="Times New Roman" w:hAnsi="Times New Roman"/>
          <w:color w:val="000000" w:themeColor="text1"/>
          <w:lang w:val="en-GB"/>
        </w:rPr>
      </w:pPr>
    </w:p>
    <w:p w14:paraId="553788DD"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8.7: As of the End of 2022, Distribution of the Cases To Which Our Institution is a Party in Terms of Results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90"/>
        <w:gridCol w:w="1800"/>
        <w:gridCol w:w="1800"/>
        <w:gridCol w:w="1665"/>
        <w:gridCol w:w="1665"/>
      </w:tblGrid>
      <w:tr w:rsidR="00C11703" w:rsidRPr="008902F2" w14:paraId="5735E5FA" w14:textId="77777777" w:rsidTr="00C11703">
        <w:trPr>
          <w:trHeight w:val="15"/>
        </w:trPr>
        <w:tc>
          <w:tcPr>
            <w:tcW w:w="2790"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E8A69A4"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Case Type</w:t>
            </w:r>
          </w:p>
        </w:tc>
        <w:tc>
          <w:tcPr>
            <w:tcW w:w="360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F038CE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Favors</w:t>
            </w:r>
          </w:p>
        </w:tc>
        <w:tc>
          <w:tcPr>
            <w:tcW w:w="333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6402E1D"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Contras</w:t>
            </w:r>
          </w:p>
        </w:tc>
      </w:tr>
      <w:tr w:rsidR="00C11703" w:rsidRPr="008902F2" w14:paraId="542CB4D4" w14:textId="77777777" w:rsidTr="00C11703">
        <w:trPr>
          <w:trHeight w:val="15"/>
        </w:trPr>
        <w:tc>
          <w:tcPr>
            <w:tcW w:w="2790" w:type="dxa"/>
            <w:vMerge/>
            <w:vAlign w:val="center"/>
          </w:tcPr>
          <w:p w14:paraId="49C480AF" w14:textId="77777777" w:rsidR="00C11703" w:rsidRPr="008902F2" w:rsidRDefault="00C11703" w:rsidP="00C11703">
            <w:pPr>
              <w:rPr>
                <w:rFonts w:ascii="Times New Roman" w:hAnsi="Times New Roman"/>
                <w:lang w:val="en-GB"/>
              </w:rPr>
            </w:pP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289A3C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55BBEFD"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BBAB943"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Cases</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756238DF"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697E57C1" w14:textId="77777777" w:rsidTr="00C11703">
        <w:trPr>
          <w:trHeight w:val="15"/>
        </w:trPr>
        <w:tc>
          <w:tcPr>
            <w:tcW w:w="27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21FF8F"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Criminal Cases</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D55E2E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9.352</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2EF46A2"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88,67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075990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1.195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A7C9C2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11,33 </w:t>
            </w:r>
          </w:p>
        </w:tc>
      </w:tr>
      <w:tr w:rsidR="00C11703" w:rsidRPr="008902F2" w14:paraId="24FBB9D8" w14:textId="77777777" w:rsidTr="00C11703">
        <w:trPr>
          <w:trHeight w:val="15"/>
        </w:trPr>
        <w:tc>
          <w:tcPr>
            <w:tcW w:w="27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EF9890A"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Administrative Lawsuits</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60B1D20"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13.693 </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3691BF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73,48</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625CD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4.941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90B85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26,52 </w:t>
            </w:r>
          </w:p>
        </w:tc>
      </w:tr>
      <w:tr w:rsidR="00C11703" w:rsidRPr="008902F2" w14:paraId="6A5B635A" w14:textId="77777777" w:rsidTr="00C11703">
        <w:trPr>
          <w:trHeight w:val="15"/>
        </w:trPr>
        <w:tc>
          <w:tcPr>
            <w:tcW w:w="27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81552B5"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Civil Litigation</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512CF4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179</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DA6DBB8"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81,74</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547DE2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40 </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122AD33"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18,26 </w:t>
            </w:r>
          </w:p>
        </w:tc>
      </w:tr>
      <w:tr w:rsidR="00C11703" w:rsidRPr="008902F2" w14:paraId="7E890923" w14:textId="77777777" w:rsidTr="00C11703">
        <w:trPr>
          <w:trHeight w:val="15"/>
        </w:trPr>
        <w:tc>
          <w:tcPr>
            <w:tcW w:w="27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FF6E2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830BA2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23.224</w:t>
            </w:r>
          </w:p>
        </w:tc>
        <w:tc>
          <w:tcPr>
            <w:tcW w:w="1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06380E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78,99</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4540F7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6.176</w:t>
            </w:r>
          </w:p>
        </w:tc>
        <w:tc>
          <w:tcPr>
            <w:tcW w:w="16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7E2B00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 xml:space="preserve"> 21,01 </w:t>
            </w:r>
          </w:p>
        </w:tc>
      </w:tr>
    </w:tbl>
    <w:p w14:paraId="6A306DD0" w14:textId="77777777" w:rsidR="00C11703" w:rsidRPr="008902F2" w:rsidRDefault="00C11703" w:rsidP="00C11703">
      <w:pPr>
        <w:spacing w:after="0" w:line="240" w:lineRule="auto"/>
        <w:rPr>
          <w:rFonts w:ascii="Times New Roman" w:hAnsi="Times New Roman"/>
          <w:color w:val="000000" w:themeColor="text1"/>
          <w:lang w:val="en-GB"/>
        </w:rPr>
      </w:pPr>
    </w:p>
    <w:p w14:paraId="5EF1A631" w14:textId="77777777" w:rsidR="00C11703" w:rsidRPr="008902F2" w:rsidRDefault="00C11703" w:rsidP="00C11703">
      <w:pPr>
        <w:spacing w:after="0" w:line="240" w:lineRule="auto"/>
        <w:rPr>
          <w:rFonts w:ascii="Times New Roman" w:hAnsi="Times New Roman"/>
          <w:color w:val="000000" w:themeColor="text1"/>
          <w:lang w:val="en-GB"/>
        </w:rPr>
      </w:pPr>
    </w:p>
    <w:p w14:paraId="778199A3"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lastRenderedPageBreak/>
        <w:t>Shape 8.2: As of the End of 2022, Distribution of the Cases To which our Institution is a Party in Terms of Results</w:t>
      </w:r>
    </w:p>
    <w:p w14:paraId="41EFFB60"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3E7CBAFC" wp14:editId="521E2D23">
            <wp:extent cx="5779770" cy="2615565"/>
            <wp:effectExtent l="0" t="0" r="0" b="0"/>
            <wp:docPr id="1039715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79770" cy="2615565"/>
                    </a:xfrm>
                    <a:prstGeom prst="rect">
                      <a:avLst/>
                    </a:prstGeom>
                    <a:noFill/>
                  </pic:spPr>
                </pic:pic>
              </a:graphicData>
            </a:graphic>
          </wp:inline>
        </w:drawing>
      </w:r>
    </w:p>
    <w:p w14:paraId="2E8B60C7" w14:textId="77777777" w:rsidR="00C11703" w:rsidRPr="008902F2" w:rsidRDefault="00C11703" w:rsidP="00C11703">
      <w:pPr>
        <w:spacing w:after="0" w:line="240" w:lineRule="auto"/>
        <w:rPr>
          <w:rFonts w:ascii="Times New Roman" w:hAnsi="Times New Roman"/>
          <w:color w:val="000000" w:themeColor="text1"/>
          <w:lang w:val="en-GB"/>
        </w:rPr>
      </w:pPr>
    </w:p>
    <w:p w14:paraId="340C7009" w14:textId="77777777" w:rsidR="00C11703" w:rsidRPr="008902F2" w:rsidRDefault="00C11703" w:rsidP="00C11703">
      <w:pPr>
        <w:spacing w:after="0" w:line="240" w:lineRule="auto"/>
        <w:rPr>
          <w:rFonts w:ascii="Times New Roman" w:hAnsi="Times New Roman"/>
          <w:color w:val="000000" w:themeColor="text1"/>
          <w:lang w:val="en-GB"/>
        </w:rPr>
      </w:pPr>
    </w:p>
    <w:p w14:paraId="5C32D685" w14:textId="77777777" w:rsidR="00C11703" w:rsidRPr="008902F2" w:rsidRDefault="00C11703" w:rsidP="00A86526">
      <w:pPr>
        <w:numPr>
          <w:ilvl w:val="0"/>
          <w:numId w:val="2"/>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Regarding the cases to which our institution is a party, 643 hearings were attended in 2022.</w:t>
      </w:r>
    </w:p>
    <w:p w14:paraId="255C9093" w14:textId="77777777" w:rsidR="00C11703" w:rsidRPr="008902F2" w:rsidRDefault="00C11703" w:rsidP="006E0D44">
      <w:pPr>
        <w:pStyle w:val="Balk2"/>
        <w:rPr>
          <w:rFonts w:ascii="Times New Roman" w:hAnsi="Times New Roman" w:cs="Times New Roman"/>
          <w:lang w:val="en-GB"/>
        </w:rPr>
      </w:pPr>
      <w:bookmarkStart w:id="186" w:name="_Toc143113469"/>
      <w:r w:rsidRPr="008902F2">
        <w:rPr>
          <w:rFonts w:ascii="Times New Roman" w:hAnsi="Times New Roman" w:cs="Times New Roman"/>
          <w:lang w:val="en-GB"/>
        </w:rPr>
        <w:t>8.2. Mediation Activities</w:t>
      </w:r>
      <w:bookmarkEnd w:id="186"/>
    </w:p>
    <w:p w14:paraId="6B230C39"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Members of the commission determined within the scope of the mediation negotiations, to which our institution is a party, participated in mediation negotiations on a total of 24 files, six of which were in 2022, and a report of disagreement was drawn up in all of these negotiations.</w:t>
      </w:r>
    </w:p>
    <w:p w14:paraId="3A98E915" w14:textId="77777777" w:rsidR="00C11703" w:rsidRPr="008902F2" w:rsidRDefault="00C11703" w:rsidP="00C11703">
      <w:pPr>
        <w:keepNext/>
        <w:keepLines/>
        <w:spacing w:before="200" w:after="240"/>
        <w:jc w:val="center"/>
        <w:rPr>
          <w:rFonts w:ascii="Times New Roman" w:eastAsia="Cambria" w:hAnsi="Times New Roman"/>
          <w:lang w:val="en-GB"/>
        </w:rPr>
      </w:pPr>
      <w:r w:rsidRPr="008902F2">
        <w:rPr>
          <w:rFonts w:ascii="Times New Roman" w:eastAsia="Cambria" w:hAnsi="Times New Roman"/>
          <w:b/>
          <w:bCs/>
          <w:lang w:val="en-GB"/>
        </w:rPr>
        <w:t>Table 8.8: Distribution of Mediation Files by Years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10"/>
        <w:gridCol w:w="1815"/>
        <w:gridCol w:w="2040"/>
      </w:tblGrid>
      <w:tr w:rsidR="00C11703" w:rsidRPr="008902F2" w14:paraId="65E8F79F" w14:textId="77777777" w:rsidTr="00C11703">
        <w:trPr>
          <w:trHeight w:val="300"/>
        </w:trPr>
        <w:tc>
          <w:tcPr>
            <w:tcW w:w="20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732A692"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2020</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D2CDDA6"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2021</w:t>
            </w:r>
          </w:p>
        </w:tc>
        <w:tc>
          <w:tcPr>
            <w:tcW w:w="20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D3FDC09"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2022</w:t>
            </w:r>
          </w:p>
        </w:tc>
      </w:tr>
      <w:tr w:rsidR="00C11703" w:rsidRPr="008902F2" w14:paraId="0B8F9D1A" w14:textId="77777777" w:rsidTr="00C11703">
        <w:trPr>
          <w:trHeight w:val="300"/>
        </w:trPr>
        <w:tc>
          <w:tcPr>
            <w:tcW w:w="20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5706B0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6</w:t>
            </w:r>
          </w:p>
        </w:tc>
        <w:tc>
          <w:tcPr>
            <w:tcW w:w="1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4C5A97B"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10</w:t>
            </w:r>
          </w:p>
        </w:tc>
        <w:tc>
          <w:tcPr>
            <w:tcW w:w="20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E039C4B"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6</w:t>
            </w:r>
          </w:p>
        </w:tc>
      </w:tr>
    </w:tbl>
    <w:p w14:paraId="1F8A963C" w14:textId="77777777" w:rsidR="00C11703" w:rsidRPr="008902F2" w:rsidRDefault="00C11703" w:rsidP="00C11703">
      <w:pPr>
        <w:spacing w:after="0" w:line="240" w:lineRule="auto"/>
        <w:rPr>
          <w:rFonts w:ascii="Times New Roman" w:hAnsi="Times New Roman"/>
          <w:color w:val="000000" w:themeColor="text1"/>
          <w:lang w:val="en-GB"/>
        </w:rPr>
      </w:pPr>
    </w:p>
    <w:p w14:paraId="424C2198" w14:textId="77777777" w:rsidR="00B21F39" w:rsidRPr="008902F2" w:rsidRDefault="00C11703" w:rsidP="00B21F39">
      <w:pPr>
        <w:pStyle w:val="Balk2"/>
        <w:rPr>
          <w:rFonts w:ascii="Times New Roman" w:hAnsi="Times New Roman" w:cs="Times New Roman"/>
          <w:lang w:val="en-GB"/>
        </w:rPr>
      </w:pPr>
      <w:bookmarkStart w:id="187" w:name="_Toc143113470"/>
      <w:r w:rsidRPr="008902F2">
        <w:rPr>
          <w:rFonts w:ascii="Times New Roman" w:hAnsi="Times New Roman" w:cs="Times New Roman"/>
          <w:lang w:val="en-GB"/>
        </w:rPr>
        <w:t>8.3. Issue Opinion</w:t>
      </w:r>
      <w:bookmarkEnd w:id="187"/>
    </w:p>
    <w:p w14:paraId="2B64643B" w14:textId="2CE758F3" w:rsidR="00C11703" w:rsidRPr="008902F2" w:rsidRDefault="00C11703" w:rsidP="00B21F39">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Our Authority’s service units are issued opinions before establishing procedures that may bind our Authority, impose obligations on our Authority, or cause disputes to which our Institution or its members may be a party, or on a legal issue, through regulatory procedures such as the preparation of legislation in which they carry out their work. In addition, opinions are issued to the Presidency, Ministries, and other public institutions and organizations, apart from the service units of our Authority.</w:t>
      </w:r>
    </w:p>
    <w:p w14:paraId="4565E594" w14:textId="77777777" w:rsidR="00C11703" w:rsidRPr="008902F2" w:rsidRDefault="00C11703" w:rsidP="00C11703">
      <w:pPr>
        <w:spacing w:after="0"/>
        <w:contextualSpacing/>
        <w:rPr>
          <w:rFonts w:ascii="Times New Roman" w:hAnsi="Times New Roman"/>
          <w:color w:val="000000" w:themeColor="text1"/>
          <w:lang w:val="en-GB"/>
        </w:rPr>
      </w:pPr>
    </w:p>
    <w:p w14:paraId="712536CE" w14:textId="15D4F07C" w:rsidR="00C11703" w:rsidRPr="008902F2" w:rsidRDefault="00C11703" w:rsidP="00C11703">
      <w:pPr>
        <w:spacing w:after="0"/>
        <w:contextualSpacing/>
        <w:rPr>
          <w:rFonts w:ascii="Times New Roman" w:hAnsi="Times New Roman"/>
          <w:color w:val="000000" w:themeColor="text1"/>
          <w:lang w:val="en-GB"/>
        </w:rPr>
      </w:pPr>
      <w:r w:rsidRPr="008902F2">
        <w:rPr>
          <w:rFonts w:ascii="Times New Roman" w:hAnsi="Times New Roman"/>
          <w:color w:val="000000" w:themeColor="text1"/>
          <w:lang w:val="en-GB"/>
        </w:rPr>
        <w:t>In this context</w:t>
      </w:r>
    </w:p>
    <w:p w14:paraId="3BB46716" w14:textId="77777777" w:rsidR="00C11703" w:rsidRPr="008902F2" w:rsidRDefault="00C11703" w:rsidP="00A86526">
      <w:pPr>
        <w:numPr>
          <w:ilvl w:val="0"/>
          <w:numId w:val="1"/>
        </w:numPr>
        <w:spacing w:after="0"/>
        <w:contextualSpacing/>
        <w:rPr>
          <w:rFonts w:ascii="Times New Roman" w:hAnsi="Times New Roman"/>
          <w:color w:val="000000" w:themeColor="text1"/>
          <w:lang w:val="en-GB"/>
        </w:rPr>
      </w:pPr>
      <w:r w:rsidRPr="008902F2">
        <w:rPr>
          <w:rFonts w:ascii="Times New Roman" w:hAnsi="Times New Roman"/>
          <w:color w:val="000000" w:themeColor="text1"/>
          <w:lang w:val="en-GB"/>
        </w:rPr>
        <w:t>131 legal opinions were issued in 2022.</w:t>
      </w:r>
    </w:p>
    <w:p w14:paraId="03BF8B28" w14:textId="0A81122B" w:rsidR="00C11703" w:rsidRPr="008902F2" w:rsidRDefault="00C11703" w:rsidP="00A86526">
      <w:pPr>
        <w:numPr>
          <w:ilvl w:val="0"/>
          <w:numId w:val="1"/>
        </w:numPr>
        <w:spacing w:after="0" w:line="240" w:lineRule="auto"/>
        <w:contextualSpacing/>
        <w:rPr>
          <w:rFonts w:ascii="Times New Roman" w:hAnsi="Times New Roman"/>
          <w:color w:val="000000" w:themeColor="text1"/>
          <w:lang w:val="en-GB"/>
        </w:rPr>
      </w:pPr>
      <w:r w:rsidRPr="008902F2">
        <w:rPr>
          <w:rFonts w:ascii="Times New Roman" w:hAnsi="Times New Roman"/>
          <w:color w:val="000000" w:themeColor="text1"/>
          <w:lang w:val="en-GB"/>
        </w:rPr>
        <w:t>A total of 3.214 legal opinions were issued as of 31.12.2022.</w:t>
      </w:r>
    </w:p>
    <w:p w14:paraId="664A2A69" w14:textId="77777777" w:rsidR="00C11703" w:rsidRPr="008902F2" w:rsidRDefault="00C11703" w:rsidP="00C11703">
      <w:pPr>
        <w:keepNext/>
        <w:keepLines/>
        <w:spacing w:after="240"/>
        <w:jc w:val="center"/>
        <w:rPr>
          <w:rFonts w:ascii="Times New Roman" w:eastAsia="Cambria" w:hAnsi="Times New Roman"/>
          <w:lang w:val="en-GB"/>
        </w:rPr>
      </w:pPr>
      <w:r w:rsidRPr="008902F2">
        <w:rPr>
          <w:rFonts w:ascii="Times New Roman" w:eastAsia="Cambria" w:hAnsi="Times New Roman"/>
          <w:b/>
          <w:bCs/>
          <w:lang w:val="en-GB"/>
        </w:rPr>
        <w:t>Table 8.9: Distribution of Opinions Issued by the Civil Department as of the End of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615"/>
        <w:gridCol w:w="1485"/>
        <w:gridCol w:w="1410"/>
      </w:tblGrid>
      <w:tr w:rsidR="00C11703" w:rsidRPr="008902F2" w14:paraId="069416DD"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649F6C7"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Units of Opinion</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E8D1B11"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Opinions</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6542ECC"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43D32858"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A3DCC1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Electricity Market</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FCB63D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859 </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28C25F6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26,73</w:t>
            </w:r>
          </w:p>
        </w:tc>
      </w:tr>
      <w:tr w:rsidR="00C11703" w:rsidRPr="008902F2" w14:paraId="7B058F13"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6BF92B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Natural Gas Market</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E6C025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462</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20A1D21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14,37</w:t>
            </w:r>
          </w:p>
        </w:tc>
      </w:tr>
      <w:tr w:rsidR="00C11703" w:rsidRPr="008902F2" w14:paraId="5728895A"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4EBA20"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Petroleum Market</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47189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643</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0487573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20,01</w:t>
            </w:r>
          </w:p>
        </w:tc>
      </w:tr>
      <w:tr w:rsidR="00C11703" w:rsidRPr="008902F2" w14:paraId="4930E697" w14:textId="77777777" w:rsidTr="00B21F39">
        <w:trPr>
          <w:trHeight w:val="317"/>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34EDBD2" w14:textId="0BE62A43" w:rsidR="00C11703" w:rsidRPr="008902F2" w:rsidRDefault="00C11703" w:rsidP="00B21F39">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lastRenderedPageBreak/>
              <w:t xml:space="preserve">Deparment of </w:t>
            </w:r>
            <w:hyperlink r:id="rId27" w:history="1">
              <w:r w:rsidRPr="008902F2">
                <w:rPr>
                  <w:rFonts w:ascii="Times New Roman" w:hAnsi="Times New Roman"/>
                  <w:color w:val="000000" w:themeColor="text1"/>
                  <w:lang w:val="en-GB"/>
                </w:rPr>
                <w:t>Liquefied Petroleum Gases</w:t>
              </w:r>
            </w:hyperlink>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35404B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215</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945E362" w14:textId="77777777" w:rsidR="00C11703" w:rsidRPr="008902F2" w:rsidRDefault="00C11703" w:rsidP="00B21F39">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6,69</w:t>
            </w:r>
          </w:p>
        </w:tc>
      </w:tr>
      <w:tr w:rsidR="00C11703" w:rsidRPr="008902F2" w14:paraId="0860E3A7"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40B0D5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Energy Conversion*</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70B9E5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43C56FD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0,03</w:t>
            </w:r>
          </w:p>
        </w:tc>
      </w:tr>
      <w:tr w:rsidR="00C11703" w:rsidRPr="008902F2" w14:paraId="4F52B33D"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80A2EE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Expropriation</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9B5EDF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39 </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23780B35"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1,21</w:t>
            </w:r>
          </w:p>
        </w:tc>
      </w:tr>
      <w:tr w:rsidR="00C11703" w:rsidRPr="008902F2" w14:paraId="5B9A5CBF"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2B313D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Inspection</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B0CC91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231</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548A6039"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7,19</w:t>
            </w:r>
          </w:p>
        </w:tc>
      </w:tr>
      <w:tr w:rsidR="00C11703" w:rsidRPr="008902F2" w14:paraId="4F4A552E"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BE4F6C2"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Tariffs</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9DB557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102 </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5E6B23D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3,17</w:t>
            </w:r>
          </w:p>
        </w:tc>
      </w:tr>
      <w:tr w:rsidR="00C11703" w:rsidRPr="008902F2" w14:paraId="39C7F13F"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1B2A564"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Department of Human Resources and Support Services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D7FEBC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113</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5F862F0D"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3,52</w:t>
            </w:r>
          </w:p>
        </w:tc>
      </w:tr>
      <w:tr w:rsidR="00C11703" w:rsidRPr="008902F2" w14:paraId="0DBB4E59"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67ECA77"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Strategy Development</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92A032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136</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2BC7094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4,23</w:t>
            </w:r>
          </w:p>
        </w:tc>
      </w:tr>
      <w:tr w:rsidR="00C11703" w:rsidRPr="008902F2" w14:paraId="0813B647"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5B95B3C"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Department of Information Technologies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2EE01C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6</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4FC65E12"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0,19</w:t>
            </w:r>
          </w:p>
        </w:tc>
      </w:tr>
      <w:tr w:rsidR="00C11703" w:rsidRPr="008902F2" w14:paraId="127C95F3"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7447E2F"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Board Services Directorate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9A9BA5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1F5ECA1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0,12</w:t>
            </w:r>
          </w:p>
        </w:tc>
      </w:tr>
      <w:tr w:rsidR="00C11703" w:rsidRPr="008902F2" w14:paraId="1EEDBBE6"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09155D5"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Presidency, Ministries, and Other Public Institutions and Organizations</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2969BF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403</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bottom"/>
          </w:tcPr>
          <w:p w14:paraId="16E9B5BC"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12,54</w:t>
            </w:r>
          </w:p>
        </w:tc>
      </w:tr>
      <w:tr w:rsidR="00C11703" w:rsidRPr="008902F2" w14:paraId="6734C5EC" w14:textId="77777777" w:rsidTr="00C11703">
        <w:trPr>
          <w:trHeight w:val="15"/>
        </w:trPr>
        <w:tc>
          <w:tcPr>
            <w:tcW w:w="6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14E2ECA" w14:textId="77777777" w:rsidR="00C11703" w:rsidRPr="008902F2" w:rsidRDefault="00C11703" w:rsidP="00C11703">
            <w:pPr>
              <w:spacing w:after="0" w:line="240" w:lineRule="auto"/>
              <w:rPr>
                <w:rFonts w:ascii="Times New Roman" w:hAnsi="Times New Roman"/>
                <w:b/>
                <w:bCs/>
                <w:color w:val="000000" w:themeColor="text1"/>
                <w:lang w:val="en-GB"/>
              </w:rPr>
            </w:pPr>
            <w:r w:rsidRPr="008902F2">
              <w:rPr>
                <w:rFonts w:ascii="Times New Roman" w:hAnsi="Times New Roman"/>
                <w:b/>
                <w:bCs/>
                <w:color w:val="000000" w:themeColor="text1"/>
                <w:lang w:val="en-GB"/>
              </w:rPr>
              <w:t xml:space="preserve">TOTAL </w:t>
            </w:r>
          </w:p>
        </w:tc>
        <w:tc>
          <w:tcPr>
            <w:tcW w:w="14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F65B2C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3.214</w:t>
            </w:r>
          </w:p>
        </w:tc>
        <w:tc>
          <w:tcPr>
            <w:tcW w:w="14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B8778D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r>
    </w:tbl>
    <w:p w14:paraId="6E99D070" w14:textId="77777777" w:rsidR="00C11703" w:rsidRPr="008902F2" w:rsidRDefault="00C11703" w:rsidP="00C11703">
      <w:pPr>
        <w:rPr>
          <w:rFonts w:ascii="Times New Roman" w:hAnsi="Times New Roman"/>
          <w:color w:val="000000" w:themeColor="text1"/>
          <w:sz w:val="18"/>
          <w:szCs w:val="18"/>
          <w:lang w:val="en-GB"/>
        </w:rPr>
      </w:pPr>
      <w:r w:rsidRPr="008902F2">
        <w:rPr>
          <w:rFonts w:ascii="Times New Roman" w:hAnsi="Times New Roman"/>
          <w:color w:val="000000" w:themeColor="text1"/>
          <w:sz w:val="18"/>
          <w:szCs w:val="18"/>
          <w:lang w:val="en-GB"/>
        </w:rPr>
        <w:t>* Department of Energy Conversion was established in the year 2022. Therefore, the number of opinions requested by the relevant Department recorded starting from this year.</w:t>
      </w:r>
    </w:p>
    <w:p w14:paraId="1DDE537F" w14:textId="77777777" w:rsidR="00C11703" w:rsidRPr="008902F2" w:rsidRDefault="00C11703" w:rsidP="00C11703">
      <w:pPr>
        <w:rPr>
          <w:rFonts w:ascii="Times New Roman" w:hAnsi="Times New Roman"/>
          <w:color w:val="000000" w:themeColor="text1"/>
          <w:sz w:val="18"/>
          <w:szCs w:val="18"/>
          <w:lang w:val="en-GB"/>
        </w:rPr>
      </w:pPr>
    </w:p>
    <w:p w14:paraId="7535FDE2"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8.10: Distribution of Opinions Provided by the Legal Affairs Department Over the Years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15"/>
        <w:gridCol w:w="1050"/>
        <w:gridCol w:w="1245"/>
        <w:gridCol w:w="990"/>
        <w:gridCol w:w="990"/>
        <w:gridCol w:w="990"/>
        <w:gridCol w:w="975"/>
      </w:tblGrid>
      <w:tr w:rsidR="00C11703" w:rsidRPr="008902F2" w14:paraId="4E5FCEB4" w14:textId="77777777" w:rsidTr="00C11703">
        <w:trPr>
          <w:trHeight w:val="315"/>
        </w:trPr>
        <w:tc>
          <w:tcPr>
            <w:tcW w:w="3615"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3359C3A2" w14:textId="77777777" w:rsidR="00C11703" w:rsidRPr="008902F2" w:rsidRDefault="00C11703" w:rsidP="00C11703">
            <w:pPr>
              <w:spacing w:after="0" w:line="240" w:lineRule="auto"/>
              <w:jc w:val="center"/>
              <w:rPr>
                <w:rFonts w:ascii="Times New Roman" w:hAnsi="Times New Roman"/>
                <w:b/>
                <w:bCs/>
                <w:color w:val="FFFFFF" w:themeColor="background1"/>
                <w:sz w:val="24"/>
                <w:szCs w:val="24"/>
                <w:lang w:val="en-GB"/>
              </w:rPr>
            </w:pPr>
            <w:r w:rsidRPr="008902F2">
              <w:rPr>
                <w:rFonts w:ascii="Times New Roman" w:hAnsi="Times New Roman"/>
                <w:b/>
                <w:bCs/>
                <w:color w:val="FFFFFF" w:themeColor="background1"/>
                <w:sz w:val="24"/>
                <w:szCs w:val="24"/>
                <w:lang w:val="en-GB"/>
              </w:rPr>
              <w:t>Units of Opinion</w:t>
            </w:r>
          </w:p>
        </w:tc>
        <w:tc>
          <w:tcPr>
            <w:tcW w:w="2295"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15B2F37F" w14:textId="77777777" w:rsidR="00C11703" w:rsidRPr="008902F2" w:rsidRDefault="00C11703" w:rsidP="00C11703">
            <w:pPr>
              <w:spacing w:after="0" w:line="240" w:lineRule="auto"/>
              <w:jc w:val="center"/>
              <w:rPr>
                <w:rFonts w:ascii="Times New Roman" w:hAnsi="Times New Roman"/>
                <w:b/>
                <w:bCs/>
                <w:color w:val="FFFFFF" w:themeColor="background1"/>
                <w:sz w:val="24"/>
                <w:szCs w:val="24"/>
                <w:lang w:val="en-GB"/>
              </w:rPr>
            </w:pPr>
            <w:r w:rsidRPr="008902F2">
              <w:rPr>
                <w:rFonts w:ascii="Times New Roman" w:hAnsi="Times New Roman"/>
                <w:b/>
                <w:bCs/>
                <w:color w:val="FFFFFF" w:themeColor="background1"/>
                <w:sz w:val="24"/>
                <w:szCs w:val="24"/>
                <w:lang w:val="en-GB"/>
              </w:rPr>
              <w:t xml:space="preserve">2020 </w:t>
            </w:r>
          </w:p>
        </w:tc>
        <w:tc>
          <w:tcPr>
            <w:tcW w:w="1980" w:type="dxa"/>
            <w:gridSpan w:val="2"/>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D341A38" w14:textId="77777777" w:rsidR="00C11703" w:rsidRPr="008902F2" w:rsidRDefault="00C11703" w:rsidP="00C11703">
            <w:pPr>
              <w:spacing w:after="0" w:line="240" w:lineRule="auto"/>
              <w:jc w:val="center"/>
              <w:rPr>
                <w:rFonts w:ascii="Times New Roman" w:hAnsi="Times New Roman"/>
                <w:b/>
                <w:bCs/>
                <w:color w:val="FFFFFF" w:themeColor="background1"/>
                <w:sz w:val="24"/>
                <w:szCs w:val="24"/>
                <w:lang w:val="en-GB"/>
              </w:rPr>
            </w:pPr>
            <w:r w:rsidRPr="008902F2">
              <w:rPr>
                <w:rFonts w:ascii="Times New Roman" w:hAnsi="Times New Roman"/>
                <w:b/>
                <w:bCs/>
                <w:color w:val="FFFFFF" w:themeColor="background1"/>
                <w:sz w:val="24"/>
                <w:szCs w:val="24"/>
                <w:lang w:val="en-GB"/>
              </w:rPr>
              <w:t xml:space="preserve">2021 </w:t>
            </w:r>
          </w:p>
        </w:tc>
        <w:tc>
          <w:tcPr>
            <w:tcW w:w="1965" w:type="dxa"/>
            <w:gridSpan w:val="2"/>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2DE89F9" w14:textId="77777777" w:rsidR="00C11703" w:rsidRPr="008902F2" w:rsidRDefault="00C11703" w:rsidP="00C11703">
            <w:pPr>
              <w:spacing w:after="0" w:line="240" w:lineRule="auto"/>
              <w:jc w:val="center"/>
              <w:rPr>
                <w:rFonts w:ascii="Times New Roman" w:hAnsi="Times New Roman"/>
                <w:b/>
                <w:bCs/>
                <w:color w:val="FFFFFF" w:themeColor="background1"/>
                <w:sz w:val="24"/>
                <w:szCs w:val="24"/>
                <w:lang w:val="en-GB"/>
              </w:rPr>
            </w:pPr>
            <w:r w:rsidRPr="008902F2">
              <w:rPr>
                <w:rFonts w:ascii="Times New Roman" w:hAnsi="Times New Roman"/>
                <w:b/>
                <w:bCs/>
                <w:color w:val="FFFFFF" w:themeColor="background1"/>
                <w:sz w:val="24"/>
                <w:szCs w:val="24"/>
                <w:lang w:val="en-GB"/>
              </w:rPr>
              <w:t xml:space="preserve">2022 </w:t>
            </w:r>
          </w:p>
        </w:tc>
      </w:tr>
      <w:tr w:rsidR="00C11703" w:rsidRPr="008902F2" w14:paraId="684AE599" w14:textId="77777777" w:rsidTr="00C11703">
        <w:trPr>
          <w:trHeight w:val="615"/>
        </w:trPr>
        <w:tc>
          <w:tcPr>
            <w:tcW w:w="3615" w:type="dxa"/>
            <w:vMerge/>
            <w:vAlign w:val="center"/>
          </w:tcPr>
          <w:p w14:paraId="4C89A08A" w14:textId="77777777" w:rsidR="00C11703" w:rsidRPr="008902F2" w:rsidRDefault="00C11703" w:rsidP="00C11703">
            <w:pPr>
              <w:rPr>
                <w:rFonts w:ascii="Times New Roman" w:hAnsi="Times New Roman"/>
                <w:lang w:val="en-GB"/>
              </w:rPr>
            </w:pPr>
          </w:p>
        </w:tc>
        <w:tc>
          <w:tcPr>
            <w:tcW w:w="1050" w:type="dxa"/>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56E09D1B"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Opinions</w:t>
            </w:r>
          </w:p>
        </w:tc>
        <w:tc>
          <w:tcPr>
            <w:tcW w:w="124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1F7FFE3"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2204A3C"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Opinions</w:t>
            </w:r>
          </w:p>
        </w:tc>
        <w:tc>
          <w:tcPr>
            <w:tcW w:w="990"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4BCC9E1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3D8BA7C"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Opinions</w:t>
            </w:r>
          </w:p>
        </w:tc>
        <w:tc>
          <w:tcPr>
            <w:tcW w:w="97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2C76E564"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Ratio (%)</w:t>
            </w:r>
          </w:p>
        </w:tc>
      </w:tr>
      <w:tr w:rsidR="00C11703" w:rsidRPr="008902F2" w14:paraId="63A7690A" w14:textId="77777777" w:rsidTr="00C11703">
        <w:trPr>
          <w:trHeight w:val="315"/>
        </w:trPr>
        <w:tc>
          <w:tcPr>
            <w:tcW w:w="361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C57083C"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Electricity Market</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E39D9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14</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4229C9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8,81</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EDE907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22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B5A15BB"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12,02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A00663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5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C5F6B62"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3,82 </w:t>
            </w:r>
          </w:p>
        </w:tc>
      </w:tr>
      <w:tr w:rsidR="00C11703" w:rsidRPr="008902F2" w14:paraId="1BA30561"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87587B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Natural Gas Market</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FE349B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14</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D900F6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8,81</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AACC4E7"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5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10AB8E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2,73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3630C85"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7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9E4050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5,34 </w:t>
            </w:r>
          </w:p>
        </w:tc>
      </w:tr>
      <w:tr w:rsidR="00C11703" w:rsidRPr="008902F2" w14:paraId="7B9EE356"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8120BD7"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Petroleum Market</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5D1A6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30</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9CA154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18,87</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89FA31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36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4119E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19,67</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8A82C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18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FC74B4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13,74</w:t>
            </w:r>
          </w:p>
        </w:tc>
      </w:tr>
      <w:tr w:rsidR="00C11703" w:rsidRPr="008902F2" w14:paraId="69CAA6EE"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9845B92" w14:textId="77777777" w:rsidR="00C11703" w:rsidRPr="008902F2" w:rsidRDefault="00C11703" w:rsidP="00C11703">
            <w:pPr>
              <w:spacing w:after="160" w:line="259" w:lineRule="auto"/>
              <w:jc w:val="left"/>
              <w:rPr>
                <w:rFonts w:ascii="Times New Roman" w:hAnsi="Times New Roman"/>
                <w:color w:val="000000" w:themeColor="text1"/>
                <w:lang w:val="en-GB"/>
              </w:rPr>
            </w:pPr>
            <w:r w:rsidRPr="008902F2">
              <w:rPr>
                <w:rFonts w:ascii="Times New Roman" w:hAnsi="Times New Roman"/>
                <w:color w:val="000000" w:themeColor="text1"/>
                <w:lang w:val="en-GB"/>
              </w:rPr>
              <w:t xml:space="preserve">Deparment of </w:t>
            </w:r>
            <w:hyperlink r:id="rId28" w:history="1">
              <w:r w:rsidRPr="008902F2">
                <w:rPr>
                  <w:rFonts w:ascii="Times New Roman" w:hAnsi="Times New Roman"/>
                  <w:color w:val="000000" w:themeColor="text1"/>
                  <w:lang w:val="en-GB"/>
                </w:rPr>
                <w:t>Liquefied Petroleum Gases</w:t>
              </w:r>
            </w:hyperlink>
          </w:p>
          <w:p w14:paraId="05B9B74D" w14:textId="77777777" w:rsidR="00C11703" w:rsidRPr="008902F2" w:rsidRDefault="00C11703" w:rsidP="00C11703">
            <w:pPr>
              <w:spacing w:after="0" w:line="240" w:lineRule="auto"/>
              <w:rPr>
                <w:rFonts w:ascii="Times New Roman" w:hAnsi="Times New Roman"/>
                <w:color w:val="000000" w:themeColor="text1"/>
                <w:lang w:val="en-GB"/>
              </w:rPr>
            </w:pP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0B9AE7C"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E6796A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0,63</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70B42B5"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5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60B02E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2,73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F7A458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4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0C968E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3,05 </w:t>
            </w:r>
          </w:p>
        </w:tc>
      </w:tr>
      <w:tr w:rsidR="00C11703" w:rsidRPr="008902F2" w14:paraId="502A9D0B"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E72F512"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Energy Conversion*</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B3069A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B517199" w14:textId="77777777" w:rsidR="00C11703" w:rsidRPr="008902F2" w:rsidRDefault="00C11703" w:rsidP="00C11703">
            <w:pPr>
              <w:spacing w:after="0" w:line="240" w:lineRule="auto"/>
              <w:jc w:val="center"/>
              <w:rPr>
                <w:rFonts w:ascii="Times New Roman" w:hAnsi="Times New Roman"/>
                <w:color w:val="000000" w:themeColor="text1"/>
                <w:lang w:val="en-GB"/>
              </w:rPr>
            </w:pP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E7FDD3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A5555C6" w14:textId="77777777" w:rsidR="00C11703" w:rsidRPr="008902F2" w:rsidRDefault="00C11703" w:rsidP="00C11703">
            <w:pPr>
              <w:spacing w:after="0" w:line="240" w:lineRule="auto"/>
              <w:jc w:val="center"/>
              <w:rPr>
                <w:rFonts w:ascii="Times New Roman" w:hAnsi="Times New Roman"/>
                <w:color w:val="000000" w:themeColor="text1"/>
                <w:lang w:val="en-GB"/>
              </w:rPr>
            </w:pP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6C876E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385696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0,76</w:t>
            </w:r>
          </w:p>
        </w:tc>
      </w:tr>
      <w:tr w:rsidR="00C11703" w:rsidRPr="008902F2" w14:paraId="20C09ADA"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DD7810C"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Expropriation</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7E58D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6</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D23F645"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3,77</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7AB82B0"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7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9C1A109"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3,83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44B9CED"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2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3D014F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1,53 </w:t>
            </w:r>
          </w:p>
        </w:tc>
      </w:tr>
      <w:tr w:rsidR="00C11703" w:rsidRPr="008902F2" w14:paraId="392018C0"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01583E"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Inspection</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6A2FB1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9</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587A6E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5,66</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019D37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9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9D15763"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4,92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1259C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3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E0B78A5"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2,29 </w:t>
            </w:r>
          </w:p>
        </w:tc>
      </w:tr>
      <w:tr w:rsidR="00C11703" w:rsidRPr="008902F2" w14:paraId="44930C8F"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F624A2E"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Tariffs</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8C484A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7</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622C301"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4,40</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E9FD54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1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4C4FAE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0,55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3DB278B"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2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988EA57"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1,53 </w:t>
            </w:r>
          </w:p>
        </w:tc>
      </w:tr>
      <w:tr w:rsidR="00C11703" w:rsidRPr="008902F2" w14:paraId="4013D396"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8559494"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Department of Human Resources and Support Services </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631C84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EDE50AC"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0,63</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C9A562"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2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FDA84B5"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1,09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D21E10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3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7C1C79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2,29 </w:t>
            </w:r>
          </w:p>
        </w:tc>
      </w:tr>
      <w:tr w:rsidR="00C11703" w:rsidRPr="008902F2" w14:paraId="1635573F"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3A8FD81"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Department of Strategy Development</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51219CE"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9</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274A27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5,66</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F88A22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2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37C117DE"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1,09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5BD82E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6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254B1C9"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4,58 </w:t>
            </w:r>
          </w:p>
        </w:tc>
      </w:tr>
      <w:tr w:rsidR="00C11703" w:rsidRPr="008902F2" w14:paraId="36B6770C" w14:textId="77777777" w:rsidTr="00C11703">
        <w:trPr>
          <w:trHeight w:val="46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760BC98"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 xml:space="preserve">Department of Information Technologies </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52FC93D" w14:textId="77777777" w:rsidR="00C11703" w:rsidRPr="008902F2" w:rsidRDefault="00C11703" w:rsidP="00C11703">
            <w:pPr>
              <w:spacing w:after="0" w:line="240" w:lineRule="auto"/>
              <w:ind w:left="360"/>
              <w:contextualSpacing/>
              <w:jc w:val="right"/>
              <w:rPr>
                <w:rFonts w:ascii="Times New Roman" w:hAnsi="Times New Roman"/>
                <w:color w:val="000000" w:themeColor="text1"/>
                <w:lang w:val="en-GB"/>
              </w:rPr>
            </w:pPr>
            <w:r w:rsidRPr="008902F2">
              <w:rPr>
                <w:rFonts w:ascii="Times New Roman" w:hAnsi="Times New Roman"/>
                <w:color w:val="000000" w:themeColor="text1"/>
                <w:lang w:val="en-GB"/>
              </w:rPr>
              <w:t>3</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54827F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1,89</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7C3108E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1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02FD3FA"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0,55 </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5E3BEB7"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 xml:space="preserve">- </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D18425B"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 xml:space="preserve">- </w:t>
            </w:r>
          </w:p>
        </w:tc>
      </w:tr>
      <w:tr w:rsidR="00C11703" w:rsidRPr="008902F2" w14:paraId="2BCD66AC" w14:textId="77777777" w:rsidTr="00C11703">
        <w:trPr>
          <w:trHeight w:val="6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101E6F9"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Presidency, Ministries, and Other Public Institutions and Organizations</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106893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65</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2CBDE7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40,87</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2239936"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93</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AB975BF"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50,82</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47E7050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80</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4B84220"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color w:val="000000" w:themeColor="text1"/>
                <w:lang w:val="en-GB"/>
              </w:rPr>
              <w:t>61,07</w:t>
            </w:r>
          </w:p>
        </w:tc>
      </w:tr>
      <w:tr w:rsidR="00C11703" w:rsidRPr="008902F2" w14:paraId="221951CC" w14:textId="77777777" w:rsidTr="00C11703">
        <w:trPr>
          <w:trHeight w:val="315"/>
        </w:trPr>
        <w:tc>
          <w:tcPr>
            <w:tcW w:w="36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1E88BEF" w14:textId="77777777" w:rsidR="00C11703" w:rsidRPr="008902F2" w:rsidRDefault="00C11703" w:rsidP="00C11703">
            <w:pPr>
              <w:spacing w:after="0" w:line="240" w:lineRule="auto"/>
              <w:rPr>
                <w:rFonts w:ascii="Times New Roman" w:hAnsi="Times New Roman"/>
                <w:b/>
                <w:bCs/>
                <w:color w:val="000000" w:themeColor="text1"/>
                <w:lang w:val="en-GB"/>
              </w:rPr>
            </w:pPr>
            <w:r w:rsidRPr="008902F2">
              <w:rPr>
                <w:rFonts w:ascii="Times New Roman" w:hAnsi="Times New Roman"/>
                <w:b/>
                <w:bCs/>
                <w:color w:val="000000" w:themeColor="text1"/>
                <w:lang w:val="en-GB"/>
              </w:rPr>
              <w:t>TOTAL</w:t>
            </w:r>
          </w:p>
        </w:tc>
        <w:tc>
          <w:tcPr>
            <w:tcW w:w="1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14D132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159</w:t>
            </w:r>
          </w:p>
        </w:tc>
        <w:tc>
          <w:tcPr>
            <w:tcW w:w="12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14E5D73C"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507EC527"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183</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2A5E576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c>
          <w:tcPr>
            <w:tcW w:w="9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004B523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131</w:t>
            </w:r>
          </w:p>
        </w:tc>
        <w:tc>
          <w:tcPr>
            <w:tcW w:w="97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60" w:type="dxa"/>
              <w:right w:w="60" w:type="dxa"/>
            </w:tcMar>
            <w:vAlign w:val="center"/>
          </w:tcPr>
          <w:p w14:paraId="649E25B4" w14:textId="77777777" w:rsidR="00C11703" w:rsidRPr="008902F2" w:rsidRDefault="00C11703" w:rsidP="00C11703">
            <w:pPr>
              <w:spacing w:after="0" w:line="240" w:lineRule="auto"/>
              <w:jc w:val="center"/>
              <w:rPr>
                <w:rFonts w:ascii="Times New Roman" w:hAnsi="Times New Roman"/>
                <w:color w:val="000000" w:themeColor="text1"/>
                <w:lang w:val="en-GB"/>
              </w:rPr>
            </w:pPr>
            <w:r w:rsidRPr="008902F2">
              <w:rPr>
                <w:rFonts w:ascii="Times New Roman" w:hAnsi="Times New Roman"/>
                <w:b/>
                <w:bCs/>
                <w:color w:val="000000" w:themeColor="text1"/>
                <w:lang w:val="en-GB"/>
              </w:rPr>
              <w:t>100</w:t>
            </w:r>
          </w:p>
        </w:tc>
      </w:tr>
    </w:tbl>
    <w:p w14:paraId="4C007394" w14:textId="642BFB4D" w:rsidR="00C11703" w:rsidRDefault="00C11703" w:rsidP="00C11703">
      <w:pPr>
        <w:jc w:val="left"/>
        <w:rPr>
          <w:rFonts w:ascii="Times New Roman" w:hAnsi="Times New Roman"/>
          <w:color w:val="000000" w:themeColor="text1"/>
          <w:lang w:val="en-GB"/>
        </w:rPr>
      </w:pPr>
    </w:p>
    <w:p w14:paraId="0654A912" w14:textId="74C85927" w:rsidR="00A50F29" w:rsidRDefault="00A50F29" w:rsidP="00C11703">
      <w:pPr>
        <w:jc w:val="left"/>
        <w:rPr>
          <w:rFonts w:ascii="Times New Roman" w:hAnsi="Times New Roman"/>
          <w:color w:val="000000" w:themeColor="text1"/>
          <w:lang w:val="en-GB"/>
        </w:rPr>
      </w:pPr>
    </w:p>
    <w:p w14:paraId="45113610" w14:textId="415D5301" w:rsidR="00A50F29" w:rsidRDefault="00A50F29" w:rsidP="00C11703">
      <w:pPr>
        <w:jc w:val="left"/>
        <w:rPr>
          <w:rFonts w:ascii="Times New Roman" w:hAnsi="Times New Roman"/>
          <w:color w:val="000000" w:themeColor="text1"/>
          <w:lang w:val="en-GB"/>
        </w:rPr>
      </w:pPr>
    </w:p>
    <w:p w14:paraId="34463511" w14:textId="77777777" w:rsidR="00A50F29" w:rsidRPr="008902F2" w:rsidRDefault="00A50F29" w:rsidP="00C11703">
      <w:pPr>
        <w:jc w:val="left"/>
        <w:rPr>
          <w:rFonts w:ascii="Times New Roman" w:hAnsi="Times New Roman"/>
          <w:color w:val="000000" w:themeColor="text1"/>
          <w:lang w:val="en-GB"/>
        </w:rPr>
      </w:pPr>
    </w:p>
    <w:p w14:paraId="485EC876" w14:textId="77777777" w:rsidR="00C11703" w:rsidRPr="008902F2" w:rsidRDefault="00C11703" w:rsidP="00C11703">
      <w:pPr>
        <w:keepNext/>
        <w:keepLines/>
        <w:spacing w:before="200" w:after="240"/>
        <w:jc w:val="center"/>
        <w:rPr>
          <w:rFonts w:ascii="Times New Roman" w:eastAsia="Cambria" w:hAnsi="Times New Roman"/>
          <w:b/>
          <w:bCs/>
          <w:lang w:val="en-GB"/>
        </w:rPr>
      </w:pPr>
      <w:r w:rsidRPr="008902F2">
        <w:rPr>
          <w:rFonts w:ascii="Times New Roman" w:eastAsia="Cambria" w:hAnsi="Times New Roman"/>
          <w:b/>
          <w:bCs/>
          <w:lang w:val="en-GB"/>
        </w:rPr>
        <w:lastRenderedPageBreak/>
        <w:t>Figure 8.3: Distribution of Opinions Provided by the Legal Affairs Department Over the Years</w:t>
      </w:r>
    </w:p>
    <w:p w14:paraId="773D2C95" w14:textId="77777777" w:rsidR="00C11703" w:rsidRPr="008902F2" w:rsidRDefault="00C11703" w:rsidP="00C11703">
      <w:pPr>
        <w:rPr>
          <w:rFonts w:ascii="Times New Roman" w:hAnsi="Times New Roman"/>
          <w:color w:val="000000" w:themeColor="text1"/>
          <w:lang w:val="en-GB"/>
        </w:rPr>
      </w:pPr>
    </w:p>
    <w:p w14:paraId="00E4488B"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noProof/>
          <w:lang w:val="en-US"/>
        </w:rPr>
        <w:drawing>
          <wp:inline distT="0" distB="0" distL="0" distR="0" wp14:anchorId="6AB67E84" wp14:editId="76206FE2">
            <wp:extent cx="6296024" cy="3257550"/>
            <wp:effectExtent l="0" t="0" r="0" b="0"/>
            <wp:docPr id="934507738" name="Picture 93450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6296024" cy="3257550"/>
                    </a:xfrm>
                    <a:prstGeom prst="rect">
                      <a:avLst/>
                    </a:prstGeom>
                  </pic:spPr>
                </pic:pic>
              </a:graphicData>
            </a:graphic>
          </wp:inline>
        </w:drawing>
      </w:r>
    </w:p>
    <w:p w14:paraId="50BFAC13" w14:textId="77777777" w:rsidR="00C11703" w:rsidRPr="008902F2" w:rsidRDefault="00C11703" w:rsidP="00B21F39">
      <w:pPr>
        <w:pStyle w:val="Balk2"/>
        <w:rPr>
          <w:rFonts w:ascii="Times New Roman" w:hAnsi="Times New Roman" w:cs="Times New Roman"/>
        </w:rPr>
      </w:pPr>
      <w:bookmarkStart w:id="188" w:name="_Toc143113471"/>
      <w:r w:rsidRPr="008902F2">
        <w:rPr>
          <w:rFonts w:ascii="Times New Roman" w:hAnsi="Times New Roman" w:cs="Times New Roman"/>
        </w:rPr>
        <w:t>8.4. Tender Processes</w:t>
      </w:r>
      <w:bookmarkEnd w:id="188"/>
    </w:p>
    <w:p w14:paraId="64393BDA" w14:textId="0922F1B7" w:rsidR="00C11703" w:rsidRPr="008902F2" w:rsidRDefault="00C11703" w:rsidP="00B21F39">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Within the scope of Public Procurement Law No. 4734, our Authority participated in 8 tenders held in 2022 as a tender commission member.</w:t>
      </w:r>
    </w:p>
    <w:p w14:paraId="02BA1588" w14:textId="77777777" w:rsidR="00C11703" w:rsidRPr="008902F2" w:rsidRDefault="00C11703" w:rsidP="00B21F39">
      <w:pPr>
        <w:pStyle w:val="Balk2"/>
        <w:rPr>
          <w:rFonts w:ascii="Times New Roman" w:hAnsi="Times New Roman" w:cs="Times New Roman"/>
        </w:rPr>
      </w:pPr>
      <w:bookmarkStart w:id="189" w:name="_Toc143113472"/>
      <w:r w:rsidRPr="008902F2">
        <w:rPr>
          <w:rFonts w:ascii="Times New Roman" w:hAnsi="Times New Roman" w:cs="Times New Roman"/>
        </w:rPr>
        <w:t>8.5. Payment Orders</w:t>
      </w:r>
      <w:bookmarkEnd w:id="189"/>
    </w:p>
    <w:p w14:paraId="37D8B522" w14:textId="77777777" w:rsidR="00C11703" w:rsidRPr="008902F2" w:rsidRDefault="00C11703" w:rsidP="00B21F39">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Regarding the cases followed by our Authority, in 2022, 14 advance payment transactions regarding litigation/enforcement litigation expenses and 426 litigation expenses and/or attorney's fees payment transactions requested within the scope of Court Decisions were carried out.</w:t>
      </w:r>
    </w:p>
    <w:p w14:paraId="0FA9B213" w14:textId="77777777" w:rsidR="00C11703" w:rsidRPr="008902F2" w:rsidRDefault="00C11703" w:rsidP="006E0D44">
      <w:pPr>
        <w:pStyle w:val="Balk2"/>
        <w:rPr>
          <w:rFonts w:ascii="Times New Roman" w:hAnsi="Times New Roman" w:cs="Times New Roman"/>
          <w:lang w:val="en-GB"/>
        </w:rPr>
      </w:pPr>
      <w:bookmarkStart w:id="190" w:name="_Toc143113473"/>
      <w:r w:rsidRPr="008902F2">
        <w:rPr>
          <w:rFonts w:ascii="Times New Roman" w:hAnsi="Times New Roman" w:cs="Times New Roman"/>
          <w:lang w:val="en-GB"/>
        </w:rPr>
        <w:t>8.6. Decisions of the Ombudsman Institution</w:t>
      </w:r>
      <w:bookmarkEnd w:id="190"/>
    </w:p>
    <w:p w14:paraId="7C21296A" w14:textId="77777777" w:rsidR="00C11703" w:rsidRPr="008902F2" w:rsidRDefault="00C11703" w:rsidP="00B21F39">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Regarding the letters sent to our Authority by the Ombudsman Institution (Ombudsman) in 2022, with a request for sending decision/requested information-document, within the scope of the information-documents obtained from the relevant Departments, a total of 42 files were replied to the relevant Institution in due time.</w:t>
      </w:r>
    </w:p>
    <w:p w14:paraId="1F3EAF49" w14:textId="77777777" w:rsidR="00C11703" w:rsidRPr="008902F2" w:rsidRDefault="00C11703" w:rsidP="006E0D44">
      <w:pPr>
        <w:pStyle w:val="Balk2"/>
        <w:rPr>
          <w:rFonts w:ascii="Times New Roman" w:hAnsi="Times New Roman" w:cs="Times New Roman"/>
          <w:lang w:val="en-GB"/>
        </w:rPr>
      </w:pPr>
      <w:bookmarkStart w:id="191" w:name="_Toc143113474"/>
      <w:r w:rsidRPr="008902F2">
        <w:rPr>
          <w:rFonts w:ascii="Times New Roman" w:hAnsi="Times New Roman" w:cs="Times New Roman"/>
          <w:lang w:val="en-GB"/>
        </w:rPr>
        <w:t>8.7. Audit of Electricity Distribution Companies</w:t>
      </w:r>
      <w:bookmarkEnd w:id="191"/>
    </w:p>
    <w:p w14:paraId="42D74D06" w14:textId="51D89EA8" w:rsidR="00B70537"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With the Presidential Approval dated 10.08.2022 and numbered 504452, periodic activities of all electricity distribution companies in 2021 under the headings of "Activities related to users", "Financial issues", "Activities related to purchasing and sales transactions", "Legal processes" and "Other matters to be examined within the scope of the relevant legislation, if necessary" as a result of the decision to carry out the audits by our Authority, in order to carry out the audit regarding the "Legal Processes", some of the lawyers working in the Civil Department went to the relevant regions as commission members for the on-site audit of distribution companies, and as a result of the audits, audit review forms and reports regarding "Legal Processes" were prepared.</w:t>
      </w:r>
    </w:p>
    <w:p w14:paraId="5188E23A" w14:textId="5481FF72" w:rsidR="00B70537" w:rsidRPr="008902F2" w:rsidRDefault="00B70537">
      <w:pPr>
        <w:jc w:val="left"/>
        <w:rPr>
          <w:rFonts w:ascii="Times New Roman" w:hAnsi="Times New Roman"/>
          <w:color w:val="000000" w:themeColor="text1"/>
          <w:lang w:val="en-GB"/>
        </w:rPr>
      </w:pPr>
      <w:r w:rsidRPr="008902F2">
        <w:rPr>
          <w:rFonts w:ascii="Times New Roman" w:hAnsi="Times New Roman"/>
          <w:color w:val="000000" w:themeColor="text1"/>
          <w:lang w:val="en-GB"/>
        </w:rPr>
        <w:br w:type="page"/>
      </w:r>
    </w:p>
    <w:p w14:paraId="58B2C049" w14:textId="77777777" w:rsidR="00C11703" w:rsidRPr="008902F2" w:rsidRDefault="00C11703" w:rsidP="00514000">
      <w:pPr>
        <w:pStyle w:val="Balk1"/>
        <w:rPr>
          <w:rFonts w:ascii="Times New Roman" w:hAnsi="Times New Roman" w:cs="Times New Roman"/>
          <w:lang w:val="en-GB"/>
        </w:rPr>
      </w:pPr>
      <w:bookmarkStart w:id="192" w:name="_Toc143113475"/>
      <w:r w:rsidRPr="008902F2">
        <w:rPr>
          <w:rFonts w:ascii="Times New Roman" w:hAnsi="Times New Roman" w:cs="Times New Roman"/>
          <w:lang w:val="en-GB"/>
        </w:rPr>
        <w:lastRenderedPageBreak/>
        <w:t>9. PROTECTION OF CONSUMER RIGHTS</w:t>
      </w:r>
      <w:bookmarkEnd w:id="192"/>
    </w:p>
    <w:p w14:paraId="5C8799F1"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To ensure the protection of consumer rights, various activities are carried out, including examining and resolving complaints and applications, determining the standards, procedures, and principles that legal entities operating in the market must adhere to in providing services to consumers, informing the public about regulations and practices related to the energy market, and conducting efforts to raise consumer awareness.</w:t>
      </w:r>
    </w:p>
    <w:p w14:paraId="5929A231"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Improvements have been made in the Electronic Correspondence System (EBYS) to enable more accurate statistics of incoming complaints. As a result, various statistical data related to complaints received by the agency can be reported in real-time.</w:t>
      </w:r>
    </w:p>
    <w:p w14:paraId="2D40245E"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The agency's website is continuously updated, and easier access to the "Consumer Corner" has been provided. In the Consumer Corner, quick access to information such as internet addresses and call center phone numbers of electricity distribution and authorized supply companies, as well as natural gas distribution companies, has been facilitated.</w:t>
      </w:r>
    </w:p>
    <w:p w14:paraId="10BFF993"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To ensure easier and faster transmission of complaints to the companies responsible for addressing them, as the number of complaints received by the agency increases day by day, a mandatory Registered Electronic Mail (KEP) address requirement has been introduced for the companies involved. Complaints are transferred to the license holders as an Electronic Correspondence Package (EYP). This allows for faster redirection of consumer complaints to the resolution address, informing the applicant through SMS at each stage, and enabling tracking through the agency's website using the national identification number TR Identity Number). Responses from distribution companies can be viewed by the applicants on the website. Warning messages are sent to companies via the system for applications that are not responded to by distribution companies in a timely manner.</w:t>
      </w:r>
    </w:p>
    <w:p w14:paraId="2FD6448F" w14:textId="1F166238" w:rsidR="00C11703" w:rsidRPr="008902F2" w:rsidRDefault="00C11703" w:rsidP="00514000">
      <w:pPr>
        <w:pStyle w:val="Balk2"/>
        <w:rPr>
          <w:rFonts w:ascii="Times New Roman" w:hAnsi="Times New Roman" w:cs="Times New Roman"/>
          <w:lang w:val="en-GB"/>
        </w:rPr>
      </w:pPr>
      <w:bookmarkStart w:id="193" w:name="_Toc143113476"/>
      <w:r w:rsidRPr="008902F2">
        <w:rPr>
          <w:rFonts w:ascii="Times New Roman" w:hAnsi="Times New Roman" w:cs="Times New Roman"/>
          <w:lang w:val="en-GB"/>
        </w:rPr>
        <w:t>9.1.</w:t>
      </w:r>
      <w:r w:rsidR="00514000" w:rsidRPr="008902F2">
        <w:rPr>
          <w:rFonts w:ascii="Times New Roman" w:hAnsi="Times New Roman" w:cs="Times New Roman"/>
          <w:lang w:val="en-GB"/>
        </w:rPr>
        <w:t xml:space="preserve"> </w:t>
      </w:r>
      <w:r w:rsidRPr="008902F2">
        <w:rPr>
          <w:rFonts w:ascii="Times New Roman" w:hAnsi="Times New Roman" w:cs="Times New Roman"/>
          <w:lang w:val="en-GB"/>
        </w:rPr>
        <w:t>Creation and Development of Consumer Awareness</w:t>
      </w:r>
      <w:bookmarkEnd w:id="193"/>
    </w:p>
    <w:p w14:paraId="4A10F8B7"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color w:val="000000" w:themeColor="text1"/>
          <w:lang w:val="en-GB"/>
        </w:rPr>
        <w:t>Within the scope of studies aimed at raising consumer awareness about the regulations and practices regarding the energy market and the rights and responsibilities of the consumer; consumer section is included in the website of the institution.</w:t>
      </w:r>
    </w:p>
    <w:p w14:paraId="08226B5C" w14:textId="77777777" w:rsidR="00C11703" w:rsidRPr="008902F2" w:rsidRDefault="00C11703" w:rsidP="00C11703">
      <w:pPr>
        <w:spacing w:after="0"/>
        <w:rPr>
          <w:rFonts w:ascii="Times New Roman" w:hAnsi="Times New Roman"/>
          <w:color w:val="000000" w:themeColor="text1"/>
          <w:lang w:val="en-GB"/>
        </w:rPr>
      </w:pPr>
    </w:p>
    <w:p w14:paraId="2B7D6AF6"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color w:val="000000" w:themeColor="text1"/>
          <w:lang w:val="en-GB"/>
        </w:rPr>
        <w:t>The Consumer Corner has been created to include all or some of the following topics on a sectoral basis:</w:t>
      </w:r>
    </w:p>
    <w:p w14:paraId="057D1E3C" w14:textId="77777777" w:rsidR="00C11703" w:rsidRPr="008902F2" w:rsidRDefault="00C11703" w:rsidP="00C11703">
      <w:pPr>
        <w:spacing w:after="0"/>
        <w:rPr>
          <w:rFonts w:ascii="Times New Roman" w:hAnsi="Times New Roman"/>
          <w:color w:val="000000" w:themeColor="text1"/>
          <w:lang w:val="en-GB"/>
        </w:rPr>
      </w:pPr>
    </w:p>
    <w:p w14:paraId="2BFDA67C"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Legislation (Relevant regulations concerning consumers in the respective market are included.)</w:t>
      </w:r>
    </w:p>
    <w:p w14:paraId="3CE8AFD9"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Market and Consumer Rights (The market structure and fundamental consumer rights within this market are introduced.)</w:t>
      </w:r>
    </w:p>
    <w:p w14:paraId="45AEF8A4"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Consumer Guide and Frequently Asked Questions (Answers to commonly asked questions by consumers and explanations regarding the utilization of consumer rights are provided.)</w:t>
      </w:r>
    </w:p>
    <w:p w14:paraId="64857921"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Historical National Tariffs and Other Country Practices (Prices applied to non-liberalized consumers in the electricity market, as well as prices applied in other countries, are presented; direct access to the prices applied by natural gas distribution companies is provided.)</w:t>
      </w:r>
    </w:p>
    <w:p w14:paraId="6F84C0C0"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Invoice Calculation Module (A price module is presented that allows electricity consumers to check their invoices.)</w:t>
      </w:r>
    </w:p>
    <w:p w14:paraId="52E376D1"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Contact Addresses of Distribution Companies (Web addresses, call centers, request/complaint, and email addresses of Electricity and Natural Gas Distribution Companies are included.)</w:t>
      </w:r>
    </w:p>
    <w:p w14:paraId="7B520D82"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lastRenderedPageBreak/>
        <w:t>Contact Addresses of Authorized Supply Companies (Web addresses, call centers, request/complaint, and email addresses of Electricity Authorized Supply Companies are included.)</w:t>
      </w:r>
    </w:p>
    <w:p w14:paraId="15DD2F69" w14:textId="77777777" w:rsidR="00C11703" w:rsidRPr="008902F2" w:rsidRDefault="00C11703" w:rsidP="00A86526">
      <w:pPr>
        <w:numPr>
          <w:ilvl w:val="0"/>
          <w:numId w:val="10"/>
        </w:numPr>
        <w:spacing w:after="240"/>
        <w:contextualSpacing/>
        <w:jc w:val="left"/>
        <w:rPr>
          <w:rFonts w:ascii="Times New Roman" w:hAnsi="Times New Roman"/>
          <w:color w:val="000000" w:themeColor="text1"/>
          <w:lang w:val="en-GB"/>
        </w:rPr>
      </w:pPr>
      <w:r w:rsidRPr="008902F2">
        <w:rPr>
          <w:rFonts w:ascii="Times New Roman" w:hAnsi="Times New Roman"/>
          <w:color w:val="000000" w:themeColor="text1"/>
          <w:lang w:val="en-GB"/>
        </w:rPr>
        <w:t>Complaints and Information Requests (An active module is provided to address consumer complaints and information requests.)</w:t>
      </w:r>
    </w:p>
    <w:p w14:paraId="61709A4C" w14:textId="77777777" w:rsidR="00C11703" w:rsidRPr="008902F2" w:rsidRDefault="00C11703" w:rsidP="00C11703">
      <w:pPr>
        <w:spacing w:after="240"/>
        <w:rPr>
          <w:rFonts w:ascii="Times New Roman" w:hAnsi="Times New Roman"/>
          <w:color w:val="000000" w:themeColor="text1"/>
          <w:lang w:val="en-GB"/>
        </w:rPr>
      </w:pPr>
      <w:r w:rsidRPr="008902F2">
        <w:rPr>
          <w:rFonts w:ascii="Times New Roman" w:hAnsi="Times New Roman"/>
          <w:color w:val="000000" w:themeColor="text1"/>
          <w:lang w:val="en-GB"/>
        </w:rPr>
        <w:t>The online application module for consumer complaints has been updated on the website. In applications made through the national identification number (TR identity number), a system has been implemented to send SMS notifications to the applicant during the stages of receiving and forwarding the application to the companies. Additionally, the applicant is now able to track their application through the website.</w:t>
      </w:r>
    </w:p>
    <w:p w14:paraId="37DC3691" w14:textId="77777777" w:rsidR="00C11703" w:rsidRPr="008902F2" w:rsidRDefault="00C11703" w:rsidP="00ED63E2">
      <w:pPr>
        <w:pStyle w:val="Balk2"/>
        <w:rPr>
          <w:rFonts w:ascii="Times New Roman" w:hAnsi="Times New Roman" w:cs="Times New Roman"/>
          <w:lang w:val="en-GB"/>
        </w:rPr>
      </w:pPr>
      <w:bookmarkStart w:id="194" w:name="_Toc143113477"/>
      <w:r w:rsidRPr="008902F2">
        <w:rPr>
          <w:rFonts w:ascii="Times New Roman" w:hAnsi="Times New Roman" w:cs="Times New Roman"/>
          <w:lang w:val="en-GB"/>
        </w:rPr>
        <w:t>9.2. Evaluation of Consumer Complaints</w:t>
      </w:r>
      <w:bookmarkEnd w:id="194"/>
    </w:p>
    <w:p w14:paraId="1626342B"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Legal entities holding licenses are obliged to fulfill their obligations as defined within the legal framework in their relations with consumers and users. They are required to promptly evaluate and resolve reports and complaints related to their business activities and facilitate any necessary adjustments for resolution.</w:t>
      </w:r>
    </w:p>
    <w:p w14:paraId="52AC00C7"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Consumers have the right to apply to the Regulatory Authority if they do not receive sufficient or satisfactory responses from service-providing companies. Applications received by the Authority are assessed in conjunction with correspondence involving the relevant legal entity and are examined and concluded within the framework of the regulations.</w:t>
      </w:r>
    </w:p>
    <w:p w14:paraId="2BA6C41C"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Within the scope of relevant legislation, ensuring that the avenues for consumers and users to express their desires and complaints are sufficient, transparent, and easily accessible is crucial for monitoring the obligations of legal entities holding licenses operating in the markets and facilitating swift regulatory adjustments.</w:t>
      </w:r>
    </w:p>
    <w:p w14:paraId="37BE3CA4"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In this context, efforts by the Authority are ongoing to promptly relay complaints received from various channels to the relevant parties, monitor the resolution of complaints, and, if necessary, conduct audits.</w:t>
      </w:r>
    </w:p>
    <w:p w14:paraId="18292A96" w14:textId="77777777" w:rsidR="00C11703" w:rsidRPr="008902F2" w:rsidRDefault="00C11703" w:rsidP="00C11703">
      <w:pPr>
        <w:rPr>
          <w:rFonts w:ascii="Times New Roman" w:hAnsi="Times New Roman"/>
          <w:lang w:val="en-GB"/>
        </w:rPr>
      </w:pPr>
    </w:p>
    <w:p w14:paraId="7E536925" w14:textId="77777777" w:rsidR="00C11703" w:rsidRPr="008902F2" w:rsidRDefault="00C11703" w:rsidP="00B21F39">
      <w:pPr>
        <w:pStyle w:val="Balk3"/>
        <w:rPr>
          <w:rFonts w:ascii="Times New Roman" w:hAnsi="Times New Roman" w:cs="Times New Roman"/>
          <w:lang w:val="en-GB"/>
        </w:rPr>
      </w:pPr>
      <w:bookmarkStart w:id="195" w:name="_Toc143113478"/>
      <w:r w:rsidRPr="008902F2">
        <w:rPr>
          <w:rFonts w:ascii="Times New Roman" w:hAnsi="Times New Roman" w:cs="Times New Roman"/>
          <w:lang w:val="en-GB"/>
        </w:rPr>
        <w:t>9.2.1. Number of Complaints and Channels for Obtaining Information</w:t>
      </w:r>
      <w:bookmarkEnd w:id="195"/>
    </w:p>
    <w:p w14:paraId="60F5BA88" w14:textId="5AF110C8"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As a total of 213.506 notifications evaluated by the relevant Departments of the Authority in 2022. 211.367 of them were processed under the Complaint Title and the rest was processed under the Knowledge Acquisition title.</w:t>
      </w:r>
    </w:p>
    <w:p w14:paraId="4E01EA9E"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3A9288DD" w14:textId="77777777"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percentage distribution of the notifications processed under the complaint title by months is given below.</w:t>
      </w:r>
    </w:p>
    <w:p w14:paraId="22995B7B"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70574550"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5F0B00C7"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4429AFBB" w14:textId="25D2FB90" w:rsidR="00C11703" w:rsidRDefault="00C11703" w:rsidP="00C11703">
      <w:pPr>
        <w:spacing w:after="5" w:line="269" w:lineRule="auto"/>
        <w:ind w:hanging="9"/>
        <w:rPr>
          <w:rFonts w:ascii="Times New Roman" w:hAnsi="Times New Roman"/>
          <w:color w:val="000000" w:themeColor="text1"/>
          <w:lang w:val="en-GB"/>
        </w:rPr>
      </w:pPr>
    </w:p>
    <w:p w14:paraId="2A097883" w14:textId="0CB1106B" w:rsidR="00A50F29" w:rsidRDefault="00A50F29" w:rsidP="00C11703">
      <w:pPr>
        <w:spacing w:after="5" w:line="269" w:lineRule="auto"/>
        <w:ind w:hanging="9"/>
        <w:rPr>
          <w:rFonts w:ascii="Times New Roman" w:hAnsi="Times New Roman"/>
          <w:color w:val="000000" w:themeColor="text1"/>
          <w:lang w:val="en-GB"/>
        </w:rPr>
      </w:pPr>
    </w:p>
    <w:p w14:paraId="7FCF8513" w14:textId="2CF3FE33" w:rsidR="00A50F29" w:rsidRDefault="00A50F29" w:rsidP="00C11703">
      <w:pPr>
        <w:spacing w:after="5" w:line="269" w:lineRule="auto"/>
        <w:ind w:hanging="9"/>
        <w:rPr>
          <w:rFonts w:ascii="Times New Roman" w:hAnsi="Times New Roman"/>
          <w:color w:val="000000" w:themeColor="text1"/>
          <w:lang w:val="en-GB"/>
        </w:rPr>
      </w:pPr>
    </w:p>
    <w:p w14:paraId="276BC5DE" w14:textId="783AA518" w:rsidR="00A50F29" w:rsidRDefault="00A50F29" w:rsidP="00C11703">
      <w:pPr>
        <w:spacing w:after="5" w:line="269" w:lineRule="auto"/>
        <w:ind w:hanging="9"/>
        <w:rPr>
          <w:rFonts w:ascii="Times New Roman" w:hAnsi="Times New Roman"/>
          <w:color w:val="000000" w:themeColor="text1"/>
          <w:lang w:val="en-GB"/>
        </w:rPr>
      </w:pPr>
    </w:p>
    <w:p w14:paraId="7CDC8A24" w14:textId="3EE476DB" w:rsidR="00A50F29" w:rsidRDefault="00A50F29" w:rsidP="00C11703">
      <w:pPr>
        <w:spacing w:after="5" w:line="269" w:lineRule="auto"/>
        <w:ind w:hanging="9"/>
        <w:rPr>
          <w:rFonts w:ascii="Times New Roman" w:hAnsi="Times New Roman"/>
          <w:color w:val="000000" w:themeColor="text1"/>
          <w:lang w:val="en-GB"/>
        </w:rPr>
      </w:pPr>
    </w:p>
    <w:p w14:paraId="5DB08D98" w14:textId="60B1426B" w:rsidR="00A50F29" w:rsidRDefault="00A50F29" w:rsidP="00C11703">
      <w:pPr>
        <w:spacing w:after="5" w:line="269" w:lineRule="auto"/>
        <w:ind w:hanging="9"/>
        <w:rPr>
          <w:rFonts w:ascii="Times New Roman" w:hAnsi="Times New Roman"/>
          <w:color w:val="000000" w:themeColor="text1"/>
          <w:lang w:val="en-GB"/>
        </w:rPr>
      </w:pPr>
    </w:p>
    <w:p w14:paraId="0B4DE242" w14:textId="3453111A" w:rsidR="00A50F29" w:rsidRDefault="00A50F29" w:rsidP="00C11703">
      <w:pPr>
        <w:spacing w:after="5" w:line="269" w:lineRule="auto"/>
        <w:ind w:hanging="9"/>
        <w:rPr>
          <w:rFonts w:ascii="Times New Roman" w:hAnsi="Times New Roman"/>
          <w:color w:val="000000" w:themeColor="text1"/>
          <w:lang w:val="en-GB"/>
        </w:rPr>
      </w:pPr>
    </w:p>
    <w:p w14:paraId="71C3D7FA" w14:textId="77777777" w:rsidR="00A50F29" w:rsidRPr="008902F2" w:rsidRDefault="00A50F29" w:rsidP="00C11703">
      <w:pPr>
        <w:spacing w:after="5" w:line="269" w:lineRule="auto"/>
        <w:ind w:hanging="9"/>
        <w:rPr>
          <w:rFonts w:ascii="Times New Roman" w:hAnsi="Times New Roman"/>
          <w:color w:val="000000" w:themeColor="text1"/>
          <w:lang w:val="en-GB"/>
        </w:rPr>
      </w:pPr>
    </w:p>
    <w:p w14:paraId="0E475FD2"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6333A852" w14:textId="77777777" w:rsidR="00C11703" w:rsidRPr="008902F2" w:rsidRDefault="00C11703" w:rsidP="00C11703">
      <w:pPr>
        <w:keepNext/>
        <w:keepLines/>
        <w:spacing w:after="0"/>
        <w:jc w:val="center"/>
        <w:rPr>
          <w:rFonts w:ascii="Times New Roman" w:eastAsia="Cambria" w:hAnsi="Times New Roman"/>
          <w:color w:val="243F60"/>
          <w:lang w:val="en-GB"/>
        </w:rPr>
      </w:pPr>
    </w:p>
    <w:p w14:paraId="4FCD31FF" w14:textId="77777777" w:rsidR="00C11703" w:rsidRPr="008902F2" w:rsidRDefault="00C11703" w:rsidP="00C11703">
      <w:pPr>
        <w:keepNext/>
        <w:keepLines/>
        <w:spacing w:after="0"/>
        <w:jc w:val="center"/>
        <w:rPr>
          <w:rFonts w:ascii="Times New Roman" w:eastAsia="Cambria" w:hAnsi="Times New Roman"/>
          <w:lang w:val="en-GB"/>
        </w:rPr>
      </w:pPr>
      <w:r w:rsidRPr="008902F2">
        <w:rPr>
          <w:rFonts w:ascii="Times New Roman" w:eastAsia="Cambria" w:hAnsi="Times New Roman"/>
          <w:b/>
          <w:bCs/>
          <w:lang w:val="en-GB"/>
        </w:rPr>
        <w:t>Figure 9.1: Percentage Distribution of Notifications Processed under the Title of Complaint by Months in 2022</w:t>
      </w:r>
    </w:p>
    <w:p w14:paraId="0E03E62C" w14:textId="77777777" w:rsidR="00C11703" w:rsidRPr="008902F2" w:rsidRDefault="00C11703" w:rsidP="00C11703">
      <w:pPr>
        <w:rPr>
          <w:rFonts w:ascii="Times New Roman" w:hAnsi="Times New Roman"/>
          <w:color w:val="000000" w:themeColor="text1"/>
          <w:lang w:val="en-GB"/>
        </w:rPr>
      </w:pPr>
    </w:p>
    <w:p w14:paraId="46A1D3FE" w14:textId="77777777" w:rsidR="00C11703" w:rsidRPr="008902F2" w:rsidRDefault="00C11703" w:rsidP="00C11703">
      <w:pPr>
        <w:spacing w:after="804"/>
        <w:jc w:val="center"/>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55711A73" wp14:editId="6F109699">
            <wp:extent cx="5255260" cy="2359660"/>
            <wp:effectExtent l="0" t="0" r="2540" b="2540"/>
            <wp:docPr id="704325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5260" cy="2359660"/>
                    </a:xfrm>
                    <a:prstGeom prst="rect">
                      <a:avLst/>
                    </a:prstGeom>
                    <a:noFill/>
                  </pic:spPr>
                </pic:pic>
              </a:graphicData>
            </a:graphic>
          </wp:inline>
        </w:drawing>
      </w:r>
    </w:p>
    <w:p w14:paraId="494E7EFB"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When looking at the monthly occurrences of notifications under the "Complaint" category, it can be observed that the highest share, at 13%, corresponds to January, followed by March and November.</w:t>
      </w:r>
    </w:p>
    <w:p w14:paraId="636A3681"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Various channels are utilized for submitting notifications to the Authority, including CİMER (Presidency's Communication Center), the Ministry, the Authority's official website (through forms), and the Authority's General Documents Unit. Throughout the year 2022, a total of 211.367 applications were submitted under the "Complaint" category using all available channels. CİMER submissions constituted 183.879 applications (87%), applications through the Authority's web form accounted for 26.787 applications (12.7%), 263 applications were made through the ETKB (Ministry of Energy and Natural Resources) channel, 364 applications through the General Documents Unit channel, and 74 applications through other channels.</w:t>
      </w:r>
    </w:p>
    <w:p w14:paraId="7CB9CC19"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In 2022, 2,139 applications were made via “Knowledge Acquisition”. The sum of the appeals for "Complaint" and “Knowledge Acquisition" by the end of 2022 was 21.506.</w:t>
      </w:r>
    </w:p>
    <w:p w14:paraId="7ED7E818"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Throughout 2022, 211.367 applications were evaluated and forwarded to the respective companies for evaluation and necessary actions. The percentage distribution of occurrences based on the complaint channels is provided in the graph below.</w:t>
      </w:r>
    </w:p>
    <w:p w14:paraId="3BEFDB3A" w14:textId="77777777" w:rsidR="00C11703" w:rsidRPr="008902F2" w:rsidRDefault="00C11703" w:rsidP="00C11703">
      <w:pPr>
        <w:spacing w:after="305" w:line="268" w:lineRule="auto"/>
        <w:ind w:left="10" w:hanging="10"/>
        <w:rPr>
          <w:rFonts w:ascii="Times New Roman" w:hAnsi="Times New Roman"/>
          <w:color w:val="000000" w:themeColor="text1"/>
          <w:lang w:val="en-GB"/>
        </w:rPr>
      </w:pPr>
    </w:p>
    <w:p w14:paraId="7BBA194E" w14:textId="77777777" w:rsidR="00C11703" w:rsidRPr="008902F2" w:rsidRDefault="00C11703" w:rsidP="00C11703">
      <w:pPr>
        <w:spacing w:after="305" w:line="268" w:lineRule="auto"/>
        <w:ind w:left="10" w:hanging="10"/>
        <w:rPr>
          <w:rFonts w:ascii="Times New Roman" w:hAnsi="Times New Roman"/>
          <w:color w:val="000000" w:themeColor="text1"/>
          <w:lang w:val="en-GB"/>
        </w:rPr>
      </w:pPr>
    </w:p>
    <w:p w14:paraId="2D69D25A" w14:textId="77777777" w:rsidR="00C11703" w:rsidRPr="008902F2" w:rsidRDefault="00C11703" w:rsidP="00C11703">
      <w:pPr>
        <w:spacing w:after="305" w:line="268" w:lineRule="auto"/>
        <w:ind w:left="10" w:hanging="10"/>
        <w:rPr>
          <w:rFonts w:ascii="Times New Roman" w:hAnsi="Times New Roman"/>
          <w:color w:val="000000" w:themeColor="text1"/>
          <w:lang w:val="en-GB"/>
        </w:rPr>
      </w:pPr>
    </w:p>
    <w:p w14:paraId="4FB79AD7" w14:textId="77777777" w:rsidR="00C11703" w:rsidRPr="008902F2" w:rsidRDefault="00C11703" w:rsidP="00C11703">
      <w:pPr>
        <w:spacing w:after="305" w:line="268" w:lineRule="auto"/>
        <w:ind w:left="10" w:hanging="10"/>
        <w:rPr>
          <w:rFonts w:ascii="Times New Roman" w:hAnsi="Times New Roman"/>
          <w:color w:val="000000" w:themeColor="text1"/>
          <w:lang w:val="en-GB"/>
        </w:rPr>
      </w:pPr>
    </w:p>
    <w:p w14:paraId="51BC0345"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r w:rsidRPr="008902F2">
        <w:rPr>
          <w:rFonts w:ascii="Times New Roman" w:eastAsia="Cambria" w:hAnsi="Times New Roman"/>
          <w:b/>
          <w:bCs/>
          <w:lang w:val="en-GB"/>
        </w:rPr>
        <w:lastRenderedPageBreak/>
        <w:t>Figure 9.2: Percentage Distribution of Complaint Notifications by Complaint Channels</w:t>
      </w:r>
    </w:p>
    <w:p w14:paraId="34D64DC0" w14:textId="77777777" w:rsidR="00C11703" w:rsidRPr="008902F2" w:rsidRDefault="00C11703" w:rsidP="00C11703">
      <w:pPr>
        <w:spacing w:before="120" w:after="120"/>
        <w:jc w:val="center"/>
        <w:rPr>
          <w:rFonts w:ascii="Times New Roman" w:hAnsi="Times New Roman"/>
          <w:color w:val="000000" w:themeColor="text1"/>
          <w:lang w:val="en-GB"/>
        </w:rPr>
      </w:pPr>
    </w:p>
    <w:p w14:paraId="1C7196DE" w14:textId="77777777" w:rsidR="00C11703" w:rsidRPr="008902F2" w:rsidRDefault="00C11703" w:rsidP="00C11703">
      <w:pPr>
        <w:spacing w:before="120" w:after="120" w:line="269" w:lineRule="auto"/>
        <w:ind w:hanging="9"/>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6A6E7034" wp14:editId="29D36836">
            <wp:extent cx="5047615" cy="2651760"/>
            <wp:effectExtent l="0" t="0" r="635" b="0"/>
            <wp:docPr id="566461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7615" cy="2651760"/>
                    </a:xfrm>
                    <a:prstGeom prst="rect">
                      <a:avLst/>
                    </a:prstGeom>
                    <a:noFill/>
                  </pic:spPr>
                </pic:pic>
              </a:graphicData>
            </a:graphic>
          </wp:inline>
        </w:drawing>
      </w:r>
    </w:p>
    <w:p w14:paraId="4CB58D80" w14:textId="77777777" w:rsidR="00C11703" w:rsidRPr="008902F2" w:rsidRDefault="00C11703" w:rsidP="00C11703">
      <w:pPr>
        <w:spacing w:before="120" w:after="120" w:line="269" w:lineRule="auto"/>
        <w:ind w:hanging="9"/>
        <w:rPr>
          <w:rFonts w:ascii="Times New Roman" w:hAnsi="Times New Roman"/>
          <w:color w:val="000000" w:themeColor="text1"/>
          <w:lang w:val="en-GB"/>
        </w:rPr>
      </w:pPr>
    </w:p>
    <w:p w14:paraId="6C0252F2" w14:textId="77777777" w:rsidR="00C11703" w:rsidRPr="008902F2" w:rsidRDefault="00C11703" w:rsidP="00C11703">
      <w:pPr>
        <w:spacing w:before="120" w:after="120"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87% of the complaint notifications were submitted through CİMER. Following CİMER, the second highest number of notifications, accounting for 12.7%, was made through the Authority's official website using the web form. EMRA’s website was followed by ETKB (Ministry of Energy and Natural Resources), EMRA’s General Documents Unit, and other channels in descending order.</w:t>
      </w:r>
    </w:p>
    <w:p w14:paraId="3034F9E3" w14:textId="77777777" w:rsidR="00C11703" w:rsidRPr="008902F2" w:rsidRDefault="00C11703" w:rsidP="00C11703">
      <w:pPr>
        <w:spacing w:before="120" w:after="120" w:line="269" w:lineRule="auto"/>
        <w:ind w:hanging="9"/>
        <w:rPr>
          <w:rFonts w:ascii="Times New Roman" w:hAnsi="Times New Roman"/>
          <w:color w:val="000000" w:themeColor="text1"/>
          <w:lang w:val="en-GB"/>
        </w:rPr>
      </w:pPr>
    </w:p>
    <w:p w14:paraId="7B63498F" w14:textId="77777777" w:rsidR="00C11703" w:rsidRPr="008902F2" w:rsidRDefault="00C11703" w:rsidP="00B21F39">
      <w:pPr>
        <w:pStyle w:val="Balk3"/>
        <w:rPr>
          <w:rFonts w:ascii="Times New Roman" w:hAnsi="Times New Roman" w:cs="Times New Roman"/>
          <w:lang w:val="en-GB"/>
        </w:rPr>
      </w:pPr>
      <w:bookmarkStart w:id="196" w:name="_Toc143113479"/>
      <w:r w:rsidRPr="008902F2">
        <w:rPr>
          <w:rFonts w:ascii="Times New Roman" w:hAnsi="Times New Roman" w:cs="Times New Roman"/>
          <w:lang w:val="en-GB"/>
        </w:rPr>
        <w:t>9.2.2. Sectoral Distribution of Complaint Notifications</w:t>
      </w:r>
      <w:bookmarkEnd w:id="196"/>
    </w:p>
    <w:p w14:paraId="2B09F9D2" w14:textId="77777777" w:rsidR="00C11703" w:rsidRPr="008902F2" w:rsidRDefault="00C11703" w:rsidP="00C11703">
      <w:pPr>
        <w:spacing w:after="315" w:line="269" w:lineRule="auto"/>
        <w:rPr>
          <w:rFonts w:ascii="Times New Roman" w:hAnsi="Times New Roman"/>
          <w:color w:val="000000" w:themeColor="text1"/>
          <w:lang w:val="en-GB"/>
        </w:rPr>
      </w:pPr>
      <w:r w:rsidRPr="008902F2">
        <w:rPr>
          <w:rFonts w:ascii="Times New Roman" w:hAnsi="Times New Roman"/>
          <w:color w:val="000000" w:themeColor="text1"/>
          <w:lang w:val="en-GB"/>
        </w:rPr>
        <w:t>Complaint notifications submitted under the category of complaints are categorized into the Electricity Market, Natural Gas Market, Petroleum Market, and Liquefied Petroleum Gases (LPG) Market in the context of consumer rights protection and examination of consumer complaints. The percentage distribution of complaint notifications related to these sectors is presented in the following graph.</w:t>
      </w:r>
    </w:p>
    <w:p w14:paraId="38C1C555" w14:textId="77777777" w:rsidR="00C11703" w:rsidRPr="008902F2" w:rsidRDefault="00C11703" w:rsidP="00C11703">
      <w:pPr>
        <w:spacing w:after="315" w:line="269" w:lineRule="auto"/>
        <w:rPr>
          <w:rFonts w:ascii="Times New Roman" w:hAnsi="Times New Roman"/>
          <w:color w:val="000000" w:themeColor="text1"/>
          <w:lang w:val="en-GB"/>
        </w:rPr>
      </w:pPr>
    </w:p>
    <w:p w14:paraId="7CBC11C3" w14:textId="77777777" w:rsidR="00C11703" w:rsidRPr="008902F2" w:rsidRDefault="00C11703" w:rsidP="00C11703">
      <w:pPr>
        <w:spacing w:after="315" w:line="269" w:lineRule="auto"/>
        <w:rPr>
          <w:rFonts w:ascii="Times New Roman" w:hAnsi="Times New Roman"/>
          <w:color w:val="000000" w:themeColor="text1"/>
          <w:lang w:val="en-GB"/>
        </w:rPr>
      </w:pPr>
    </w:p>
    <w:p w14:paraId="56025568" w14:textId="77777777" w:rsidR="00C11703" w:rsidRPr="008902F2" w:rsidRDefault="00C11703" w:rsidP="00C11703">
      <w:pPr>
        <w:spacing w:after="315" w:line="269" w:lineRule="auto"/>
        <w:rPr>
          <w:rFonts w:ascii="Times New Roman" w:hAnsi="Times New Roman"/>
          <w:color w:val="000000" w:themeColor="text1"/>
          <w:lang w:val="en-GB"/>
        </w:rPr>
      </w:pPr>
    </w:p>
    <w:p w14:paraId="32936274" w14:textId="77777777" w:rsidR="00C11703" w:rsidRPr="008902F2" w:rsidRDefault="00C11703" w:rsidP="00C11703">
      <w:pPr>
        <w:spacing w:after="315" w:line="269" w:lineRule="auto"/>
        <w:rPr>
          <w:rFonts w:ascii="Times New Roman" w:hAnsi="Times New Roman"/>
          <w:color w:val="000000" w:themeColor="text1"/>
          <w:lang w:val="en-GB"/>
        </w:rPr>
      </w:pPr>
    </w:p>
    <w:p w14:paraId="5B34D6A7" w14:textId="6CEE6EFC" w:rsidR="00C11703" w:rsidRDefault="00C11703" w:rsidP="00C11703">
      <w:pPr>
        <w:spacing w:after="315" w:line="269" w:lineRule="auto"/>
        <w:rPr>
          <w:rFonts w:ascii="Times New Roman" w:hAnsi="Times New Roman"/>
          <w:color w:val="000000" w:themeColor="text1"/>
          <w:lang w:val="en-GB"/>
        </w:rPr>
      </w:pPr>
    </w:p>
    <w:p w14:paraId="1224B52F" w14:textId="5BC03CA1" w:rsidR="001D7665" w:rsidRDefault="001D7665" w:rsidP="00C11703">
      <w:pPr>
        <w:spacing w:after="315" w:line="269" w:lineRule="auto"/>
        <w:rPr>
          <w:rFonts w:ascii="Times New Roman" w:hAnsi="Times New Roman"/>
          <w:color w:val="000000" w:themeColor="text1"/>
          <w:lang w:val="en-GB"/>
        </w:rPr>
      </w:pPr>
    </w:p>
    <w:p w14:paraId="620996F6" w14:textId="083C3AE4" w:rsidR="00C11703" w:rsidRDefault="00C11703" w:rsidP="00C11703">
      <w:pPr>
        <w:spacing w:after="315" w:line="269" w:lineRule="auto"/>
        <w:rPr>
          <w:rFonts w:ascii="Times New Roman" w:hAnsi="Times New Roman"/>
          <w:color w:val="000000" w:themeColor="text1"/>
          <w:lang w:val="en-GB"/>
        </w:rPr>
      </w:pPr>
    </w:p>
    <w:p w14:paraId="09AC02BD" w14:textId="77777777" w:rsidR="001D7665" w:rsidRPr="008902F2" w:rsidRDefault="001D7665" w:rsidP="00C11703">
      <w:pPr>
        <w:spacing w:after="315" w:line="269" w:lineRule="auto"/>
        <w:rPr>
          <w:rFonts w:ascii="Times New Roman" w:hAnsi="Times New Roman"/>
          <w:color w:val="000000" w:themeColor="text1"/>
          <w:lang w:val="en-GB"/>
        </w:rPr>
      </w:pPr>
      <w:bookmarkStart w:id="197" w:name="_GoBack"/>
      <w:bookmarkEnd w:id="197"/>
    </w:p>
    <w:p w14:paraId="24F15354"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r w:rsidRPr="008902F2">
        <w:rPr>
          <w:rFonts w:ascii="Times New Roman" w:eastAsia="Cambria" w:hAnsi="Times New Roman"/>
          <w:b/>
          <w:bCs/>
          <w:lang w:val="en-GB"/>
        </w:rPr>
        <w:lastRenderedPageBreak/>
        <w:t>Figure 9.3: Sectoral Distribution of Complaint Notifications</w:t>
      </w:r>
    </w:p>
    <w:p w14:paraId="59168FEF" w14:textId="77777777" w:rsidR="00C11703" w:rsidRPr="008902F2" w:rsidRDefault="00C11703" w:rsidP="00C11703">
      <w:pPr>
        <w:spacing w:after="0"/>
        <w:ind w:left="1346"/>
        <w:rPr>
          <w:rFonts w:ascii="Times New Roman" w:hAnsi="Times New Roman"/>
          <w:color w:val="000000" w:themeColor="text1"/>
          <w:lang w:val="en-GB"/>
        </w:rPr>
      </w:pPr>
    </w:p>
    <w:p w14:paraId="519CBC88" w14:textId="77777777" w:rsidR="00C11703" w:rsidRPr="008902F2" w:rsidRDefault="00C11703" w:rsidP="00C11703">
      <w:pPr>
        <w:spacing w:after="0"/>
        <w:ind w:left="1346"/>
        <w:rPr>
          <w:rFonts w:ascii="Times New Roman" w:hAnsi="Times New Roman"/>
          <w:color w:val="000000" w:themeColor="text1"/>
          <w:lang w:val="en-GB"/>
        </w:rPr>
      </w:pPr>
    </w:p>
    <w:p w14:paraId="04F99F27" w14:textId="77777777" w:rsidR="00C11703" w:rsidRPr="008902F2" w:rsidRDefault="00C11703" w:rsidP="00C11703">
      <w:pPr>
        <w:spacing w:before="120" w:after="120" w:line="269" w:lineRule="auto"/>
        <w:ind w:hanging="11"/>
        <w:rPr>
          <w:rFonts w:ascii="Times New Roman" w:hAnsi="Times New Roman"/>
          <w:color w:val="000000" w:themeColor="text1"/>
          <w:lang w:val="en-GB"/>
        </w:rPr>
      </w:pPr>
      <w:r w:rsidRPr="008902F2">
        <w:rPr>
          <w:rFonts w:ascii="Times New Roman" w:hAnsi="Times New Roman"/>
          <w:color w:val="000000" w:themeColor="text1"/>
          <w:lang w:val="en-GB"/>
        </w:rPr>
        <w:t xml:space="preserve">                                 </w:t>
      </w:r>
      <w:r w:rsidRPr="008902F2">
        <w:rPr>
          <w:rFonts w:ascii="Times New Roman" w:hAnsi="Times New Roman"/>
          <w:noProof/>
          <w:color w:val="000000" w:themeColor="text1"/>
          <w:lang w:val="en-US"/>
        </w:rPr>
        <w:drawing>
          <wp:inline distT="0" distB="0" distL="0" distR="0" wp14:anchorId="2E51B9FB" wp14:editId="1058AE46">
            <wp:extent cx="4584700" cy="2755900"/>
            <wp:effectExtent l="0" t="0" r="6350" b="6350"/>
            <wp:docPr id="963924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5B444D" w14:textId="77777777" w:rsidR="00C11703" w:rsidRPr="008902F2" w:rsidRDefault="00C11703" w:rsidP="00C11703">
      <w:pPr>
        <w:spacing w:before="120" w:after="120" w:line="269" w:lineRule="auto"/>
        <w:ind w:hanging="11"/>
        <w:rPr>
          <w:rFonts w:ascii="Times New Roman" w:hAnsi="Times New Roman"/>
          <w:color w:val="000000" w:themeColor="text1"/>
          <w:lang w:val="en-GB"/>
        </w:rPr>
      </w:pPr>
    </w:p>
    <w:p w14:paraId="03583377"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In the distribution of complaints by sector, the sector with the highest share is the electricity sector, with 151.943 complaints (71.9%). It is followed by the natural gas sector with 41.516 complaints (19.6%), other sectors with 8.078 complaints (3.8%), the petroleum sector with 8.988 complaints (4.3%), and the liquefied petroleum gases sector with 843 complaints (0.4%). Especially when interpreting these percentages for the electricity and natural gas sectors, it should be taken into consideration that there are over 67 million consumers/subscribers (both regulated and deregulated) in these sectors in the year 2022.</w:t>
      </w:r>
    </w:p>
    <w:p w14:paraId="69BB0883"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All the complaints that are included in the Authority's correspondence system are not directly sent to the sector departments for examination. Complaints that are not directly examined by the Authority and that need to be answered and evaluated by companies are forwarded to the relevant companies.</w:t>
      </w:r>
    </w:p>
    <w:p w14:paraId="474270D7"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following graph illustrates the percentages of complaints not only  hold within the Authority's correspondence system but also forwardedoutside the Authority for handling.</w:t>
      </w:r>
    </w:p>
    <w:p w14:paraId="5AEFCD7B" w14:textId="77777777" w:rsidR="00C11703" w:rsidRPr="008902F2" w:rsidRDefault="00C11703" w:rsidP="00C11703">
      <w:pPr>
        <w:keepNext/>
        <w:keepLines/>
        <w:spacing w:before="120" w:after="120" w:line="240" w:lineRule="auto"/>
        <w:jc w:val="center"/>
        <w:rPr>
          <w:rFonts w:ascii="Times New Roman" w:eastAsia="Cambria" w:hAnsi="Times New Roman"/>
          <w:color w:val="243F60"/>
          <w:lang w:val="en-GB"/>
        </w:rPr>
      </w:pPr>
      <w:r w:rsidRPr="008902F2">
        <w:rPr>
          <w:rFonts w:ascii="Times New Roman" w:eastAsia="Cambria" w:hAnsi="Times New Roman"/>
          <w:b/>
          <w:bCs/>
          <w:color w:val="243F60"/>
          <w:lang w:val="en-GB"/>
        </w:rPr>
        <w:lastRenderedPageBreak/>
        <w:t xml:space="preserve"> </w:t>
      </w:r>
      <w:r w:rsidRPr="008902F2">
        <w:rPr>
          <w:rFonts w:ascii="Times New Roman" w:eastAsia="Cambria" w:hAnsi="Times New Roman"/>
          <w:b/>
          <w:bCs/>
          <w:lang w:val="en-GB"/>
        </w:rPr>
        <w:t>Figure 9.4: Distribution of Complaint Notifications by Units Forwarded</w:t>
      </w:r>
    </w:p>
    <w:p w14:paraId="3CAADEAC" w14:textId="77777777" w:rsidR="00C11703" w:rsidRPr="008902F2" w:rsidRDefault="00C11703" w:rsidP="00C11703">
      <w:pPr>
        <w:spacing w:after="285"/>
        <w:ind w:left="1826"/>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35226FF9" wp14:editId="052E744F">
            <wp:extent cx="4036060" cy="2646045"/>
            <wp:effectExtent l="0" t="0" r="2540" b="1905"/>
            <wp:docPr id="15441002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36060" cy="2646045"/>
                    </a:xfrm>
                    <a:prstGeom prst="rect">
                      <a:avLst/>
                    </a:prstGeom>
                    <a:noFill/>
                  </pic:spPr>
                </pic:pic>
              </a:graphicData>
            </a:graphic>
          </wp:inline>
        </w:drawing>
      </w:r>
    </w:p>
    <w:p w14:paraId="022D310C" w14:textId="57FAEE66" w:rsidR="00C11703" w:rsidRPr="008902F2" w:rsidRDefault="00C11703" w:rsidP="00B21F39">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majority of complaints included in the Authority's correspondence system, with a share of 37%, forwarded to the related electricity distribution companies, 14% to electricity supply companies, 17% to natural gas companies, and 32% to the Market Departments of the EMRA.</w:t>
      </w:r>
    </w:p>
    <w:p w14:paraId="1ABF548E" w14:textId="77777777" w:rsidR="00C11703" w:rsidRPr="008902F2" w:rsidRDefault="00C11703" w:rsidP="00C11703">
      <w:pPr>
        <w:rPr>
          <w:rFonts w:ascii="Times New Roman" w:hAnsi="Times New Roman"/>
          <w:lang w:val="en-GB"/>
        </w:rPr>
      </w:pPr>
    </w:p>
    <w:p w14:paraId="391B9219" w14:textId="77777777" w:rsidR="00C11703" w:rsidRPr="008902F2" w:rsidRDefault="00C11703" w:rsidP="00B21F39">
      <w:pPr>
        <w:pStyle w:val="Balk3"/>
        <w:rPr>
          <w:rFonts w:ascii="Times New Roman" w:hAnsi="Times New Roman" w:cs="Times New Roman"/>
          <w:lang w:val="en-GB"/>
        </w:rPr>
      </w:pPr>
      <w:bookmarkStart w:id="198" w:name="_Toc143113480"/>
      <w:r w:rsidRPr="008902F2">
        <w:rPr>
          <w:rFonts w:ascii="Times New Roman" w:hAnsi="Times New Roman" w:cs="Times New Roman"/>
          <w:lang w:val="en-GB"/>
        </w:rPr>
        <w:t>9.2.3. Classification of Complaints Related to the Electricity Sector and Their Realizations</w:t>
      </w:r>
      <w:bookmarkEnd w:id="198"/>
    </w:p>
    <w:p w14:paraId="71C090A3" w14:textId="77777777"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Within the framework of consumer rights and protection, specific sub-classifications have been made under the complaint category for the electricity sector. In this period, 151.943 complaints processed under the complaint category, and the distribution, supply, and private supply company complaint categories are distributed as follows:</w:t>
      </w:r>
    </w:p>
    <w:p w14:paraId="0379A8F7"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6D53C6FF"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r w:rsidRPr="008902F2">
        <w:rPr>
          <w:rFonts w:ascii="Times New Roman" w:eastAsia="Cambria" w:hAnsi="Times New Roman"/>
          <w:b/>
          <w:bCs/>
          <w:lang w:val="en-GB"/>
        </w:rPr>
        <w:t>Shape 9.5: Percentage Distribution of Sub-Classification of Complaints Related to the Electricity Sector</w:t>
      </w:r>
    </w:p>
    <w:p w14:paraId="4206187A" w14:textId="77777777" w:rsidR="00C11703" w:rsidRPr="008902F2" w:rsidRDefault="00C11703" w:rsidP="00C11703">
      <w:pPr>
        <w:spacing w:after="51"/>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6230ADCC" wp14:editId="008866AC">
            <wp:extent cx="5773420" cy="3383280"/>
            <wp:effectExtent l="0" t="0" r="0" b="7620"/>
            <wp:docPr id="642820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3420" cy="3383280"/>
                    </a:xfrm>
                    <a:prstGeom prst="rect">
                      <a:avLst/>
                    </a:prstGeom>
                    <a:noFill/>
                  </pic:spPr>
                </pic:pic>
              </a:graphicData>
            </a:graphic>
          </wp:inline>
        </w:drawing>
      </w:r>
    </w:p>
    <w:p w14:paraId="7EE5D343" w14:textId="77777777" w:rsidR="00C11703" w:rsidRPr="008902F2" w:rsidRDefault="00C11703" w:rsidP="00C11703">
      <w:pPr>
        <w:spacing w:after="253"/>
        <w:rPr>
          <w:rFonts w:ascii="Times New Roman" w:hAnsi="Times New Roman"/>
          <w:color w:val="000000" w:themeColor="text1"/>
          <w:sz w:val="18"/>
          <w:szCs w:val="18"/>
          <w:lang w:val="en-GB"/>
        </w:rPr>
      </w:pPr>
      <w:r w:rsidRPr="008902F2">
        <w:rPr>
          <w:rFonts w:ascii="Times New Roman" w:hAnsi="Times New Roman"/>
          <w:color w:val="000000" w:themeColor="text1"/>
          <w:sz w:val="18"/>
          <w:szCs w:val="18"/>
          <w:lang w:val="en-GB"/>
        </w:rPr>
        <w:lastRenderedPageBreak/>
        <w:t>*In the Others category, there are miscellaneous complaints concerning more than one subject and the total of complaints with a very low percentage.</w:t>
      </w:r>
    </w:p>
    <w:p w14:paraId="51E6B477" w14:textId="77777777" w:rsidR="00C11703" w:rsidRPr="008902F2" w:rsidRDefault="00C11703" w:rsidP="00C11703">
      <w:pPr>
        <w:spacing w:after="206"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In the electricity market, the areas with the highest frequency of complaints related to distribution activities are as follows: 20.3% for Power Outages, 13.6% for Others, 10.8% for Investment/Initial Connection (Physical Connection to the Grid), and 24.2% for High Bill Complaints.</w:t>
      </w:r>
    </w:p>
    <w:p w14:paraId="1AA60E47" w14:textId="77777777" w:rsidR="00C11703" w:rsidRPr="008902F2" w:rsidRDefault="00C11703" w:rsidP="00C11703">
      <w:pPr>
        <w:spacing w:after="206"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numerical distribution of evaluated complaints specific to the electricity sector, categorized by months, is provided below:</w:t>
      </w:r>
    </w:p>
    <w:p w14:paraId="6F7E737C" w14:textId="77777777" w:rsidR="00C11703" w:rsidRPr="008902F2" w:rsidRDefault="00C11703" w:rsidP="00C11703">
      <w:pPr>
        <w:spacing w:after="0"/>
        <w:ind w:left="10" w:right="1" w:hanging="10"/>
        <w:jc w:val="center"/>
        <w:rPr>
          <w:rFonts w:ascii="Times New Roman" w:hAnsi="Times New Roman"/>
          <w:color w:val="000000" w:themeColor="text1"/>
          <w:lang w:val="en-GB"/>
        </w:rPr>
      </w:pPr>
    </w:p>
    <w:p w14:paraId="61215701"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r w:rsidRPr="008902F2">
        <w:rPr>
          <w:rFonts w:ascii="Times New Roman" w:eastAsia="Cambria" w:hAnsi="Times New Roman"/>
          <w:b/>
          <w:bCs/>
          <w:lang w:val="en-GB"/>
        </w:rPr>
        <w:t xml:space="preserve">Shape 9.6: Monthly Percentage Distribution of Notifications Processed in the Electricity Sector </w:t>
      </w:r>
    </w:p>
    <w:p w14:paraId="57139E0C" w14:textId="77777777" w:rsidR="00C11703" w:rsidRPr="008902F2" w:rsidRDefault="00C11703" w:rsidP="00C11703">
      <w:pPr>
        <w:spacing w:after="594"/>
        <w:ind w:left="414"/>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0BD775C2" wp14:editId="63CD3977">
            <wp:extent cx="5755005" cy="3218815"/>
            <wp:effectExtent l="0" t="0" r="0" b="635"/>
            <wp:docPr id="18351721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5005" cy="3218815"/>
                    </a:xfrm>
                    <a:prstGeom prst="rect">
                      <a:avLst/>
                    </a:prstGeom>
                    <a:noFill/>
                  </pic:spPr>
                </pic:pic>
              </a:graphicData>
            </a:graphic>
          </wp:inline>
        </w:drawing>
      </w:r>
    </w:p>
    <w:p w14:paraId="26A326A6"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Looking at the monthly realizations of the notifications, it is seen that the largest share belongs to January with 15%, followed by March with 12%.</w:t>
      </w:r>
    </w:p>
    <w:p w14:paraId="33FFCB52" w14:textId="77730852" w:rsidR="00C11703" w:rsidRPr="008902F2" w:rsidRDefault="00C11703" w:rsidP="00B21F39">
      <w:pPr>
        <w:pStyle w:val="Balk3"/>
        <w:rPr>
          <w:rFonts w:ascii="Times New Roman" w:hAnsi="Times New Roman" w:cs="Times New Roman"/>
          <w:lang w:val="en-GB"/>
        </w:rPr>
      </w:pPr>
      <w:bookmarkStart w:id="199" w:name="_Toc143113481"/>
      <w:r w:rsidRPr="008902F2">
        <w:rPr>
          <w:rFonts w:ascii="Times New Roman" w:hAnsi="Times New Roman" w:cs="Times New Roman"/>
          <w:lang w:val="en-GB"/>
        </w:rPr>
        <w:t>9.2.4. Classification of Complaints Related to the Natural Gas Sector and Their Realizations</w:t>
      </w:r>
      <w:bookmarkEnd w:id="199"/>
    </w:p>
    <w:p w14:paraId="7727E82B"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In relation to consumer rights and the protection of consumers, specific classifications have been established under the complaint category, taking into consideration the relevant legislation. For the natural gas sector, the following sub-classifications are created: Incorrect Billing, Connection/Service Line, Meter Reading Time, Other, Billing Item Objections, Unpaid Debt in Due Time, Meter Reading, Meter Fees, Meter Replacement and Maintenance Fees, Billing Period/Final Payment Date, Personnel/Company Communication (Behavior of Personnel, Inaccessibility to Company Phones, etc.), Service Interruptions, Service Box, Internal Installation Firm Procedures, Unauthorized Usage Charges, Deposit Fee and Refund, Subscription Agreement, Failure or Delay of Distribution Company's Appointment, Limited Sales, and Failure to Respond to Applications Within the Specified Period.</w:t>
      </w:r>
    </w:p>
    <w:p w14:paraId="5102C297"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 xml:space="preserve">For this period, 45.125 notifications subject to the complaint category were processed, and the distribution of the first 13 complaint categories on the basis of sub-classifications is given below: </w:t>
      </w:r>
    </w:p>
    <w:p w14:paraId="71EFF631" w14:textId="77777777" w:rsidR="00C11703" w:rsidRPr="008902F2" w:rsidRDefault="00C11703" w:rsidP="00C11703">
      <w:pPr>
        <w:spacing w:after="315" w:line="269" w:lineRule="auto"/>
        <w:ind w:hanging="9"/>
        <w:rPr>
          <w:rFonts w:ascii="Times New Roman" w:hAnsi="Times New Roman"/>
          <w:color w:val="000000" w:themeColor="text1"/>
          <w:lang w:val="en-GB"/>
        </w:rPr>
      </w:pPr>
    </w:p>
    <w:p w14:paraId="1DC49FC0" w14:textId="77777777" w:rsidR="00C11703" w:rsidRPr="008902F2" w:rsidRDefault="00C11703" w:rsidP="00C11703">
      <w:pPr>
        <w:spacing w:after="315" w:line="269" w:lineRule="auto"/>
        <w:ind w:hanging="9"/>
        <w:rPr>
          <w:rFonts w:ascii="Times New Roman" w:hAnsi="Times New Roman"/>
          <w:color w:val="000000" w:themeColor="text1"/>
          <w:lang w:val="en-GB"/>
        </w:rPr>
      </w:pPr>
    </w:p>
    <w:p w14:paraId="1B315C99" w14:textId="77777777" w:rsidR="00C11703" w:rsidRPr="008902F2" w:rsidRDefault="00C11703" w:rsidP="00C11703">
      <w:pPr>
        <w:spacing w:after="315" w:line="269" w:lineRule="auto"/>
        <w:ind w:hanging="9"/>
        <w:rPr>
          <w:rFonts w:ascii="Times New Roman" w:hAnsi="Times New Roman"/>
          <w:color w:val="000000" w:themeColor="text1"/>
          <w:lang w:val="en-GB"/>
        </w:rPr>
      </w:pPr>
    </w:p>
    <w:p w14:paraId="4FBA16DF" w14:textId="77777777" w:rsidR="00C11703" w:rsidRPr="008902F2" w:rsidRDefault="00C11703" w:rsidP="00C11703">
      <w:pPr>
        <w:keepNext/>
        <w:keepLines/>
        <w:spacing w:before="120" w:after="120" w:line="240" w:lineRule="auto"/>
        <w:jc w:val="center"/>
        <w:rPr>
          <w:rFonts w:ascii="Times New Roman" w:eastAsia="Cambria" w:hAnsi="Times New Roman"/>
          <w:b/>
          <w:bCs/>
          <w:lang w:val="en-GB"/>
        </w:rPr>
      </w:pPr>
      <w:r w:rsidRPr="008902F2">
        <w:rPr>
          <w:rFonts w:ascii="Times New Roman" w:eastAsia="Cambria" w:hAnsi="Times New Roman"/>
          <w:b/>
          <w:bCs/>
          <w:lang w:val="en-GB"/>
        </w:rPr>
        <w:t>Shape 9.7: Percentage Distribution of Subclassification of Complaints Related to the Natural Gas Sector</w:t>
      </w:r>
    </w:p>
    <w:p w14:paraId="310C592E"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p>
    <w:p w14:paraId="41C61054" w14:textId="77777777" w:rsidR="00C11703" w:rsidRPr="008902F2" w:rsidRDefault="00C11703" w:rsidP="00C11703">
      <w:pPr>
        <w:spacing w:after="41"/>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53227317" wp14:editId="6BA62E3E">
            <wp:extent cx="6120765" cy="2871470"/>
            <wp:effectExtent l="0" t="0" r="0" b="5080"/>
            <wp:docPr id="1965483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0765" cy="2871470"/>
                    </a:xfrm>
                    <a:prstGeom prst="rect">
                      <a:avLst/>
                    </a:prstGeom>
                    <a:noFill/>
                  </pic:spPr>
                </pic:pic>
              </a:graphicData>
            </a:graphic>
          </wp:inline>
        </w:drawing>
      </w:r>
    </w:p>
    <w:p w14:paraId="666D3F74"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08283649" w14:textId="77777777"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"Others" category includes miscellaneous complaints that relate to multiple topics, and it encompasses complaints with very low percentages.</w:t>
      </w:r>
    </w:p>
    <w:p w14:paraId="09B74CA4"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5803D2F1" w14:textId="77777777"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Within the natural gas sector, the complaint topic namely of "Connection/Service Line" accounts for the highest majority, with a percentage of 61%. This is followed by other categories.</w:t>
      </w:r>
    </w:p>
    <w:p w14:paraId="25C05D91"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5FD23A5F" w14:textId="77777777" w:rsidR="00C11703" w:rsidRPr="008902F2" w:rsidRDefault="00C11703" w:rsidP="00C11703">
      <w:pPr>
        <w:spacing w:after="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The percentage distribution of processed complaints related to the natural gas sector, based on months, is provided below:</w:t>
      </w:r>
    </w:p>
    <w:p w14:paraId="1F163F48" w14:textId="77777777" w:rsidR="00C11703" w:rsidRPr="008902F2" w:rsidRDefault="00C11703" w:rsidP="00C11703">
      <w:pPr>
        <w:spacing w:after="5" w:line="269" w:lineRule="auto"/>
        <w:ind w:hanging="9"/>
        <w:rPr>
          <w:rFonts w:ascii="Times New Roman" w:hAnsi="Times New Roman"/>
          <w:color w:val="000000" w:themeColor="text1"/>
          <w:lang w:val="en-GB"/>
        </w:rPr>
      </w:pPr>
    </w:p>
    <w:p w14:paraId="2C883368" w14:textId="13133B49" w:rsidR="00C11703" w:rsidRPr="008902F2" w:rsidRDefault="00C11703" w:rsidP="00B21F39">
      <w:pPr>
        <w:keepNext/>
        <w:keepLines/>
        <w:spacing w:before="120" w:after="120" w:line="240" w:lineRule="auto"/>
        <w:jc w:val="center"/>
        <w:rPr>
          <w:rFonts w:ascii="Times New Roman" w:eastAsia="Cambria" w:hAnsi="Times New Roman"/>
          <w:lang w:val="en-GB"/>
        </w:rPr>
      </w:pPr>
      <w:r w:rsidRPr="008902F2">
        <w:rPr>
          <w:rFonts w:ascii="Times New Roman" w:eastAsia="Cambria" w:hAnsi="Times New Roman"/>
          <w:b/>
          <w:bCs/>
          <w:lang w:val="en-GB"/>
        </w:rPr>
        <w:lastRenderedPageBreak/>
        <w:t xml:space="preserve">Figure 9.8: Monthly Percentage Distribution of Notifications Processed in the Natural Gas Sector </w:t>
      </w:r>
    </w:p>
    <w:p w14:paraId="0028E517" w14:textId="77777777" w:rsidR="00C11703" w:rsidRPr="008902F2" w:rsidRDefault="00C11703" w:rsidP="00C11703">
      <w:pPr>
        <w:spacing w:after="285"/>
        <w:ind w:left="424"/>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6148E826" wp14:editId="44FEDBBC">
            <wp:extent cx="5547995" cy="2743200"/>
            <wp:effectExtent l="0" t="0" r="0" b="0"/>
            <wp:docPr id="3535984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47995" cy="2743200"/>
                    </a:xfrm>
                    <a:prstGeom prst="rect">
                      <a:avLst/>
                    </a:prstGeom>
                    <a:noFill/>
                  </pic:spPr>
                </pic:pic>
              </a:graphicData>
            </a:graphic>
          </wp:inline>
        </w:drawing>
      </w:r>
    </w:p>
    <w:p w14:paraId="3BE961B2" w14:textId="77777777" w:rsidR="00C11703" w:rsidRPr="008902F2" w:rsidRDefault="00C11703" w:rsidP="00C11703">
      <w:pPr>
        <w:spacing w:after="305" w:line="268" w:lineRule="auto"/>
        <w:ind w:left="10" w:hanging="10"/>
        <w:rPr>
          <w:rFonts w:ascii="Times New Roman" w:hAnsi="Times New Roman"/>
          <w:color w:val="000000" w:themeColor="text1"/>
          <w:lang w:val="en-GB"/>
        </w:rPr>
      </w:pPr>
      <w:r w:rsidRPr="008902F2">
        <w:rPr>
          <w:rFonts w:ascii="Times New Roman" w:hAnsi="Times New Roman"/>
          <w:color w:val="000000" w:themeColor="text1"/>
          <w:lang w:val="en-GB"/>
        </w:rPr>
        <w:t>When looking at the monthly distribution of complaints, the largest share, with a percentage of 19%, belongs to the month of November. This is followed by December and June.</w:t>
      </w:r>
    </w:p>
    <w:p w14:paraId="0355C84E" w14:textId="77777777" w:rsidR="00C11703" w:rsidRPr="008902F2" w:rsidRDefault="00C11703" w:rsidP="00B21F39">
      <w:pPr>
        <w:pStyle w:val="Balk3"/>
        <w:rPr>
          <w:rFonts w:ascii="Times New Roman" w:hAnsi="Times New Roman" w:cs="Times New Roman"/>
          <w:lang w:val="en-GB"/>
        </w:rPr>
      </w:pPr>
      <w:bookmarkStart w:id="200" w:name="_Toc143113482"/>
      <w:r w:rsidRPr="008902F2">
        <w:rPr>
          <w:rFonts w:ascii="Times New Roman" w:hAnsi="Times New Roman" w:cs="Times New Roman"/>
          <w:lang w:val="en-GB"/>
        </w:rPr>
        <w:t>9.2.5. Classification of Complaints Related to the Petroleum Sector and Their Realizations</w:t>
      </w:r>
      <w:bookmarkEnd w:id="200"/>
    </w:p>
    <w:p w14:paraId="0CF203A6" w14:textId="77777777" w:rsidR="00C11703" w:rsidRPr="008902F2" w:rsidRDefault="00C11703" w:rsidP="00B21F39">
      <w:pPr>
        <w:rPr>
          <w:rFonts w:ascii="Times New Roman" w:hAnsi="Times New Roman"/>
          <w:lang w:val="en-GB"/>
        </w:rPr>
      </w:pPr>
      <w:r w:rsidRPr="008902F2">
        <w:rPr>
          <w:rFonts w:ascii="Times New Roman" w:hAnsi="Times New Roman"/>
          <w:lang w:val="en-GB"/>
        </w:rPr>
        <w:t>Under the complaint category, various subcategories specific to the petroleum sector have been identified, including Fuel Price and Price Increases, Others, Low Fuel Quality in Defience of Technical Regulations, Failure to Implement Timely Price Increases and Decreases, Customer Service and Quality, Insufficient Fuel Supply, Facility Safety (GSM license, essential documents for licensing, distance limitations, etc.), Legislation/Recommendations, Cases Out of the Authority’s Scope, Differentiations Between Pump Prices and Announced Ones, Violation of Competition Rules, Off-Vehicle Fuel Supply (Cans, drums, etc.), Reporting of Oil Smuggling, Behaviors of Company Employees, Loyalty Card Programs, etc. During this period, 9.191 complaint notifications were processed. The petroleum sector accounts for a share of 4.3% among the total complaints received by the Authority. The distribution of the top 10 complaint subcategories for this period is provided below.</w:t>
      </w:r>
    </w:p>
    <w:p w14:paraId="3B82AA55" w14:textId="77777777" w:rsidR="00C11703" w:rsidRPr="008902F2" w:rsidRDefault="00C11703" w:rsidP="00C11703">
      <w:pPr>
        <w:keepNext/>
        <w:keepLines/>
        <w:spacing w:before="120" w:after="120" w:line="240" w:lineRule="auto"/>
        <w:jc w:val="center"/>
        <w:rPr>
          <w:rFonts w:ascii="Times New Roman" w:eastAsia="Cambria" w:hAnsi="Times New Roman"/>
          <w:b/>
          <w:bCs/>
          <w:lang w:val="en-GB"/>
        </w:rPr>
      </w:pPr>
      <w:r w:rsidRPr="008902F2">
        <w:rPr>
          <w:rFonts w:ascii="Times New Roman" w:eastAsia="Cambria" w:hAnsi="Times New Roman"/>
          <w:b/>
          <w:bCs/>
          <w:lang w:val="en-GB"/>
        </w:rPr>
        <w:t>Shape 9.9: Percentage Distribution of Subclassification of Complaints Related to the Petroleum Sector</w:t>
      </w:r>
    </w:p>
    <w:p w14:paraId="1ECD4D1B" w14:textId="77777777" w:rsidR="00C11703" w:rsidRPr="008902F2" w:rsidRDefault="00C11703" w:rsidP="00C11703">
      <w:pPr>
        <w:keepNext/>
        <w:keepLines/>
        <w:spacing w:before="120" w:after="120" w:line="240" w:lineRule="auto"/>
        <w:jc w:val="center"/>
        <w:rPr>
          <w:rFonts w:ascii="Times New Roman" w:eastAsia="Cambria" w:hAnsi="Times New Roman"/>
          <w:color w:val="243F60"/>
          <w:lang w:val="en-GB"/>
        </w:rPr>
      </w:pPr>
    </w:p>
    <w:p w14:paraId="4513D090" w14:textId="77777777" w:rsidR="00C11703" w:rsidRPr="008902F2" w:rsidRDefault="00C11703" w:rsidP="00C11703">
      <w:pPr>
        <w:spacing w:after="5" w:line="268" w:lineRule="auto"/>
        <w:ind w:left="-5" w:hanging="10"/>
        <w:jc w:val="center"/>
        <w:rPr>
          <w:rFonts w:ascii="Times New Roman" w:hAnsi="Times New Roman"/>
          <w:color w:val="000000" w:themeColor="text1"/>
          <w:sz w:val="18"/>
          <w:szCs w:val="18"/>
          <w:lang w:val="en-GB"/>
        </w:rPr>
      </w:pPr>
      <w:r w:rsidRPr="008902F2">
        <w:rPr>
          <w:rFonts w:ascii="Times New Roman" w:hAnsi="Times New Roman"/>
          <w:noProof/>
          <w:color w:val="000000" w:themeColor="text1"/>
          <w:sz w:val="18"/>
          <w:szCs w:val="18"/>
          <w:lang w:val="en-US"/>
        </w:rPr>
        <w:drawing>
          <wp:inline distT="0" distB="0" distL="0" distR="0" wp14:anchorId="0040A4A6" wp14:editId="4AF9369E">
            <wp:extent cx="5700395" cy="2554605"/>
            <wp:effectExtent l="0" t="0" r="0" b="0"/>
            <wp:docPr id="19835974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00395" cy="2554605"/>
                    </a:xfrm>
                    <a:prstGeom prst="rect">
                      <a:avLst/>
                    </a:prstGeom>
                    <a:noFill/>
                  </pic:spPr>
                </pic:pic>
              </a:graphicData>
            </a:graphic>
          </wp:inline>
        </w:drawing>
      </w:r>
    </w:p>
    <w:p w14:paraId="2434F04B" w14:textId="77777777" w:rsidR="00C11703" w:rsidRPr="008902F2" w:rsidRDefault="00C11703" w:rsidP="00C11703">
      <w:pPr>
        <w:spacing w:after="5" w:line="268" w:lineRule="auto"/>
        <w:ind w:left="-5" w:hanging="10"/>
        <w:jc w:val="center"/>
        <w:rPr>
          <w:rFonts w:ascii="Times New Roman" w:hAnsi="Times New Roman"/>
          <w:color w:val="000000" w:themeColor="text1"/>
          <w:sz w:val="18"/>
          <w:szCs w:val="18"/>
          <w:lang w:val="en-GB"/>
        </w:rPr>
      </w:pPr>
    </w:p>
    <w:p w14:paraId="1DF327C4" w14:textId="77777777" w:rsidR="00C11703" w:rsidRPr="008902F2" w:rsidRDefault="00C11703" w:rsidP="00C11703">
      <w:pPr>
        <w:spacing w:after="5" w:line="268" w:lineRule="auto"/>
        <w:ind w:left="-5" w:hanging="10"/>
        <w:rPr>
          <w:rFonts w:ascii="Times New Roman" w:hAnsi="Times New Roman"/>
          <w:color w:val="000000" w:themeColor="text1"/>
          <w:sz w:val="18"/>
          <w:szCs w:val="18"/>
          <w:lang w:val="en-GB"/>
        </w:rPr>
      </w:pPr>
      <w:r w:rsidRPr="008902F2">
        <w:rPr>
          <w:rFonts w:ascii="Times New Roman" w:hAnsi="Times New Roman"/>
          <w:color w:val="000000" w:themeColor="text1"/>
          <w:lang w:val="en-GB"/>
        </w:rPr>
        <w:t xml:space="preserve"> </w:t>
      </w:r>
      <w:r w:rsidRPr="008902F2">
        <w:rPr>
          <w:rFonts w:ascii="Times New Roman" w:hAnsi="Times New Roman"/>
          <w:color w:val="000000" w:themeColor="text1"/>
          <w:sz w:val="18"/>
          <w:szCs w:val="18"/>
          <w:lang w:val="en-GB"/>
        </w:rPr>
        <w:t>*In the Others category, there are miscellaneous complaints concerning more than one subject and the total of complaints with a very low percentage.</w:t>
      </w:r>
    </w:p>
    <w:p w14:paraId="14495EBA" w14:textId="77777777" w:rsidR="00C11703" w:rsidRPr="008902F2" w:rsidRDefault="00C11703" w:rsidP="00B21F39">
      <w:pPr>
        <w:pStyle w:val="Balk3"/>
        <w:rPr>
          <w:rFonts w:ascii="Times New Roman" w:hAnsi="Times New Roman" w:cs="Times New Roman"/>
          <w:lang w:val="en-GB"/>
        </w:rPr>
      </w:pPr>
      <w:bookmarkStart w:id="201" w:name="_Toc143113483"/>
      <w:r w:rsidRPr="008902F2">
        <w:rPr>
          <w:rFonts w:ascii="Times New Roman" w:hAnsi="Times New Roman" w:cs="Times New Roman"/>
          <w:lang w:val="en-GB"/>
        </w:rPr>
        <w:t>9.2.6. Classification of Complaints Related to the Liquefied Petroleum Gases Sector and Their Realizations</w:t>
      </w:r>
      <w:bookmarkEnd w:id="201"/>
      <w:r w:rsidRPr="008902F2">
        <w:rPr>
          <w:rFonts w:ascii="Times New Roman" w:hAnsi="Times New Roman" w:cs="Times New Roman"/>
          <w:lang w:val="en-GB"/>
        </w:rPr>
        <w:t xml:space="preserve"> </w:t>
      </w:r>
    </w:p>
    <w:p w14:paraId="5DC3B4D9"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Taking into account the relevant legislation and within the framework of consumer rights and consumer protection, subcategories have been established under the Complaint category for the Liquefied Petroleum Gases (LPG) sector, including LPG Price and Price Increases, Others, Failure to Implement Timely Price Increases and Decreases, Low LPG Quality in Defience of Technical Regulations, Customer Service and Quality, Cases Out of the Authority’s</w:t>
      </w:r>
      <w:r w:rsidRPr="008902F2">
        <w:rPr>
          <w:rFonts w:ascii="Times New Roman" w:hAnsi="Times New Roman"/>
          <w:b/>
          <w:color w:val="000000" w:themeColor="text1"/>
          <w:lang w:val="en-GB"/>
        </w:rPr>
        <w:t xml:space="preserve"> </w:t>
      </w:r>
      <w:r w:rsidRPr="008902F2">
        <w:rPr>
          <w:rFonts w:ascii="Times New Roman" w:hAnsi="Times New Roman"/>
          <w:color w:val="000000" w:themeColor="text1"/>
          <w:lang w:val="en-GB"/>
        </w:rPr>
        <w:t>Scope, Violation of Competition Rules, Legislation/Recommendations (GSM license, essential documents for licensing, distance limitations, etc.), Reporting of Smuggled LPG Sales, Facility Safety, Differentiations Between Pump Prices and Announced Ones etc.</w:t>
      </w:r>
    </w:p>
    <w:p w14:paraId="37FDDA46" w14:textId="77777777" w:rsidR="00C11703" w:rsidRPr="008902F2" w:rsidRDefault="00C11703" w:rsidP="00C11703">
      <w:pPr>
        <w:spacing w:after="315" w:line="269" w:lineRule="auto"/>
        <w:ind w:hanging="9"/>
        <w:rPr>
          <w:rFonts w:ascii="Times New Roman" w:hAnsi="Times New Roman"/>
          <w:color w:val="000000" w:themeColor="text1"/>
          <w:lang w:val="en-GB"/>
        </w:rPr>
      </w:pPr>
    </w:p>
    <w:p w14:paraId="20AB896C" w14:textId="77777777" w:rsidR="00C11703" w:rsidRPr="008902F2" w:rsidRDefault="00C11703" w:rsidP="00C11703">
      <w:pPr>
        <w:spacing w:after="315" w:line="269" w:lineRule="auto"/>
        <w:ind w:hanging="9"/>
        <w:rPr>
          <w:rFonts w:ascii="Times New Roman" w:hAnsi="Times New Roman"/>
          <w:color w:val="000000" w:themeColor="text1"/>
          <w:lang w:val="en-GB"/>
        </w:rPr>
      </w:pPr>
      <w:r w:rsidRPr="008902F2">
        <w:rPr>
          <w:rFonts w:ascii="Times New Roman" w:hAnsi="Times New Roman"/>
          <w:color w:val="000000" w:themeColor="text1"/>
          <w:lang w:val="en-GB"/>
        </w:rPr>
        <w:t>During this period, a total of 902 complaint reports was processed. The LPG sector accounts for a share of 0,4% among the total complaints received by the Authority.. The distribution of complaint reports for the Liquefied Petroleum Gases (LPG) sector by subcategory is provided below.</w:t>
      </w:r>
    </w:p>
    <w:p w14:paraId="6FC3AD7A" w14:textId="77777777" w:rsidR="00C11703" w:rsidRPr="008902F2" w:rsidRDefault="00C11703" w:rsidP="00C11703">
      <w:pPr>
        <w:spacing w:after="315" w:line="269" w:lineRule="auto"/>
        <w:ind w:hanging="9"/>
        <w:rPr>
          <w:rFonts w:ascii="Times New Roman" w:hAnsi="Times New Roman"/>
          <w:color w:val="000000" w:themeColor="text1"/>
          <w:lang w:val="en-GB"/>
        </w:rPr>
      </w:pPr>
    </w:p>
    <w:p w14:paraId="40E318D5" w14:textId="77777777" w:rsidR="00C11703" w:rsidRPr="008902F2" w:rsidRDefault="00C11703" w:rsidP="00C11703">
      <w:pPr>
        <w:keepNext/>
        <w:keepLines/>
        <w:spacing w:before="120" w:after="120" w:line="240" w:lineRule="auto"/>
        <w:jc w:val="center"/>
        <w:rPr>
          <w:rFonts w:ascii="Times New Roman" w:eastAsia="Cambria" w:hAnsi="Times New Roman"/>
          <w:b/>
          <w:bCs/>
          <w:lang w:val="en-GB"/>
        </w:rPr>
      </w:pPr>
      <w:r w:rsidRPr="008902F2">
        <w:rPr>
          <w:rFonts w:ascii="Times New Roman" w:eastAsia="Cambria" w:hAnsi="Times New Roman"/>
          <w:b/>
          <w:bCs/>
          <w:lang w:val="en-GB"/>
        </w:rPr>
        <w:t>Figure 9.10: Percentage Distribution of Subclassification of Complaints Related to LPG Sector</w:t>
      </w:r>
    </w:p>
    <w:p w14:paraId="633C726D" w14:textId="77777777" w:rsidR="00C11703" w:rsidRPr="008902F2" w:rsidRDefault="00C11703" w:rsidP="00C11703">
      <w:pPr>
        <w:keepNext/>
        <w:keepLines/>
        <w:spacing w:before="120" w:after="120" w:line="240" w:lineRule="auto"/>
        <w:jc w:val="center"/>
        <w:rPr>
          <w:rFonts w:ascii="Times New Roman" w:eastAsia="Cambria" w:hAnsi="Times New Roman"/>
          <w:lang w:val="en-GB"/>
        </w:rPr>
      </w:pPr>
    </w:p>
    <w:p w14:paraId="20FEB1A4" w14:textId="77777777" w:rsidR="00C11703" w:rsidRPr="008902F2" w:rsidRDefault="00C11703" w:rsidP="00C11703">
      <w:pPr>
        <w:spacing w:after="54"/>
        <w:ind w:right="-130"/>
        <w:rPr>
          <w:rFonts w:ascii="Times New Roman" w:hAnsi="Times New Roman"/>
          <w:color w:val="000000" w:themeColor="text1"/>
          <w:lang w:val="en-GB"/>
        </w:rPr>
      </w:pPr>
      <w:r w:rsidRPr="008902F2">
        <w:rPr>
          <w:rFonts w:ascii="Times New Roman" w:hAnsi="Times New Roman"/>
          <w:noProof/>
          <w:color w:val="000000" w:themeColor="text1"/>
          <w:lang w:val="en-US"/>
        </w:rPr>
        <w:drawing>
          <wp:inline distT="0" distB="0" distL="0" distR="0" wp14:anchorId="55B11BB9" wp14:editId="068165A5">
            <wp:extent cx="4779645" cy="2822575"/>
            <wp:effectExtent l="0" t="0" r="1905" b="0"/>
            <wp:docPr id="146480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79645" cy="2822575"/>
                    </a:xfrm>
                    <a:prstGeom prst="rect">
                      <a:avLst/>
                    </a:prstGeom>
                    <a:noFill/>
                  </pic:spPr>
                </pic:pic>
              </a:graphicData>
            </a:graphic>
          </wp:inline>
        </w:drawing>
      </w:r>
    </w:p>
    <w:p w14:paraId="65F1A596" w14:textId="77777777" w:rsidR="00C11703" w:rsidRPr="008902F2" w:rsidRDefault="00C11703" w:rsidP="00C11703">
      <w:pPr>
        <w:contextualSpacing/>
        <w:rPr>
          <w:rFonts w:ascii="Times New Roman" w:hAnsi="Times New Roman"/>
          <w:lang w:val="en-GB"/>
        </w:rPr>
      </w:pPr>
      <w:r w:rsidRPr="008902F2">
        <w:rPr>
          <w:rFonts w:ascii="Times New Roman" w:hAnsi="Times New Roman"/>
          <w:color w:val="000000" w:themeColor="text1"/>
          <w:sz w:val="18"/>
          <w:szCs w:val="18"/>
          <w:lang w:val="en-GB"/>
        </w:rPr>
        <w:t>*In the Others category, there are miscellaneous complaints concerning more than one subject and the total of complaints with a very low percentage</w:t>
      </w:r>
    </w:p>
    <w:p w14:paraId="74E4C379" w14:textId="77777777" w:rsidR="00C11703" w:rsidRPr="008902F2" w:rsidRDefault="00C11703" w:rsidP="00B21F39">
      <w:pPr>
        <w:pStyle w:val="Balk1"/>
        <w:rPr>
          <w:rFonts w:ascii="Times New Roman" w:hAnsi="Times New Roman" w:cs="Times New Roman"/>
          <w:lang w:val="en-GB"/>
        </w:rPr>
      </w:pPr>
      <w:bookmarkStart w:id="202" w:name="_Toc143113484"/>
      <w:r w:rsidRPr="008902F2">
        <w:rPr>
          <w:rFonts w:ascii="Times New Roman" w:hAnsi="Times New Roman" w:cs="Times New Roman"/>
          <w:lang w:val="en-GB"/>
        </w:rPr>
        <w:t>10. PRESS AND PUBLIC RELATIONS</w:t>
      </w:r>
      <w:bookmarkEnd w:id="202"/>
    </w:p>
    <w:p w14:paraId="072BEE60" w14:textId="77777777"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 xml:space="preserve">In 2022, activities related to monitoring and evaluating publications regarding the energy sector and the Authority's operations, responding to written and verbal questions from journalists directed to the agency, informing the public about the electricity, natural gas, petroleum, and LPG sectors, and fulfilling other </w:t>
      </w:r>
      <w:r w:rsidRPr="008902F2">
        <w:rPr>
          <w:rFonts w:ascii="Times New Roman" w:hAnsi="Times New Roman"/>
          <w:color w:val="000000" w:themeColor="text1"/>
          <w:lang w:val="en-GB"/>
        </w:rPr>
        <w:lastRenderedPageBreak/>
        <w:t>organizational duties assigned by the President were carried out. News articles were created about the Authority's activities and disseminated to the public through media outlets, and press releases were issued when necessary.</w:t>
      </w:r>
    </w:p>
    <w:p w14:paraId="3B647E44" w14:textId="44DF37AE"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 xml:space="preserve">Decisions of the Board that concern consumer rights and require public awareness were transformed into news articles to inform the public through press and media outlets. Meetings were organized with associations operating in the energy sector, the agency's President, Board Members, </w:t>
      </w:r>
      <w:r w:rsidR="00420211" w:rsidRPr="008902F2">
        <w:rPr>
          <w:rFonts w:ascii="Times New Roman" w:hAnsi="Times New Roman"/>
          <w:color w:val="000000" w:themeColor="text1"/>
          <w:lang w:val="en-GB"/>
        </w:rPr>
        <w:t>and the</w:t>
      </w:r>
      <w:r w:rsidRPr="008902F2">
        <w:rPr>
          <w:rFonts w:ascii="Times New Roman" w:hAnsi="Times New Roman"/>
          <w:color w:val="000000" w:themeColor="text1"/>
          <w:lang w:val="en-GB"/>
        </w:rPr>
        <w:t xml:space="preserve"> staff of the related service </w:t>
      </w:r>
      <w:r w:rsidR="00420211" w:rsidRPr="008902F2">
        <w:rPr>
          <w:rFonts w:ascii="Times New Roman" w:hAnsi="Times New Roman"/>
          <w:color w:val="000000" w:themeColor="text1"/>
          <w:lang w:val="en-GB"/>
        </w:rPr>
        <w:t>units attended</w:t>
      </w:r>
      <w:r w:rsidRPr="008902F2">
        <w:rPr>
          <w:rFonts w:ascii="Times New Roman" w:hAnsi="Times New Roman"/>
          <w:color w:val="000000" w:themeColor="text1"/>
          <w:lang w:val="en-GB"/>
        </w:rPr>
        <w:t>.</w:t>
      </w:r>
    </w:p>
    <w:p w14:paraId="194CC2AF" w14:textId="79AAFD0B" w:rsidR="00C11703" w:rsidRPr="008902F2" w:rsidRDefault="00C11703" w:rsidP="00C11703">
      <w:pPr>
        <w:rPr>
          <w:rFonts w:ascii="Times New Roman" w:hAnsi="Times New Roman"/>
          <w:color w:val="000000" w:themeColor="text1"/>
          <w:lang w:val="en-GB"/>
        </w:rPr>
      </w:pPr>
      <w:r w:rsidRPr="008902F2">
        <w:rPr>
          <w:rFonts w:ascii="Times New Roman" w:hAnsi="Times New Roman"/>
          <w:color w:val="000000" w:themeColor="text1"/>
          <w:lang w:val="en-GB"/>
        </w:rPr>
        <w:t>In the press, around 10.134 written news articles and 5.608 TV news were published about the Authority in 2022. The Authority issued 11 press releases. The President of the Authority participated as a speaker in 10 public programs (conferences, teleconferences, live TV broadcasts) on behalf of the Authority.</w:t>
      </w:r>
    </w:p>
    <w:p w14:paraId="30D56E18" w14:textId="77777777" w:rsidR="00C11703" w:rsidRPr="008902F2" w:rsidRDefault="00C11703" w:rsidP="00C11703">
      <w:pPr>
        <w:contextualSpacing/>
        <w:rPr>
          <w:rFonts w:ascii="Times New Roman" w:hAnsi="Times New Roman"/>
          <w:color w:val="000000" w:themeColor="text1"/>
          <w:sz w:val="18"/>
          <w:szCs w:val="18"/>
          <w:lang w:val="en-GB"/>
        </w:rPr>
      </w:pPr>
    </w:p>
    <w:p w14:paraId="06ED633E" w14:textId="77777777" w:rsidR="00C11703" w:rsidRPr="008902F2" w:rsidRDefault="00C11703" w:rsidP="00C11703">
      <w:pPr>
        <w:contextualSpacing/>
        <w:rPr>
          <w:rFonts w:ascii="Times New Roman" w:hAnsi="Times New Roman"/>
          <w:color w:val="000000" w:themeColor="text1"/>
          <w:sz w:val="18"/>
          <w:szCs w:val="18"/>
          <w:lang w:val="en-GB"/>
        </w:rPr>
      </w:pPr>
    </w:p>
    <w:p w14:paraId="5C04F0CD" w14:textId="2CFE41DF" w:rsidR="00C11703" w:rsidRPr="008902F2" w:rsidRDefault="00420211" w:rsidP="00420211">
      <w:pPr>
        <w:pStyle w:val="Balk1"/>
        <w:rPr>
          <w:rFonts w:ascii="Times New Roman" w:hAnsi="Times New Roman" w:cs="Times New Roman"/>
          <w:lang w:val="en-GB"/>
        </w:rPr>
      </w:pPr>
      <w:bookmarkStart w:id="203" w:name="_Toc143113485"/>
      <w:r w:rsidRPr="008902F2">
        <w:rPr>
          <w:rFonts w:ascii="Times New Roman" w:hAnsi="Times New Roman" w:cs="Times New Roman"/>
          <w:lang w:val="en-GB"/>
        </w:rPr>
        <w:t xml:space="preserve">11. </w:t>
      </w:r>
      <w:r w:rsidR="00C11703" w:rsidRPr="008902F2">
        <w:rPr>
          <w:rFonts w:ascii="Times New Roman" w:hAnsi="Times New Roman" w:cs="Times New Roman"/>
          <w:lang w:val="en-GB"/>
        </w:rPr>
        <w:t>RELATIONS WITH OTHER INSTITUTIONS</w:t>
      </w:r>
      <w:bookmarkEnd w:id="203"/>
    </w:p>
    <w:p w14:paraId="4496D9EA" w14:textId="48A4E9D2" w:rsidR="00C11703" w:rsidRPr="008902F2" w:rsidRDefault="00420211" w:rsidP="00420211">
      <w:pPr>
        <w:pStyle w:val="Balk2"/>
        <w:rPr>
          <w:rFonts w:ascii="Times New Roman" w:hAnsi="Times New Roman" w:cs="Times New Roman"/>
          <w:lang w:val="en-GB"/>
        </w:rPr>
      </w:pPr>
      <w:bookmarkStart w:id="204" w:name="_Toc143113486"/>
      <w:r w:rsidRPr="008902F2">
        <w:rPr>
          <w:rFonts w:ascii="Times New Roman" w:hAnsi="Times New Roman" w:cs="Times New Roman"/>
          <w:lang w:val="en-GB"/>
        </w:rPr>
        <w:t xml:space="preserve">11.1. </w:t>
      </w:r>
      <w:r w:rsidR="00C11703" w:rsidRPr="008902F2">
        <w:rPr>
          <w:rFonts w:ascii="Times New Roman" w:hAnsi="Times New Roman" w:cs="Times New Roman"/>
          <w:lang w:val="en-GB"/>
        </w:rPr>
        <w:t>Parliamentary Questions from the Grand National Assembly of Türkiye through the Ministry</w:t>
      </w:r>
      <w:bookmarkEnd w:id="204"/>
    </w:p>
    <w:p w14:paraId="6A32BFFF"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color w:val="000000" w:themeColor="text1"/>
          <w:lang w:val="en-GB"/>
        </w:rPr>
        <w:t>In response to the request for 362 parliamentary questions received from the Grand National Assembly of Türkiye (TBMM) through the Ministry's channel in 2022, answers prepared. The distribution of these questions is presented in Table 11.1.</w:t>
      </w:r>
    </w:p>
    <w:p w14:paraId="37FC793F" w14:textId="77777777" w:rsidR="00C11703" w:rsidRPr="008902F2" w:rsidRDefault="00C11703" w:rsidP="00C11703">
      <w:pPr>
        <w:spacing w:after="0"/>
        <w:ind w:left="360"/>
        <w:rPr>
          <w:rFonts w:ascii="Times New Roman" w:hAnsi="Times New Roman"/>
          <w:color w:val="000000" w:themeColor="text1"/>
          <w:lang w:val="en-GB"/>
        </w:rPr>
      </w:pPr>
    </w:p>
    <w:p w14:paraId="6BC43708" w14:textId="294BC17F" w:rsidR="00C11703" w:rsidRPr="008902F2" w:rsidRDefault="00C11703" w:rsidP="00C11703">
      <w:pPr>
        <w:keepNext/>
        <w:keepLines/>
        <w:spacing w:after="0"/>
        <w:ind w:left="360"/>
        <w:jc w:val="center"/>
        <w:rPr>
          <w:rFonts w:ascii="Times New Roman" w:eastAsia="Cambria" w:hAnsi="Times New Roman"/>
          <w:color w:val="000000" w:themeColor="text1"/>
          <w:lang w:val="en-GB"/>
        </w:rPr>
      </w:pPr>
      <w:r w:rsidRPr="008902F2">
        <w:rPr>
          <w:rFonts w:ascii="Times New Roman" w:eastAsia="Cambria" w:hAnsi="Times New Roman"/>
          <w:b/>
          <w:bCs/>
          <w:color w:val="000000" w:themeColor="text1"/>
          <w:lang w:val="en-GB"/>
        </w:rPr>
        <w:t xml:space="preserve">Table 11.1: Distribution of </w:t>
      </w:r>
      <w:r w:rsidRPr="008902F2">
        <w:rPr>
          <w:rFonts w:ascii="Times New Roman" w:hAnsi="Times New Roman"/>
          <w:b/>
          <w:bCs/>
          <w:color w:val="000000" w:themeColor="text1"/>
          <w:lang w:val="en-GB"/>
        </w:rPr>
        <w:t xml:space="preserve">Parliamentary Questions </w:t>
      </w:r>
      <w:r w:rsidRPr="008902F2">
        <w:rPr>
          <w:rFonts w:ascii="Times New Roman" w:eastAsia="Cambria" w:hAnsi="Times New Roman"/>
          <w:b/>
          <w:bCs/>
          <w:color w:val="000000" w:themeColor="text1"/>
          <w:lang w:val="en-GB"/>
        </w:rPr>
        <w:t>in 2022 by Subject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145"/>
        <w:gridCol w:w="1095"/>
      </w:tblGrid>
      <w:tr w:rsidR="00C11703" w:rsidRPr="008902F2" w14:paraId="028B3275" w14:textId="77777777" w:rsidTr="00C11703">
        <w:trPr>
          <w:trHeight w:val="1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6180233E"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 xml:space="preserve">Content of the </w:t>
            </w:r>
            <w:r w:rsidRPr="008902F2">
              <w:rPr>
                <w:rFonts w:ascii="Times New Roman" w:hAnsi="Times New Roman"/>
                <w:b/>
                <w:bCs/>
                <w:color w:val="000000" w:themeColor="text1"/>
                <w:lang w:val="en-GB"/>
              </w:rPr>
              <w:t>Parliamentary Question</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60" w:type="dxa"/>
              <w:right w:w="60" w:type="dxa"/>
            </w:tcMar>
            <w:vAlign w:val="center"/>
          </w:tcPr>
          <w:p w14:paraId="0BD4ECC0" w14:textId="77777777" w:rsidR="00C11703" w:rsidRPr="008902F2" w:rsidRDefault="00C11703" w:rsidP="00C11703">
            <w:pPr>
              <w:spacing w:after="0" w:line="240" w:lineRule="auto"/>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w:t>
            </w:r>
          </w:p>
        </w:tc>
      </w:tr>
      <w:tr w:rsidR="00C11703" w:rsidRPr="008902F2" w14:paraId="4141153C"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311B6887"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Consumers whose Electricity / Natural Gas Cut Due to Unpaid Bills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0385DB77"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108</w:t>
            </w:r>
          </w:p>
        </w:tc>
      </w:tr>
      <w:tr w:rsidR="00C11703" w:rsidRPr="008902F2" w14:paraId="1050C372"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78D870B1"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Complaints About Distribution Companies Due to Electricity and Natural Gas Interruptions (Technical)</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2682499"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52</w:t>
            </w:r>
          </w:p>
        </w:tc>
      </w:tr>
      <w:tr w:rsidR="00C11703" w:rsidRPr="008902F2" w14:paraId="1DCDA3D4"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0566B94B"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Audit of Distribution Companies/Investments Made by Distribution Companies/Maintenance and Repair Works/Margin of Electricity Distribution Companies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50DF33A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47</w:t>
            </w:r>
          </w:p>
        </w:tc>
      </w:tr>
      <w:tr w:rsidR="00C11703" w:rsidRPr="008902F2" w14:paraId="2B2C0485"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7512AFCA"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Complaints Regarding Electricity/Natural Gas and Fuel Increases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68EEC5ED"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30</w:t>
            </w:r>
          </w:p>
        </w:tc>
      </w:tr>
      <w:tr w:rsidR="00C11703" w:rsidRPr="008902F2" w14:paraId="665EA0AF"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52B6199D"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Regions Without Electricity and Natural Gas Lines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F0177D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25</w:t>
            </w:r>
          </w:p>
        </w:tc>
      </w:tr>
      <w:tr w:rsidR="00C11703" w:rsidRPr="008902F2" w14:paraId="6F488A2A"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57473AE8"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Electricity Tariff Regulations (Loss-Leakage Rates / Energy Fund / TRT Share / VAT / Deposit Value / CPI Rate)</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62ABAE3F"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26</w:t>
            </w:r>
          </w:p>
        </w:tc>
      </w:tr>
      <w:tr w:rsidR="00C11703" w:rsidRPr="008902F2" w14:paraId="180688C9"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4CE960F2"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Application of Transition to Gradual Tariff/Supports to be Given to Subscriber Groups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30390F2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19</w:t>
            </w:r>
          </w:p>
        </w:tc>
      </w:tr>
      <w:tr w:rsidR="00C11703" w:rsidRPr="008902F2" w14:paraId="73533F0C"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4DBA3D0B"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Amendment to the Electricity Market Unlicensed Electricity Generation Regulation</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7CC4A768"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15</w:t>
            </w:r>
          </w:p>
          <w:p w14:paraId="1F574DE0" w14:textId="77777777" w:rsidR="00C11703" w:rsidRPr="008902F2" w:rsidRDefault="00C11703" w:rsidP="00C11703">
            <w:pPr>
              <w:spacing w:after="0" w:line="240" w:lineRule="auto"/>
              <w:jc w:val="right"/>
              <w:rPr>
                <w:rFonts w:ascii="Times New Roman" w:hAnsi="Times New Roman"/>
                <w:color w:val="000000" w:themeColor="text1"/>
                <w:lang w:val="en-GB"/>
              </w:rPr>
            </w:pPr>
          </w:p>
        </w:tc>
      </w:tr>
      <w:tr w:rsidR="00C11703" w:rsidRPr="008902F2" w14:paraId="069883D9"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5BA6A3CC"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Giving More Privileges to Imported Coal in Electricity Produced by Domestic Coal/Imported Coal and the Incurred Costs and Giving Priority to Our "Domestic and National" Resources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2E6AD71"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4</w:t>
            </w:r>
          </w:p>
        </w:tc>
      </w:tr>
      <w:tr w:rsidR="00C11703" w:rsidRPr="008902F2" w14:paraId="2A04E3BF"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2406CD5D"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Whether Agricultural Irrigation Subscribers Can Be Supported</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34011EBC"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w:t>
            </w:r>
          </w:p>
        </w:tc>
      </w:tr>
      <w:tr w:rsidR="00C11703" w:rsidRPr="008902F2" w14:paraId="54371993"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18A1DAE0"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Our Country's Underground Natural Gas Storages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1456779A"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2</w:t>
            </w:r>
          </w:p>
        </w:tc>
      </w:tr>
      <w:tr w:rsidR="00C11703" w:rsidRPr="008902F2" w14:paraId="7F45765C"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60DCF2F1"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Oil Market</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1760FFE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3</w:t>
            </w:r>
          </w:p>
        </w:tc>
      </w:tr>
      <w:tr w:rsidR="00C11703" w:rsidRPr="008902F2" w14:paraId="7951F484"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26DAB1E4"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t>EMRA Business and Transactions</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EE74515"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16</w:t>
            </w:r>
          </w:p>
        </w:tc>
      </w:tr>
      <w:tr w:rsidR="00C11703" w:rsidRPr="008902F2" w14:paraId="365F522F"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581E6D81"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lang w:val="en-GB"/>
              </w:rPr>
              <w:lastRenderedPageBreak/>
              <w:t>Subjects Not Included in the Authority’s Call of Duty</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25BC9F4"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color w:val="000000" w:themeColor="text1"/>
                <w:lang w:val="en-GB"/>
              </w:rPr>
              <w:t>13</w:t>
            </w:r>
          </w:p>
        </w:tc>
      </w:tr>
      <w:tr w:rsidR="00C11703" w:rsidRPr="008902F2" w14:paraId="11F501BA" w14:textId="77777777" w:rsidTr="00C11703">
        <w:trPr>
          <w:trHeight w:val="525"/>
        </w:trPr>
        <w:tc>
          <w:tcPr>
            <w:tcW w:w="814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tcPr>
          <w:p w14:paraId="01E0A5ED" w14:textId="77777777" w:rsidR="00C11703" w:rsidRPr="008902F2" w:rsidRDefault="00C11703" w:rsidP="00C11703">
            <w:pPr>
              <w:spacing w:after="0" w:line="240" w:lineRule="auto"/>
              <w:rPr>
                <w:rFonts w:ascii="Times New Roman" w:hAnsi="Times New Roman"/>
                <w:lang w:val="en-GB"/>
              </w:rPr>
            </w:pPr>
            <w:r w:rsidRPr="008902F2">
              <w:rPr>
                <w:rFonts w:ascii="Times New Roman" w:hAnsi="Times New Roman"/>
                <w:b/>
                <w:bCs/>
                <w:lang w:val="en-GB"/>
              </w:rPr>
              <w:t>Total</w:t>
            </w:r>
          </w:p>
        </w:tc>
        <w:tc>
          <w:tcPr>
            <w:tcW w:w="109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60" w:type="dxa"/>
              <w:right w:w="60" w:type="dxa"/>
            </w:tcMar>
            <w:vAlign w:val="center"/>
          </w:tcPr>
          <w:p w14:paraId="224A2833" w14:textId="77777777" w:rsidR="00C11703" w:rsidRPr="008902F2" w:rsidRDefault="00C11703" w:rsidP="00C11703">
            <w:pPr>
              <w:spacing w:after="0" w:line="240" w:lineRule="auto"/>
              <w:jc w:val="right"/>
              <w:rPr>
                <w:rFonts w:ascii="Times New Roman" w:hAnsi="Times New Roman"/>
                <w:color w:val="000000" w:themeColor="text1"/>
                <w:lang w:val="en-GB"/>
              </w:rPr>
            </w:pPr>
            <w:r w:rsidRPr="008902F2">
              <w:rPr>
                <w:rFonts w:ascii="Times New Roman" w:hAnsi="Times New Roman"/>
                <w:b/>
                <w:bCs/>
                <w:color w:val="000000" w:themeColor="text1"/>
                <w:lang w:val="en-GB"/>
              </w:rPr>
              <w:t>362</w:t>
            </w:r>
          </w:p>
        </w:tc>
      </w:tr>
    </w:tbl>
    <w:p w14:paraId="7F4FF4D7" w14:textId="77777777" w:rsidR="00C11703" w:rsidRPr="008902F2" w:rsidRDefault="00C11703" w:rsidP="00C11703">
      <w:pPr>
        <w:spacing w:after="0"/>
        <w:jc w:val="center"/>
        <w:rPr>
          <w:rFonts w:ascii="Times New Roman" w:hAnsi="Times New Roman"/>
          <w:color w:val="000000" w:themeColor="text1"/>
          <w:lang w:val="en-GB"/>
        </w:rPr>
      </w:pPr>
    </w:p>
    <w:p w14:paraId="3970C5C1" w14:textId="77777777" w:rsidR="00C11703" w:rsidRPr="008902F2" w:rsidRDefault="00C11703" w:rsidP="00C11703">
      <w:pPr>
        <w:spacing w:after="0"/>
        <w:jc w:val="center"/>
        <w:rPr>
          <w:rFonts w:ascii="Times New Roman" w:hAnsi="Times New Roman"/>
          <w:color w:val="000000" w:themeColor="text1"/>
          <w:lang w:val="en-GB"/>
        </w:rPr>
      </w:pPr>
    </w:p>
    <w:p w14:paraId="365F5B73" w14:textId="77777777" w:rsidR="00C11703" w:rsidRPr="008902F2" w:rsidRDefault="00C11703" w:rsidP="00C11703">
      <w:pPr>
        <w:spacing w:after="0"/>
        <w:jc w:val="center"/>
        <w:rPr>
          <w:rFonts w:ascii="Times New Roman" w:hAnsi="Times New Roman"/>
          <w:color w:val="000000" w:themeColor="text1"/>
          <w:lang w:val="en-GB"/>
        </w:rPr>
      </w:pPr>
    </w:p>
    <w:p w14:paraId="0344188F" w14:textId="77777777" w:rsidR="00C11703" w:rsidRPr="008902F2" w:rsidRDefault="00C11703" w:rsidP="00C11703">
      <w:pPr>
        <w:spacing w:after="0"/>
        <w:jc w:val="center"/>
        <w:rPr>
          <w:rFonts w:ascii="Times New Roman" w:hAnsi="Times New Roman"/>
          <w:color w:val="000000" w:themeColor="text1"/>
          <w:lang w:val="en-GB"/>
        </w:rPr>
      </w:pPr>
    </w:p>
    <w:p w14:paraId="666EC7E4" w14:textId="77777777" w:rsidR="00C11703" w:rsidRPr="008902F2" w:rsidRDefault="00C11703" w:rsidP="00C11703">
      <w:pPr>
        <w:spacing w:after="0"/>
        <w:jc w:val="center"/>
        <w:rPr>
          <w:rFonts w:ascii="Times New Roman" w:hAnsi="Times New Roman"/>
          <w:color w:val="000000" w:themeColor="text1"/>
          <w:lang w:val="en-GB"/>
        </w:rPr>
      </w:pPr>
    </w:p>
    <w:p w14:paraId="42F75A89" w14:textId="77777777" w:rsidR="00C11703" w:rsidRPr="008902F2" w:rsidRDefault="00C11703" w:rsidP="00C11703">
      <w:pPr>
        <w:spacing w:after="0"/>
        <w:jc w:val="center"/>
        <w:rPr>
          <w:rFonts w:ascii="Times New Roman" w:hAnsi="Times New Roman"/>
          <w:color w:val="000000" w:themeColor="text1"/>
          <w:lang w:val="en-GB"/>
        </w:rPr>
      </w:pPr>
    </w:p>
    <w:p w14:paraId="2659090C" w14:textId="77777777" w:rsidR="00C11703" w:rsidRPr="008902F2" w:rsidRDefault="00C11703" w:rsidP="00C11703">
      <w:pPr>
        <w:spacing w:after="0"/>
        <w:jc w:val="center"/>
        <w:rPr>
          <w:rFonts w:ascii="Times New Roman" w:hAnsi="Times New Roman"/>
          <w:color w:val="000000" w:themeColor="text1"/>
          <w:lang w:val="en-GB"/>
        </w:rPr>
      </w:pPr>
    </w:p>
    <w:p w14:paraId="40BCCB94" w14:textId="77777777" w:rsidR="00C11703" w:rsidRPr="008902F2" w:rsidRDefault="00C11703" w:rsidP="00C11703">
      <w:pPr>
        <w:spacing w:after="0"/>
        <w:jc w:val="center"/>
        <w:rPr>
          <w:rFonts w:ascii="Times New Roman" w:hAnsi="Times New Roman"/>
          <w:color w:val="000000" w:themeColor="text1"/>
          <w:lang w:val="en-GB"/>
        </w:rPr>
      </w:pPr>
    </w:p>
    <w:p w14:paraId="25DACBC7" w14:textId="77777777" w:rsidR="00C11703" w:rsidRPr="008902F2" w:rsidRDefault="00C11703" w:rsidP="00C11703">
      <w:pPr>
        <w:spacing w:after="0"/>
        <w:jc w:val="center"/>
        <w:rPr>
          <w:rFonts w:ascii="Times New Roman" w:hAnsi="Times New Roman"/>
          <w:color w:val="000000" w:themeColor="text1"/>
          <w:lang w:val="en-GB"/>
        </w:rPr>
      </w:pPr>
    </w:p>
    <w:p w14:paraId="55C8510E" w14:textId="77777777" w:rsidR="00C11703" w:rsidRPr="008902F2" w:rsidRDefault="00C11703" w:rsidP="00C11703">
      <w:pPr>
        <w:spacing w:after="0"/>
        <w:jc w:val="center"/>
        <w:rPr>
          <w:rFonts w:ascii="Times New Roman" w:hAnsi="Times New Roman"/>
          <w:color w:val="000000" w:themeColor="text1"/>
          <w:lang w:val="en-GB"/>
        </w:rPr>
      </w:pPr>
    </w:p>
    <w:p w14:paraId="00DA7608" w14:textId="3C6C7EDD" w:rsidR="00C11703" w:rsidRPr="008902F2" w:rsidRDefault="00C11703" w:rsidP="00C11703">
      <w:pPr>
        <w:keepNext/>
        <w:keepLines/>
        <w:spacing w:before="200" w:after="0"/>
        <w:rPr>
          <w:rFonts w:ascii="Times New Roman" w:eastAsia="Cambria" w:hAnsi="Times New Roman"/>
          <w:lang w:val="en-GB"/>
        </w:rPr>
      </w:pPr>
      <w:r w:rsidRPr="008902F2">
        <w:rPr>
          <w:rFonts w:ascii="Times New Roman" w:eastAsia="Cambria" w:hAnsi="Times New Roman"/>
          <w:b/>
          <w:bCs/>
          <w:lang w:val="en-GB"/>
        </w:rPr>
        <w:t xml:space="preserve">Figure 11.1: Percentage Distribution of </w:t>
      </w:r>
      <w:r w:rsidRPr="008902F2">
        <w:rPr>
          <w:rFonts w:ascii="Times New Roman" w:hAnsi="Times New Roman"/>
          <w:b/>
          <w:bCs/>
          <w:color w:val="000000" w:themeColor="text1"/>
          <w:lang w:val="en-GB"/>
        </w:rPr>
        <w:t xml:space="preserve">Parliamentary Questions </w:t>
      </w:r>
      <w:r w:rsidRPr="008902F2">
        <w:rPr>
          <w:rFonts w:ascii="Times New Roman" w:eastAsia="Cambria" w:hAnsi="Times New Roman"/>
          <w:b/>
          <w:bCs/>
          <w:lang w:val="en-GB"/>
        </w:rPr>
        <w:t>Received in 2022 by Subject</w:t>
      </w:r>
    </w:p>
    <w:p w14:paraId="57EED29E" w14:textId="77777777" w:rsidR="00C11703" w:rsidRPr="008902F2" w:rsidRDefault="00C11703" w:rsidP="00C11703">
      <w:pPr>
        <w:rPr>
          <w:rFonts w:ascii="Times New Roman" w:hAnsi="Times New Roman"/>
          <w:color w:val="000000" w:themeColor="text1"/>
          <w:lang w:val="en-GB"/>
        </w:rPr>
      </w:pPr>
    </w:p>
    <w:p w14:paraId="0012DCB5" w14:textId="77777777" w:rsidR="00C11703" w:rsidRPr="008902F2" w:rsidRDefault="00C11703" w:rsidP="00C11703">
      <w:pPr>
        <w:rPr>
          <w:rFonts w:ascii="Times New Roman" w:hAnsi="Times New Roman"/>
          <w:color w:val="000000" w:themeColor="text1"/>
          <w:lang w:val="en-GB"/>
        </w:rPr>
      </w:pPr>
    </w:p>
    <w:p w14:paraId="6EA9BA82" w14:textId="40F8933C" w:rsidR="00B70537" w:rsidRPr="008902F2" w:rsidRDefault="00C11703" w:rsidP="00C11703">
      <w:pPr>
        <w:contextualSpacing/>
        <w:rPr>
          <w:rFonts w:ascii="Times New Roman" w:hAnsi="Times New Roman"/>
          <w:color w:val="000000" w:themeColor="text1"/>
          <w:sz w:val="18"/>
          <w:szCs w:val="18"/>
          <w:lang w:val="en-GB"/>
        </w:rPr>
      </w:pPr>
      <w:r w:rsidRPr="008902F2">
        <w:rPr>
          <w:rFonts w:ascii="Times New Roman" w:hAnsi="Times New Roman"/>
          <w:noProof/>
          <w:color w:val="000000" w:themeColor="text1"/>
          <w:sz w:val="18"/>
          <w:szCs w:val="18"/>
          <w:lang w:val="en-US"/>
        </w:rPr>
        <w:drawing>
          <wp:inline distT="0" distB="0" distL="0" distR="0" wp14:anchorId="2D2531D3" wp14:editId="25800C81">
            <wp:extent cx="6029325" cy="4429417"/>
            <wp:effectExtent l="0" t="0" r="0" b="9525"/>
            <wp:docPr id="14290150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39159" cy="4436641"/>
                    </a:xfrm>
                    <a:prstGeom prst="rect">
                      <a:avLst/>
                    </a:prstGeom>
                    <a:noFill/>
                  </pic:spPr>
                </pic:pic>
              </a:graphicData>
            </a:graphic>
          </wp:inline>
        </w:drawing>
      </w:r>
    </w:p>
    <w:p w14:paraId="5FE9A056" w14:textId="719B628E" w:rsidR="00B70537" w:rsidRPr="008902F2" w:rsidRDefault="00B70537">
      <w:pPr>
        <w:jc w:val="left"/>
        <w:rPr>
          <w:rFonts w:ascii="Times New Roman" w:hAnsi="Times New Roman"/>
          <w:color w:val="000000" w:themeColor="text1"/>
          <w:sz w:val="18"/>
          <w:szCs w:val="18"/>
          <w:lang w:val="en-GB"/>
        </w:rPr>
      </w:pPr>
      <w:r w:rsidRPr="008902F2">
        <w:rPr>
          <w:rFonts w:ascii="Times New Roman" w:hAnsi="Times New Roman"/>
          <w:color w:val="000000" w:themeColor="text1"/>
          <w:sz w:val="18"/>
          <w:szCs w:val="18"/>
          <w:lang w:val="en-GB"/>
        </w:rPr>
        <w:br w:type="page"/>
      </w:r>
    </w:p>
    <w:p w14:paraId="0064F442" w14:textId="102457A8" w:rsidR="00C11703" w:rsidRPr="008902F2" w:rsidRDefault="00420211" w:rsidP="00420211">
      <w:pPr>
        <w:pStyle w:val="Balk1"/>
        <w:rPr>
          <w:rFonts w:ascii="Times New Roman" w:hAnsi="Times New Roman" w:cs="Times New Roman"/>
          <w:noProof/>
          <w:lang w:val="en-GB"/>
        </w:rPr>
      </w:pPr>
      <w:bookmarkStart w:id="205" w:name="_Toc143113487"/>
      <w:r w:rsidRPr="008902F2">
        <w:rPr>
          <w:rFonts w:ascii="Times New Roman" w:hAnsi="Times New Roman" w:cs="Times New Roman"/>
          <w:noProof/>
          <w:lang w:val="en-GB"/>
        </w:rPr>
        <w:lastRenderedPageBreak/>
        <w:t xml:space="preserve">12. </w:t>
      </w:r>
      <w:r w:rsidR="00C11703" w:rsidRPr="008902F2">
        <w:rPr>
          <w:rFonts w:ascii="Times New Roman" w:hAnsi="Times New Roman" w:cs="Times New Roman"/>
          <w:noProof/>
          <w:lang w:val="en-GB"/>
        </w:rPr>
        <w:t>FOREIGN RELATIONS</w:t>
      </w:r>
      <w:bookmarkEnd w:id="205"/>
    </w:p>
    <w:p w14:paraId="3BFB3FCC" w14:textId="77777777" w:rsidR="00C11703" w:rsidRPr="008902F2" w:rsidRDefault="00C11703" w:rsidP="00C11703">
      <w:pPr>
        <w:spacing w:before="120" w:after="120"/>
        <w:ind w:left="1068"/>
        <w:rPr>
          <w:rFonts w:ascii="Times New Roman" w:hAnsi="Times New Roman"/>
          <w:noProof/>
          <w:color w:val="000000" w:themeColor="text1"/>
          <w:lang w:val="en-GB"/>
        </w:rPr>
      </w:pPr>
      <w:r w:rsidRPr="008902F2">
        <w:rPr>
          <w:rFonts w:ascii="Times New Roman" w:hAnsi="Times New Roman"/>
          <w:noProof/>
          <w:color w:val="000000" w:themeColor="text1"/>
          <w:lang w:val="en-GB"/>
        </w:rPr>
        <w:t>The institution's activities related to external relations are conducted within the framework of the "EMRA’s External Relations Strategy," adopted under the vision of "emerging as a leader in regional and international energy markets with expertise and creating value." In 2022, participation in all online and physical events organized by international associations of which the Authority is a member was ensured. Besides sharing knowledge, expertise, and experience related to energy and energy regulations, there was also an emphasis on promoting our energy market.</w:t>
      </w:r>
    </w:p>
    <w:p w14:paraId="30CB5B50" w14:textId="77777777" w:rsidR="00C11703" w:rsidRPr="008902F2" w:rsidRDefault="00C11703" w:rsidP="00C11703">
      <w:pPr>
        <w:spacing w:before="120" w:after="120"/>
        <w:ind w:left="1068"/>
        <w:rPr>
          <w:rFonts w:ascii="Times New Roman" w:hAnsi="Times New Roman"/>
          <w:noProof/>
          <w:color w:val="000000" w:themeColor="text1"/>
          <w:lang w:val="en-GB"/>
        </w:rPr>
      </w:pPr>
    </w:p>
    <w:p w14:paraId="047AEB00" w14:textId="77777777" w:rsidR="00C11703" w:rsidRPr="008902F2" w:rsidRDefault="00C11703" w:rsidP="00C11703">
      <w:pPr>
        <w:spacing w:before="120" w:after="120"/>
        <w:ind w:left="1068"/>
        <w:rPr>
          <w:rFonts w:ascii="Times New Roman" w:hAnsi="Times New Roman"/>
          <w:noProof/>
          <w:color w:val="000000" w:themeColor="text1"/>
          <w:lang w:val="en-GB"/>
        </w:rPr>
      </w:pPr>
      <w:r w:rsidRPr="008902F2">
        <w:rPr>
          <w:rFonts w:ascii="Times New Roman" w:hAnsi="Times New Roman"/>
          <w:noProof/>
          <w:color w:val="000000" w:themeColor="text1"/>
          <w:lang w:val="en-GB"/>
        </w:rPr>
        <w:t>In the context of external relations, the Authority  continued its activities in 2022 within 5 main axes:</w:t>
      </w:r>
    </w:p>
    <w:p w14:paraId="7A9617CB" w14:textId="77777777" w:rsidR="00C11703" w:rsidRPr="008902F2" w:rsidRDefault="00C11703" w:rsidP="00C11703">
      <w:pPr>
        <w:spacing w:before="120" w:after="120"/>
        <w:ind w:left="1068"/>
        <w:rPr>
          <w:rFonts w:ascii="Times New Roman" w:hAnsi="Times New Roman"/>
          <w:noProof/>
          <w:color w:val="000000" w:themeColor="text1"/>
          <w:lang w:val="en-GB"/>
        </w:rPr>
      </w:pPr>
    </w:p>
    <w:p w14:paraId="6B1BBACF" w14:textId="77777777" w:rsidR="00C11703" w:rsidRPr="008902F2" w:rsidRDefault="00C11703" w:rsidP="00A86526">
      <w:pPr>
        <w:numPr>
          <w:ilvl w:val="0"/>
          <w:numId w:val="9"/>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Relations with international associations of which the institution is a member.</w:t>
      </w:r>
    </w:p>
    <w:p w14:paraId="21DA7EFA" w14:textId="77777777" w:rsidR="00C11703" w:rsidRPr="008902F2" w:rsidRDefault="00C11703" w:rsidP="00A86526">
      <w:pPr>
        <w:numPr>
          <w:ilvl w:val="0"/>
          <w:numId w:val="9"/>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Bilateral relations.</w:t>
      </w:r>
    </w:p>
    <w:p w14:paraId="56460653" w14:textId="77777777" w:rsidR="00C11703" w:rsidRPr="008902F2" w:rsidRDefault="00C11703" w:rsidP="00A86526">
      <w:pPr>
        <w:numPr>
          <w:ilvl w:val="0"/>
          <w:numId w:val="9"/>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Activities within the scope of compliance with the EU acquis.</w:t>
      </w:r>
    </w:p>
    <w:p w14:paraId="576D7F42" w14:textId="77777777" w:rsidR="00C11703" w:rsidRPr="008902F2" w:rsidRDefault="00C11703" w:rsidP="00A86526">
      <w:pPr>
        <w:numPr>
          <w:ilvl w:val="0"/>
          <w:numId w:val="9"/>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Activities carried out in the field of duty of the Authority within the scope of the organizations with which it is in relation as per the international agreements to which our country is a party..</w:t>
      </w:r>
    </w:p>
    <w:p w14:paraId="1EB7F067" w14:textId="77777777" w:rsidR="00C11703" w:rsidRPr="008902F2" w:rsidRDefault="00C11703" w:rsidP="00A86526">
      <w:pPr>
        <w:numPr>
          <w:ilvl w:val="0"/>
          <w:numId w:val="9"/>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Monitoring and reporting of thedevelopments in international energy markets.</w:t>
      </w:r>
    </w:p>
    <w:p w14:paraId="118E68B3" w14:textId="77777777" w:rsidR="00C11703" w:rsidRPr="008902F2" w:rsidRDefault="00C11703" w:rsidP="00C11703">
      <w:pPr>
        <w:spacing w:before="120" w:after="120"/>
        <w:ind w:left="1428"/>
        <w:rPr>
          <w:rFonts w:ascii="Times New Roman" w:hAnsi="Times New Roman"/>
          <w:noProof/>
          <w:color w:val="000000" w:themeColor="text1"/>
          <w:lang w:val="en-GB"/>
        </w:rPr>
      </w:pPr>
    </w:p>
    <w:p w14:paraId="1F53673B" w14:textId="77777777" w:rsidR="00C11703" w:rsidRPr="008902F2" w:rsidRDefault="00C11703" w:rsidP="00420211">
      <w:pPr>
        <w:pStyle w:val="Balk2"/>
        <w:rPr>
          <w:rFonts w:ascii="Times New Roman" w:hAnsi="Times New Roman" w:cs="Times New Roman"/>
          <w:noProof/>
          <w:lang w:val="en-GB"/>
        </w:rPr>
      </w:pPr>
      <w:bookmarkStart w:id="206" w:name="_Toc143113488"/>
      <w:r w:rsidRPr="008902F2">
        <w:rPr>
          <w:rFonts w:ascii="Times New Roman" w:hAnsi="Times New Roman" w:cs="Times New Roman"/>
          <w:noProof/>
          <w:lang w:val="en-GB"/>
        </w:rPr>
        <w:t>12. 1. Relations with International Associations of which the Authority is a Member</w:t>
      </w:r>
      <w:bookmarkEnd w:id="206"/>
    </w:p>
    <w:p w14:paraId="5DAC11DB"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The Authority is a member of the Energy Regulators Regional Association (ERRA) and the Mediterranean Energy Regulators (MEDREG), and an observer member of the Energy Community Regulatory Board (ECRB). Additionally, the Authority</w:t>
      </w:r>
      <w:r w:rsidRPr="008902F2" w:rsidDel="0078336C">
        <w:rPr>
          <w:rFonts w:ascii="Times New Roman" w:hAnsi="Times New Roman"/>
          <w:noProof/>
          <w:color w:val="000000" w:themeColor="text1"/>
          <w:lang w:val="en-GB"/>
        </w:rPr>
        <w:t xml:space="preserve"> </w:t>
      </w:r>
      <w:r w:rsidRPr="008902F2">
        <w:rPr>
          <w:rFonts w:ascii="Times New Roman" w:hAnsi="Times New Roman"/>
          <w:noProof/>
          <w:color w:val="000000" w:themeColor="text1"/>
          <w:lang w:val="en-GB"/>
        </w:rPr>
        <w:t xml:space="preserve"> contributes to working groups established within the structure of the International Confederation of Energy Regulators (ICER), the Black Sea Economic Cooperation Organization (BSEC), and the OECD Network of Economic Regulators (OECD-NER) via  its assigned personnel.</w:t>
      </w:r>
    </w:p>
    <w:p w14:paraId="2D35ED14" w14:textId="77777777" w:rsidR="00C11703" w:rsidRPr="008902F2" w:rsidRDefault="00C11703" w:rsidP="00C11703">
      <w:pPr>
        <w:rPr>
          <w:rFonts w:ascii="Times New Roman" w:hAnsi="Times New Roman"/>
          <w:noProof/>
          <w:color w:val="000000" w:themeColor="text1"/>
          <w:lang w:val="en-GB"/>
        </w:rPr>
      </w:pPr>
    </w:p>
    <w:p w14:paraId="08D4EF09"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During the ERRA General Assembly held on April 13, 2022, Ahmet Çağrı ÇİÇEK was re-elected as a member of the ERRA Board of Directors for a second term. Furthermore, throughout 2022, Authority</w:t>
      </w:r>
      <w:r w:rsidRPr="008902F2" w:rsidDel="001272C7">
        <w:rPr>
          <w:rFonts w:ascii="Times New Roman" w:hAnsi="Times New Roman"/>
          <w:noProof/>
          <w:color w:val="000000" w:themeColor="text1"/>
          <w:lang w:val="en-GB"/>
        </w:rPr>
        <w:t xml:space="preserve"> </w:t>
      </w:r>
      <w:r w:rsidRPr="008902F2">
        <w:rPr>
          <w:rFonts w:ascii="Times New Roman" w:hAnsi="Times New Roman"/>
          <w:noProof/>
          <w:color w:val="000000" w:themeColor="text1"/>
          <w:lang w:val="en-GB"/>
        </w:rPr>
        <w:t>personnel continued to hold positions such as the Chairmanship of the Natural Gas Markets and Economic Regulation Committee and Vice Chairmanship of the Renewable Energy Committee within ERRA.</w:t>
      </w:r>
    </w:p>
    <w:p w14:paraId="6BE2ECC8" w14:textId="77777777" w:rsidR="00C11703" w:rsidRPr="008902F2" w:rsidRDefault="00C11703" w:rsidP="00C11703">
      <w:pPr>
        <w:rPr>
          <w:rFonts w:ascii="Times New Roman" w:hAnsi="Times New Roman"/>
          <w:noProof/>
          <w:color w:val="000000" w:themeColor="text1"/>
          <w:lang w:val="en-GB"/>
        </w:rPr>
      </w:pPr>
    </w:p>
    <w:p w14:paraId="7BA29D8D"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In addition to committee activities, ERRA also carried out initiatives such as;</w:t>
      </w:r>
    </w:p>
    <w:p w14:paraId="288335D1"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Between June 27 and July 1, 2022, staff of the Authority participated in the "Introduction To Energy Regulation (Summer School)" training program held in Budapest, Hungary.</w:t>
      </w:r>
    </w:p>
    <w:p w14:paraId="4CB455B0"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Staff of the Authority attended the ERRA Renewable Energy Investment Conference held in Tbilisi, Georgia on the dates of October 2628, 2022.</w:t>
      </w:r>
    </w:p>
    <w:p w14:paraId="3D4814B5"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On December 6, 2022, staff of the Authority participated in the ERRA-MEDREG Joint Workshop held in İstanbul.</w:t>
      </w:r>
    </w:p>
    <w:p w14:paraId="114F4072"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Staff of the Authoritytook part as trainers in the training program organized for the Thailand Energy Regulatory Authority.</w:t>
      </w:r>
    </w:p>
    <w:p w14:paraId="2867FCFA"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lastRenderedPageBreak/>
        <w:t>The Authority also actively participates in all the bodies of the MEDREG, another organization in which it is a full member, and contributes to its activities since its establishment.</w:t>
      </w:r>
    </w:p>
    <w:p w14:paraId="3860D910"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The 32nd Meeting of the MEDREG Electricity Working Group took place on March 22, 2022, and the 32nd Meeting of the Institutional Affairs Working Group held on March 23, 2022, hosted by the Authority in İstanbul. Representatives of member countries and experts from the MEDREG Secretariat attended the meetings.</w:t>
      </w:r>
    </w:p>
    <w:p w14:paraId="76741745"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On April 22, 2022, the High-Level Meeting of Regional Associations of Emerging Markets organized by MEDREG and the ERRA was hosted by the Authority in İstanbul.   the President of the Authority Mr. Mustafa YILMAZ, MEDREG President Mr. Petrit AHMETİ, ERRA President Mrs. Maia MELİKİDZE, and other senior officials were attended to this meeting</w:t>
      </w:r>
    </w:p>
    <w:p w14:paraId="5EADB7D0"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In addition, staff of the Authorityparticipated in the training titled "Climate Commitments, Environmental Standards, and Regulation," organized by the MEDREG in Tirana, Albania, held on May 17-19, 2022.</w:t>
      </w:r>
    </w:p>
    <w:p w14:paraId="4971893E"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Furthermore, staff of the Authority attended a working visit on Energy Storage and Demand Management organized by the MEDREG and hosted by the Portuguese Energy Regulatory Authority in Lisbon, Portugal, held on July 4-5, 2022.</w:t>
      </w:r>
    </w:p>
    <w:p w14:paraId="23AAF1D5"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On July 19-20, 2022, Institution personnel contributed as trainers to an educational program organized by MEDREG for the Egyptian Electricity Regulatory Authority in Cairo, Egypt.</w:t>
      </w:r>
    </w:p>
    <w:p w14:paraId="700C37D7"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From October 18 to 20, 2022, staff of the Authority</w:t>
      </w:r>
      <w:r w:rsidRPr="008902F2" w:rsidDel="001272C7">
        <w:rPr>
          <w:rFonts w:ascii="Times New Roman" w:hAnsi="Times New Roman"/>
          <w:noProof/>
          <w:color w:val="000000" w:themeColor="text1"/>
          <w:lang w:val="en-GB"/>
        </w:rPr>
        <w:t xml:space="preserve"> </w:t>
      </w:r>
      <w:r w:rsidRPr="008902F2">
        <w:rPr>
          <w:rFonts w:ascii="Times New Roman" w:hAnsi="Times New Roman"/>
          <w:noProof/>
          <w:color w:val="000000" w:themeColor="text1"/>
          <w:lang w:val="en-GB"/>
        </w:rPr>
        <w:t>attended the "Infrastructure Investments, Network Pricing, and Tariff Training" held in Milan, Italy. Moreover, the personnel not only participated in the event but also contributed as trainers.</w:t>
      </w:r>
    </w:p>
    <w:p w14:paraId="1FC72D8A"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On December 1, 2022, during the 34th General Assembly held in Cairo, Egypt, staff of the Authority</w:t>
      </w:r>
      <w:r w:rsidRPr="008902F2" w:rsidDel="006979C1">
        <w:rPr>
          <w:rFonts w:ascii="Times New Roman" w:hAnsi="Times New Roman"/>
          <w:noProof/>
          <w:color w:val="000000" w:themeColor="text1"/>
          <w:lang w:val="en-GB"/>
        </w:rPr>
        <w:t xml:space="preserve"> </w:t>
      </w:r>
      <w:r w:rsidRPr="008902F2">
        <w:rPr>
          <w:rFonts w:ascii="Times New Roman" w:hAnsi="Times New Roman"/>
          <w:noProof/>
          <w:color w:val="000000" w:themeColor="text1"/>
          <w:lang w:val="en-GB"/>
        </w:rPr>
        <w:t>were elected as the Deputy Chair of the Natural Gas Working Group and Chair of the Energy Price Increase Task Force.</w:t>
      </w:r>
    </w:p>
    <w:p w14:paraId="372AD97B"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The High-Level Meeting of Regional Associations of Emerging Markets was hosted by the Institution in İstanbul on December 5-6, 2022. Deputy Minister Mr.Alparslan BAYRAKTAR, the President of the Authority Mr.Mustafa YILMAZ, the ERRA President Mrs.Maia MELİKİDZE, and MEDREG Director Mr.Hasan ÖZKOÇ attended to this meeting</w:t>
      </w:r>
    </w:p>
    <w:p w14:paraId="01E60F11"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Additionally, the Authority's activities as an observer member of the ECRB were monitored through the participation of Institution personnel in ECRB working groups.</w:t>
      </w:r>
    </w:p>
    <w:p w14:paraId="71DCA84F" w14:textId="77777777" w:rsidR="00C11703" w:rsidRPr="008902F2" w:rsidRDefault="00C11703" w:rsidP="00C11703">
      <w:pPr>
        <w:spacing w:before="120" w:after="120"/>
        <w:rPr>
          <w:rFonts w:ascii="Times New Roman" w:hAnsi="Times New Roman"/>
          <w:noProof/>
          <w:color w:val="000000" w:themeColor="text1"/>
          <w:lang w:val="en-GB"/>
        </w:rPr>
      </w:pPr>
    </w:p>
    <w:p w14:paraId="3931D431" w14:textId="2CFB5029" w:rsidR="00C11703" w:rsidRPr="008902F2" w:rsidRDefault="00C11703" w:rsidP="00420211">
      <w:pPr>
        <w:pStyle w:val="Balk2"/>
        <w:rPr>
          <w:rFonts w:ascii="Times New Roman" w:hAnsi="Times New Roman" w:cs="Times New Roman"/>
          <w:noProof/>
          <w:lang w:val="en-GB"/>
        </w:rPr>
      </w:pPr>
      <w:bookmarkStart w:id="207" w:name="_Toc143113489"/>
      <w:r w:rsidRPr="008902F2">
        <w:rPr>
          <w:rFonts w:ascii="Times New Roman" w:hAnsi="Times New Roman" w:cs="Times New Roman"/>
          <w:noProof/>
          <w:lang w:val="en-GB"/>
        </w:rPr>
        <w:t>12.2. Bilateral Relations</w:t>
      </w:r>
      <w:bookmarkEnd w:id="207"/>
    </w:p>
    <w:p w14:paraId="47A61F29"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On November 14, 2022, a delegation led by Mr.Nadil Rachid, the President of the Algerian Hydrocarbon Regulatory Authority, was received by our Institution's President. The delegation visited our country to benefit from Turkey's experiences in natural gas distribution. During the meeting, the structure and responsibilities of our Authority were presented, along with information about the liberalization of the natural gas market in Türkiye and the regulatory framework for natural gas, oil, and LPG markets. Moreover, presentations on monitoring and automation systems, as well as the tariff applications in the oil and gas markets were given by the Energy Specialists of the Authority</w:t>
      </w:r>
    </w:p>
    <w:p w14:paraId="4B064D0C"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A delegation consisting of members of the Board of Directors of Malaysia's Electricity Transmission Company, Tenaga Nasional Berhad, visited the Authortiy on August 16, 2022, for a working visit. Informative presentations about the functioning of the electricity market of our country were made to the delegation, which was accepted by the Vice President of the Authority.</w:t>
      </w:r>
      <w:r w:rsidRPr="008902F2" w:rsidDel="00720B94">
        <w:rPr>
          <w:rFonts w:ascii="Times New Roman" w:hAnsi="Times New Roman"/>
          <w:noProof/>
          <w:color w:val="000000" w:themeColor="text1"/>
          <w:lang w:val="en-GB"/>
        </w:rPr>
        <w:t xml:space="preserve"> </w:t>
      </w:r>
    </w:p>
    <w:p w14:paraId="4BC6A771"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lastRenderedPageBreak/>
        <w:t>The second meeting of the Turkey-Azerbaijan Energy Forum, established under the coordination of the Ministry of Energy and Natural Resources, took place in Istanbul on October 5-6, 2022. Our Authority personnel participated in this meeting and presented at the Regulation Working Group, co-chaired by our representatives, and the Electricity Market, Transmission, and Distribution Working Group meetings held within the framework of the Forum. Throughout the year, our Authority’s Specialists conducted various presentations for the personnel of the Azerbaijan Energy Regulatory Agency (AERA) during online meetings, providing regular updates on legislation and practices related to our country's electricity market.</w:t>
      </w:r>
    </w:p>
    <w:p w14:paraId="1F126AFA" w14:textId="77777777" w:rsidR="00C11703" w:rsidRPr="008902F2" w:rsidRDefault="00C11703" w:rsidP="00C11703">
      <w:pPr>
        <w:rPr>
          <w:rFonts w:ascii="Times New Roman" w:hAnsi="Times New Roman"/>
          <w:noProof/>
          <w:color w:val="000000" w:themeColor="text1"/>
          <w:lang w:val="en-GB"/>
        </w:rPr>
      </w:pPr>
    </w:p>
    <w:p w14:paraId="209EB2E4" w14:textId="403F03CB" w:rsidR="00C11703" w:rsidRPr="008902F2" w:rsidRDefault="00C11703" w:rsidP="00420211">
      <w:pPr>
        <w:pStyle w:val="Balk2"/>
        <w:rPr>
          <w:rFonts w:ascii="Times New Roman" w:hAnsi="Times New Roman" w:cs="Times New Roman"/>
          <w:noProof/>
          <w:lang w:val="en-GB"/>
        </w:rPr>
      </w:pPr>
      <w:bookmarkStart w:id="208" w:name="_Toc143113490"/>
      <w:r w:rsidRPr="008902F2">
        <w:rPr>
          <w:rFonts w:ascii="Times New Roman" w:hAnsi="Times New Roman" w:cs="Times New Roman"/>
          <w:noProof/>
          <w:lang w:val="en-GB"/>
        </w:rPr>
        <w:t>12.3. Activities within the Scope of the Harmonization Process with the European Union Acquis</w:t>
      </w:r>
      <w:bookmarkEnd w:id="208"/>
    </w:p>
    <w:p w14:paraId="0341A5E8"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There has been contribution to the the sections of the 2022 Turkey Progress Report prepared by the European Commission, which evaluates the progress made by our country on the path towards EU membership, relevant to our Institution's area of responsibility.Information notes on the measures in the energy markets within the scope of the 2023-2025 preparatory work of the Pre-Accession Economic Reform Program (ERP), which is prepared every year under the coordination of the Presidency's Strategy and Budget Department and conveyed to the European Commission within the framework of the candidate country status for full membership to the EU were prepared and the preparatory meetings were attended.Contributions have been made to the monitoring of the National Action Plan for EU Accession covering the years 2021-2023. The goal is to make progress in all negotiation chapters, achieve alignment with the EU acquis, raise our standards in all areas, and rapidly open chapters when political obstacles are removed.</w:t>
      </w:r>
    </w:p>
    <w:p w14:paraId="088656EE"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Under the "Green Finance" heading of the Green Deal Action Plan (YMEP), published in the Official Gazette on July 16, 2021, efforts have been made to contribute to the activities of the Ministry of Trade, which is the coordinating institution, regarding existing financial opportunities. Additionally, participation in the meetings of the Clean Energy Specialized Working Group and presentations on "Energy Storage Technologies" and "Electric Vehicle Infrastructure" have been carried out.</w:t>
      </w:r>
    </w:p>
    <w:p w14:paraId="24C18AEF"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Within the framework of the "Agreement between the Republic of Turkey and the European Union on the Participation of the Republic of Turkey in the Horizon Europe Research and Innovation Framework Programme," signed on October 27, 2021, in Brussels and approved by the Presidential Decree No. 4804 dated November 15, 2021, coordinated efforts have been made with the Ministry of Energy and Natural Resources.</w:t>
      </w:r>
    </w:p>
    <w:p w14:paraId="2FFBAC36"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Furthermore, activities related to changes and innovations in the EU acquis have been monitored and reported.</w:t>
      </w:r>
    </w:p>
    <w:p w14:paraId="650A6374" w14:textId="77777777" w:rsidR="00C11703" w:rsidRPr="008902F2" w:rsidRDefault="00C11703" w:rsidP="00C11703">
      <w:pPr>
        <w:rPr>
          <w:rFonts w:ascii="Times New Roman" w:hAnsi="Times New Roman"/>
          <w:noProof/>
          <w:color w:val="000000" w:themeColor="text1"/>
          <w:lang w:val="en-GB"/>
        </w:rPr>
      </w:pPr>
    </w:p>
    <w:p w14:paraId="5A963471" w14:textId="2EC02CBF" w:rsidR="00C11703" w:rsidRPr="008902F2" w:rsidRDefault="00C11703" w:rsidP="00420211">
      <w:pPr>
        <w:pStyle w:val="Balk2"/>
        <w:rPr>
          <w:rFonts w:ascii="Times New Roman" w:hAnsi="Times New Roman" w:cs="Times New Roman"/>
          <w:noProof/>
          <w:lang w:val="en-GB"/>
        </w:rPr>
      </w:pPr>
      <w:bookmarkStart w:id="209" w:name="_Toc143113491"/>
      <w:r w:rsidRPr="008902F2">
        <w:rPr>
          <w:rFonts w:ascii="Times New Roman" w:hAnsi="Times New Roman" w:cs="Times New Roman"/>
          <w:noProof/>
          <w:lang w:val="en-GB"/>
        </w:rPr>
        <w:t xml:space="preserve">12. 4. Studies </w:t>
      </w:r>
      <w:r w:rsidR="00AE16BB" w:rsidRPr="008902F2">
        <w:rPr>
          <w:rFonts w:ascii="Times New Roman" w:hAnsi="Times New Roman" w:cs="Times New Roman"/>
          <w:noProof/>
          <w:lang w:val="en-GB"/>
        </w:rPr>
        <w:t xml:space="preserve">Carried Out In The Fields Within The Scope Of The </w:t>
      </w:r>
      <w:r w:rsidRPr="008902F2">
        <w:rPr>
          <w:rFonts w:ascii="Times New Roman" w:hAnsi="Times New Roman" w:cs="Times New Roman"/>
          <w:noProof/>
          <w:lang w:val="en-GB"/>
        </w:rPr>
        <w:t xml:space="preserve">Authority’s </w:t>
      </w:r>
      <w:r w:rsidR="00AE16BB" w:rsidRPr="008902F2">
        <w:rPr>
          <w:rFonts w:ascii="Times New Roman" w:hAnsi="Times New Roman" w:cs="Times New Roman"/>
          <w:noProof/>
          <w:lang w:val="en-GB"/>
        </w:rPr>
        <w:t xml:space="preserve">Call Of Duty Within The Scope Of The Organizations With Which It Is In Relations In Accordance With The </w:t>
      </w:r>
      <w:r w:rsidRPr="008902F2">
        <w:rPr>
          <w:rFonts w:ascii="Times New Roman" w:hAnsi="Times New Roman" w:cs="Times New Roman"/>
          <w:noProof/>
          <w:lang w:val="en-GB"/>
        </w:rPr>
        <w:t xml:space="preserve">International Agreements </w:t>
      </w:r>
      <w:r w:rsidR="00AE16BB" w:rsidRPr="008902F2">
        <w:rPr>
          <w:rFonts w:ascii="Times New Roman" w:hAnsi="Times New Roman" w:cs="Times New Roman"/>
          <w:noProof/>
          <w:lang w:val="en-GB"/>
        </w:rPr>
        <w:t>To Which Our Country Is A Party</w:t>
      </w:r>
      <w:bookmarkEnd w:id="209"/>
    </w:p>
    <w:p w14:paraId="4F66A65F"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The Authoirty is represented by the assigned personnel in working groups, task forces, and similar formations within the framework of BSEC, OECD, IRENA, WTO, and IET to monitor the activities of these abovementioned organizations.</w:t>
      </w:r>
    </w:p>
    <w:p w14:paraId="300963C1"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Reports and information notes transmitted by the Türkiye's Permanent Delegation to the OECD have been evaluated and shared with relevant departments.</w:t>
      </w:r>
    </w:p>
    <w:p w14:paraId="7344A366" w14:textId="77777777" w:rsidR="00C11703" w:rsidRPr="008902F2" w:rsidRDefault="00C11703" w:rsidP="00C11703">
      <w:pPr>
        <w:rPr>
          <w:rFonts w:ascii="Times New Roman" w:hAnsi="Times New Roman"/>
          <w:noProof/>
          <w:color w:val="000000" w:themeColor="text1"/>
          <w:lang w:val="en-GB"/>
        </w:rPr>
      </w:pPr>
    </w:p>
    <w:p w14:paraId="2B3D7A6A" w14:textId="77777777" w:rsidR="00C11703" w:rsidRPr="008902F2" w:rsidRDefault="00C11703" w:rsidP="00420211">
      <w:pPr>
        <w:pStyle w:val="Balk2"/>
        <w:rPr>
          <w:rFonts w:ascii="Times New Roman" w:hAnsi="Times New Roman" w:cs="Times New Roman"/>
          <w:noProof/>
          <w:lang w:val="en-GB"/>
        </w:rPr>
      </w:pPr>
      <w:bookmarkStart w:id="210" w:name="_Toc143113492"/>
      <w:r w:rsidRPr="008902F2">
        <w:rPr>
          <w:rFonts w:ascii="Times New Roman" w:hAnsi="Times New Roman" w:cs="Times New Roman"/>
          <w:noProof/>
          <w:lang w:val="en-GB"/>
        </w:rPr>
        <w:lastRenderedPageBreak/>
        <w:t>12. 5. Monitoring and Reporting Developments in International Energy Markets</w:t>
      </w:r>
      <w:bookmarkEnd w:id="210"/>
    </w:p>
    <w:p w14:paraId="708DFFCF" w14:textId="77777777" w:rsidR="00C11703" w:rsidRPr="008902F2" w:rsidRDefault="00C11703" w:rsidP="00C11703">
      <w:pPr>
        <w:rPr>
          <w:rFonts w:ascii="Times New Roman" w:hAnsi="Times New Roman"/>
          <w:noProof/>
          <w:lang w:val="en-GB"/>
        </w:rPr>
      </w:pPr>
      <w:r w:rsidRPr="008902F2">
        <w:rPr>
          <w:rFonts w:ascii="Times New Roman" w:hAnsi="Times New Roman"/>
          <w:noProof/>
          <w:color w:val="000000" w:themeColor="text1"/>
          <w:lang w:val="en-GB"/>
        </w:rPr>
        <w:t>Starting in 2015, the compilation of "World Energy Agenda" bulletins, which gather significant news from the international media and important reports from international organizations, continued in 2022 as well. In the year of 2022, 12 foreign press bulletins were prepared. Special attention was given to thematic classification during the compilation of the news. Throughout the year, the compiled news were also categorized according to their respective topics. Furthermore, reports published by international organizations and conveyed to the Institution, as well as international developments communicated by the Ministry of Foreign Affairs, were shared with relevant departments.</w:t>
      </w:r>
      <w:r w:rsidRPr="008902F2">
        <w:rPr>
          <w:rFonts w:ascii="Times New Roman" w:hAnsi="Times New Roman"/>
          <w:noProof/>
          <w:lang w:val="en-GB"/>
        </w:rPr>
        <w:t>On the other hand, during the year 2022, to:</w:t>
      </w:r>
    </w:p>
    <w:p w14:paraId="129B9719"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Preparatory works for the 11th LNG Producer Consumer Conference,</w:t>
      </w:r>
    </w:p>
    <w:p w14:paraId="760046F6"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Preparatory works for the meeting with Mr. Nikolaus Meyer-Landrut, the Head of the EU Delegation, within the context of the EU Green Deal,</w:t>
      </w:r>
    </w:p>
    <w:p w14:paraId="03AF4401"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to identify material errors in the "2022 Türkiye Report" published by the European Commission,</w:t>
      </w:r>
    </w:p>
    <w:p w14:paraId="75D09EEB"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related to the final report of the "Assessment of the Impact of the EU Border Carbon Adjustment Mechanism Project,"</w:t>
      </w:r>
    </w:p>
    <w:p w14:paraId="5F6DA54A"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related to reports prepared by the Mediterranean Gas Hub Platform on various topics,</w:t>
      </w:r>
    </w:p>
    <w:p w14:paraId="0C6AF4E8"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Preparatory works for participation in the "CERAWeek" conference,</w:t>
      </w:r>
    </w:p>
    <w:p w14:paraId="7E4226C5"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on "zero-emission vehicles, charging infrastructure, and the supply chain for batteries of zero-emission vehicles" under the United Nations Framework Convention on Climate Change 27th Conference of the Parties (COP27),</w:t>
      </w:r>
    </w:p>
    <w:p w14:paraId="4AD64023"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on the D-8 Project Support Fund,</w:t>
      </w:r>
    </w:p>
    <w:p w14:paraId="18676033"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Update works to the Natural Gas Investment Guide,</w:t>
      </w:r>
    </w:p>
    <w:p w14:paraId="50E24411"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Preparatory works for the World Trade Organization's Review of Türkiye's Trade Policies Report,</w:t>
      </w:r>
    </w:p>
    <w:p w14:paraId="135A1B37" w14:textId="77777777" w:rsidR="00C11703" w:rsidRPr="008902F2" w:rsidRDefault="00C11703" w:rsidP="00A86526">
      <w:pPr>
        <w:numPr>
          <w:ilvl w:val="0"/>
          <w:numId w:val="8"/>
        </w:numPr>
        <w:spacing w:before="120" w:after="120"/>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Works on the G20 Principles and Indicators for Quality Infrastructure Investments,</w:t>
      </w:r>
    </w:p>
    <w:p w14:paraId="02D2DB0F"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"G20 Bali Roadmap for Net Zero Emissions in the Energy Sector" and "G20 Ministerial Communiqué on Energy Transitions,"</w:t>
      </w:r>
    </w:p>
    <w:p w14:paraId="6E2A8C43"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Preparatory works for the G-20 Foreign Ministers' Meeting,</w:t>
      </w:r>
    </w:p>
    <w:p w14:paraId="7153E0EC"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G-20 Trade, Investment, and Industry Working Group,</w:t>
      </w:r>
    </w:p>
    <w:p w14:paraId="39E8B4F2"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Southern Gas Corridor,</w:t>
      </w:r>
    </w:p>
    <w:p w14:paraId="2F728174"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Wors related to the IEA Energy Efficiency Report,</w:t>
      </w:r>
    </w:p>
    <w:p w14:paraId="56DD1B4D"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OECD "Net Zero+ Resistance" Report,</w:t>
      </w:r>
    </w:p>
    <w:p w14:paraId="7B6D42D8"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12th General Assembly Meeting of the International Renewable Energy Agency (IRENA),</w:t>
      </w:r>
    </w:p>
    <w:p w14:paraId="29AA4B8F"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Activities related to the "Global Methane Pledge Initiative,"</w:t>
      </w:r>
    </w:p>
    <w:p w14:paraId="052186CB"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NATO Defense Planning,</w:t>
      </w:r>
    </w:p>
    <w:p w14:paraId="723CC50D"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Preparatory works for the OECD Ministerial Council Meeting,</w:t>
      </w:r>
    </w:p>
    <w:p w14:paraId="2060837A"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Activities of the OECD Digital Economy Policy Committee Data Management and Privacy Working Party (WPDGP),</w:t>
      </w:r>
    </w:p>
    <w:p w14:paraId="31A0AD9F"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OECD "Framework for Net Zero Transformation of Industry: Developing Financial Solutions to Accelerate Industry's Net Zero Transformation in Emerging and Developing Economies" Report,</w:t>
      </w:r>
    </w:p>
    <w:p w14:paraId="7C317F7B"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OECD-EDRC 2022 Türkiye Review Report,</w:t>
      </w:r>
    </w:p>
    <w:p w14:paraId="11F47FE8"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lastRenderedPageBreak/>
        <w:t xml:space="preserve">    • Works related to the renewal of Türkiye's registration with the U.S. Securities and Exchange Commission (SEC),</w:t>
      </w:r>
    </w:p>
    <w:p w14:paraId="6BDBA23F"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preparation of Türkiye's Intended Nationally Determined Contribution (NDC),</w:t>
      </w:r>
    </w:p>
    <w:p w14:paraId="63EC4937"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the World Competitiveness Yearbook, Global Competitiveness Index, and Logistics Performance Index,</w:t>
      </w:r>
    </w:p>
    <w:p w14:paraId="7AC1A668"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Updating works of the Eurelectric "Overview of National Situations" document,</w:t>
      </w:r>
    </w:p>
    <w:p w14:paraId="7219E568"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related to draft reports prepared within the OECD Environment Policy Committee (EPOC) on the role of carbon pricing in sustainable recovery after Covid-19,</w:t>
      </w:r>
    </w:p>
    <w:p w14:paraId="6682A9E9"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Works on creating a "green recovery database" within the OECD to assess the environmental impacts of economic measures taken during the Covid-19 crisis,</w:t>
      </w:r>
    </w:p>
    <w:p w14:paraId="3DBD3579" w14:textId="77777777" w:rsidR="00C11703" w:rsidRPr="008902F2" w:rsidRDefault="00C11703" w:rsidP="00C11703">
      <w:pPr>
        <w:spacing w:before="120" w:after="12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    • The activities under the Green Deal Action Plan.</w:t>
      </w:r>
    </w:p>
    <w:p w14:paraId="1EB93707" w14:textId="77777777" w:rsidR="00C11703" w:rsidRPr="008902F2" w:rsidRDefault="00C11703" w:rsidP="00C11703">
      <w:pPr>
        <w:rPr>
          <w:rFonts w:ascii="Times New Roman" w:eastAsia="Times New Roman" w:hAnsi="Times New Roman"/>
          <w:noProof/>
          <w:lang w:val="en-GB"/>
        </w:rPr>
      </w:pPr>
      <w:r w:rsidRPr="008902F2">
        <w:rPr>
          <w:rFonts w:ascii="Times New Roman" w:hAnsi="Times New Roman"/>
          <w:noProof/>
          <w:color w:val="000000" w:themeColor="text1"/>
          <w:lang w:val="en-GB"/>
        </w:rPr>
        <w:t xml:space="preserve">It was contributed by giving feedbacks. </w:t>
      </w:r>
    </w:p>
    <w:p w14:paraId="4280D9BD" w14:textId="00822650" w:rsidR="00C11703" w:rsidRPr="008902F2" w:rsidRDefault="00420211" w:rsidP="00420211">
      <w:pPr>
        <w:pStyle w:val="Balk1"/>
        <w:rPr>
          <w:rFonts w:ascii="Times New Roman" w:hAnsi="Times New Roman" w:cs="Times New Roman"/>
          <w:noProof/>
          <w:lang w:val="en-GB"/>
        </w:rPr>
      </w:pPr>
      <w:bookmarkStart w:id="211" w:name="_Toc143113493"/>
      <w:r w:rsidRPr="008902F2">
        <w:rPr>
          <w:rFonts w:ascii="Times New Roman" w:hAnsi="Times New Roman" w:cs="Times New Roman"/>
          <w:noProof/>
          <w:lang w:val="en-GB"/>
        </w:rPr>
        <w:t xml:space="preserve">13. </w:t>
      </w:r>
      <w:r w:rsidR="00C11703" w:rsidRPr="008902F2">
        <w:rPr>
          <w:rFonts w:ascii="Times New Roman" w:hAnsi="Times New Roman" w:cs="Times New Roman"/>
          <w:noProof/>
          <w:lang w:val="en-GB"/>
        </w:rPr>
        <w:t>HUMAN RESOURCES AND EDUCATIONAL ACTIVITIES</w:t>
      </w:r>
      <w:bookmarkEnd w:id="211"/>
    </w:p>
    <w:p w14:paraId="642E0B76" w14:textId="1C0480CA" w:rsidR="00C11703" w:rsidRPr="008902F2" w:rsidRDefault="00C11703" w:rsidP="00420211">
      <w:pPr>
        <w:pStyle w:val="Balk2"/>
        <w:rPr>
          <w:rFonts w:ascii="Times New Roman" w:hAnsi="Times New Roman" w:cs="Times New Roman"/>
          <w:noProof/>
          <w:lang w:val="en-GB"/>
        </w:rPr>
      </w:pPr>
      <w:bookmarkStart w:id="212" w:name="_Toc143113494"/>
      <w:r w:rsidRPr="008902F2">
        <w:rPr>
          <w:rFonts w:ascii="Times New Roman" w:hAnsi="Times New Roman" w:cs="Times New Roman"/>
          <w:noProof/>
          <w:lang w:val="en-GB"/>
        </w:rPr>
        <w:t>13.1. Authority Staff</w:t>
      </w:r>
      <w:bookmarkEnd w:id="212"/>
    </w:p>
    <w:p w14:paraId="2F64EE12" w14:textId="73CD81EC" w:rsidR="00C11703" w:rsidRPr="008902F2" w:rsidRDefault="00C11703" w:rsidP="00420211">
      <w:pPr>
        <w:rPr>
          <w:rFonts w:ascii="Times New Roman" w:hAnsi="Times New Roman"/>
          <w:noProof/>
          <w:color w:val="000000" w:themeColor="text1"/>
          <w:lang w:val="en-GB"/>
        </w:rPr>
      </w:pPr>
      <w:r w:rsidRPr="008902F2">
        <w:rPr>
          <w:rFonts w:ascii="Times New Roman" w:hAnsi="Times New Roman"/>
          <w:noProof/>
          <w:color w:val="000000" w:themeColor="text1"/>
          <w:lang w:val="en-GB"/>
        </w:rPr>
        <w:t>The duties required by the services of the institution are carried out by the personnel employed on a contractual basis with an administrative service contract. The personnel of the Authority are subject to the Law No. 657 on Civil Servants, except for the issues regulated by the Law No. 4628. The Chairman of the Board and the members of the Board, as well as the personnel of the Authority employed with an administrative service contract, are deemed to be insured in terms of social security within the scope of subparagraph (c) of the first paragraph of Article 4 of the Social Security and General Health Insurance Law No. 5510, dated 31.05.2006. Social security rights and obligations of the Board Chairman and Board member and the personnel employed with an administrative service contract are regulated in accordance with the provisions of the aforementioned Law, without prejudice to the Provisional Article 4 of the Law No. 5510.With the Decree Law No. 666 published in the Official Gazette dated 02.11.2011 and numbered 28103 (Repeated), pursuant to the Additional Article 11 added to the Decree Law No. 375, the personnel of the Authority were subject to equal title and wage equalization in terms of wages and financial rights, and after 15.01.2012 The personnel appointed to the staff of the institution were subject to the wage and financial rights regime that the peers working in other public institutions and organizations are subject to.</w:t>
      </w:r>
    </w:p>
    <w:p w14:paraId="072E1B11" w14:textId="14D8C2B5"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13.1: Information on the Personnel Starting to Work in the Authority in 2022</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70" w:type="dxa"/>
          <w:right w:w="70" w:type="dxa"/>
        </w:tblCellMar>
        <w:tblLook w:val="0000" w:firstRow="0" w:lastRow="0" w:firstColumn="0" w:lastColumn="0" w:noHBand="0" w:noVBand="0"/>
      </w:tblPr>
      <w:tblGrid>
        <w:gridCol w:w="2190"/>
        <w:gridCol w:w="926"/>
        <w:gridCol w:w="464"/>
        <w:gridCol w:w="702"/>
        <w:gridCol w:w="1098"/>
        <w:gridCol w:w="577"/>
        <w:gridCol w:w="577"/>
        <w:gridCol w:w="844"/>
        <w:gridCol w:w="700"/>
        <w:gridCol w:w="145"/>
        <w:gridCol w:w="844"/>
        <w:gridCol w:w="844"/>
      </w:tblGrid>
      <w:tr w:rsidR="00AE16BB" w:rsidRPr="008902F2" w14:paraId="51B48258" w14:textId="77777777" w:rsidTr="00AE16BB">
        <w:trPr>
          <w:trHeight w:val="454"/>
          <w:jc w:val="center"/>
        </w:trPr>
        <w:tc>
          <w:tcPr>
            <w:tcW w:w="1105" w:type="pct"/>
            <w:vMerge w:val="restart"/>
            <w:shd w:val="clear" w:color="auto" w:fill="6E9ECA"/>
            <w:noWrap/>
            <w:vAlign w:val="center"/>
          </w:tcPr>
          <w:p w14:paraId="0ED1024B" w14:textId="77777777" w:rsidR="00C11703" w:rsidRPr="008902F2" w:rsidRDefault="00C11703" w:rsidP="00C11703">
            <w:pPr>
              <w:spacing w:after="0"/>
              <w:rPr>
                <w:rFonts w:ascii="Times New Roman" w:hAnsi="Times New Roman"/>
                <w:b/>
                <w:bCs/>
                <w:color w:val="FFFFFF"/>
                <w:lang w:val="en-GB"/>
              </w:rPr>
            </w:pPr>
            <w:r w:rsidRPr="008902F2">
              <w:rPr>
                <w:rFonts w:ascii="Times New Roman" w:hAnsi="Times New Roman"/>
                <w:b/>
                <w:bCs/>
                <w:color w:val="FFFFFF"/>
                <w:lang w:val="en-GB"/>
              </w:rPr>
              <w:t>POSITION</w:t>
            </w:r>
          </w:p>
        </w:tc>
        <w:tc>
          <w:tcPr>
            <w:tcW w:w="467" w:type="pct"/>
            <w:vMerge w:val="restart"/>
            <w:shd w:val="clear" w:color="auto" w:fill="6E9ECA"/>
            <w:vAlign w:val="center"/>
          </w:tcPr>
          <w:p w14:paraId="0351A3AF"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br/>
              <w:t>Number</w:t>
            </w:r>
          </w:p>
        </w:tc>
        <w:tc>
          <w:tcPr>
            <w:tcW w:w="1723" w:type="pct"/>
            <w:gridSpan w:val="5"/>
            <w:shd w:val="clear" w:color="auto" w:fill="6E9ECA"/>
            <w:noWrap/>
            <w:vAlign w:val="center"/>
          </w:tcPr>
          <w:p w14:paraId="6E011908"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STATE OF EDUCATION</w:t>
            </w:r>
          </w:p>
        </w:tc>
        <w:tc>
          <w:tcPr>
            <w:tcW w:w="779" w:type="pct"/>
            <w:gridSpan w:val="2"/>
            <w:shd w:val="clear" w:color="auto" w:fill="6E9ECA"/>
            <w:noWrap/>
            <w:vAlign w:val="center"/>
          </w:tcPr>
          <w:p w14:paraId="3B2A4B69" w14:textId="77777777" w:rsidR="00C11703" w:rsidRPr="008902F2" w:rsidRDefault="00C11703" w:rsidP="00C11703">
            <w:pPr>
              <w:spacing w:after="0"/>
              <w:ind w:right="-157"/>
              <w:jc w:val="center"/>
              <w:rPr>
                <w:rFonts w:ascii="Times New Roman" w:hAnsi="Times New Roman"/>
                <w:b/>
                <w:bCs/>
                <w:color w:val="FFFFFF"/>
                <w:lang w:val="en-GB"/>
              </w:rPr>
            </w:pPr>
            <w:r w:rsidRPr="008902F2">
              <w:rPr>
                <w:rFonts w:ascii="Times New Roman" w:hAnsi="Times New Roman"/>
                <w:b/>
                <w:bCs/>
                <w:color w:val="FFFFFF"/>
                <w:lang w:val="en-GB"/>
              </w:rPr>
              <w:t>GENDER</w:t>
            </w:r>
          </w:p>
        </w:tc>
        <w:tc>
          <w:tcPr>
            <w:tcW w:w="926" w:type="pct"/>
            <w:gridSpan w:val="3"/>
            <w:shd w:val="clear" w:color="auto" w:fill="6E9ECA"/>
            <w:vAlign w:val="center"/>
          </w:tcPr>
          <w:p w14:paraId="609BBD28" w14:textId="77777777" w:rsidR="00C11703" w:rsidRPr="008902F2" w:rsidRDefault="00C11703" w:rsidP="00C11703">
            <w:pPr>
              <w:spacing w:after="0"/>
              <w:ind w:right="-7"/>
              <w:jc w:val="center"/>
              <w:rPr>
                <w:rFonts w:ascii="Times New Roman" w:hAnsi="Times New Roman"/>
                <w:b/>
                <w:bCs/>
                <w:color w:val="FFFFFF"/>
                <w:lang w:val="en-GB"/>
              </w:rPr>
            </w:pPr>
            <w:r w:rsidRPr="008902F2">
              <w:rPr>
                <w:rFonts w:ascii="Times New Roman" w:hAnsi="Times New Roman"/>
                <w:b/>
                <w:bCs/>
                <w:color w:val="FFFFFF"/>
                <w:lang w:val="en-GB"/>
              </w:rPr>
              <w:t>STATUS OF ASSIGNMENT</w:t>
            </w:r>
          </w:p>
        </w:tc>
      </w:tr>
      <w:tr w:rsidR="00AE16BB" w:rsidRPr="008902F2" w14:paraId="2EEF58F4" w14:textId="77777777" w:rsidTr="00AE16BB">
        <w:trPr>
          <w:trHeight w:val="2100"/>
          <w:jc w:val="center"/>
        </w:trPr>
        <w:tc>
          <w:tcPr>
            <w:tcW w:w="1105" w:type="pct"/>
            <w:vMerge/>
            <w:vAlign w:val="center"/>
          </w:tcPr>
          <w:p w14:paraId="14F94981" w14:textId="77777777" w:rsidR="00C11703" w:rsidRPr="008902F2" w:rsidRDefault="00C11703" w:rsidP="00C11703">
            <w:pPr>
              <w:spacing w:after="0"/>
              <w:rPr>
                <w:rFonts w:ascii="Times New Roman" w:hAnsi="Times New Roman"/>
                <w:b/>
                <w:bCs/>
                <w:color w:val="000000"/>
                <w:lang w:val="en-GB"/>
              </w:rPr>
            </w:pPr>
          </w:p>
        </w:tc>
        <w:tc>
          <w:tcPr>
            <w:tcW w:w="467" w:type="pct"/>
            <w:vMerge/>
            <w:vAlign w:val="center"/>
          </w:tcPr>
          <w:p w14:paraId="3A85A40B" w14:textId="77777777" w:rsidR="00C11703" w:rsidRPr="008902F2" w:rsidRDefault="00C11703" w:rsidP="00C11703">
            <w:pPr>
              <w:spacing w:after="0"/>
              <w:jc w:val="center"/>
              <w:rPr>
                <w:rFonts w:ascii="Times New Roman" w:hAnsi="Times New Roman"/>
                <w:b/>
                <w:bCs/>
                <w:color w:val="000000"/>
                <w:lang w:val="en-GB"/>
              </w:rPr>
            </w:pPr>
          </w:p>
        </w:tc>
        <w:tc>
          <w:tcPr>
            <w:tcW w:w="234" w:type="pct"/>
            <w:shd w:val="clear" w:color="auto" w:fill="6E9ECA"/>
            <w:noWrap/>
            <w:textDirection w:val="btLr"/>
            <w:vAlign w:val="center"/>
          </w:tcPr>
          <w:p w14:paraId="33F30D18"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SECONDARY</w:t>
            </w:r>
          </w:p>
        </w:tc>
        <w:tc>
          <w:tcPr>
            <w:tcW w:w="354" w:type="pct"/>
            <w:shd w:val="clear" w:color="auto" w:fill="6E9ECA"/>
            <w:textDirection w:val="btLr"/>
            <w:vAlign w:val="center"/>
          </w:tcPr>
          <w:p w14:paraId="0E4A160F"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 xml:space="preserve">2-YEAR VOCATIONAL HUGH SCHOOL </w:t>
            </w:r>
          </w:p>
        </w:tc>
        <w:tc>
          <w:tcPr>
            <w:tcW w:w="554" w:type="pct"/>
            <w:shd w:val="clear" w:color="auto" w:fill="6E9ECA"/>
            <w:textDirection w:val="btLr"/>
            <w:vAlign w:val="center"/>
          </w:tcPr>
          <w:p w14:paraId="4B3CE3BD"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4-YEAR UNDERGRADUATE  DEGREE</w:t>
            </w:r>
          </w:p>
        </w:tc>
        <w:tc>
          <w:tcPr>
            <w:tcW w:w="291" w:type="pct"/>
            <w:shd w:val="clear" w:color="auto" w:fill="6E9ECA"/>
            <w:textDirection w:val="btLr"/>
            <w:vAlign w:val="center"/>
          </w:tcPr>
          <w:p w14:paraId="79F99C87"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GRADUATE DEGREE</w:t>
            </w:r>
          </w:p>
        </w:tc>
        <w:tc>
          <w:tcPr>
            <w:tcW w:w="291" w:type="pct"/>
            <w:shd w:val="clear" w:color="auto" w:fill="6E9ECA"/>
            <w:textDirection w:val="btLr"/>
            <w:vAlign w:val="center"/>
          </w:tcPr>
          <w:p w14:paraId="77F6E332"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PH.D.</w:t>
            </w:r>
          </w:p>
        </w:tc>
        <w:tc>
          <w:tcPr>
            <w:tcW w:w="426" w:type="pct"/>
            <w:shd w:val="clear" w:color="auto" w:fill="6E9ECA"/>
            <w:textDirection w:val="btLr"/>
            <w:vAlign w:val="center"/>
          </w:tcPr>
          <w:p w14:paraId="5576F49E"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FEMALE</w:t>
            </w:r>
          </w:p>
        </w:tc>
        <w:tc>
          <w:tcPr>
            <w:tcW w:w="426" w:type="pct"/>
            <w:gridSpan w:val="2"/>
            <w:shd w:val="clear" w:color="auto" w:fill="6E9ECA"/>
            <w:textDirection w:val="btLr"/>
            <w:vAlign w:val="center"/>
          </w:tcPr>
          <w:p w14:paraId="4F932A30"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MALE</w:t>
            </w:r>
          </w:p>
        </w:tc>
        <w:tc>
          <w:tcPr>
            <w:tcW w:w="426" w:type="pct"/>
            <w:shd w:val="clear" w:color="auto" w:fill="6E9ECA"/>
            <w:textDirection w:val="btLr"/>
            <w:vAlign w:val="center"/>
          </w:tcPr>
          <w:p w14:paraId="5BC656A4"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EXTRAMURAL</w:t>
            </w:r>
          </w:p>
        </w:tc>
        <w:tc>
          <w:tcPr>
            <w:tcW w:w="427" w:type="pct"/>
            <w:shd w:val="clear" w:color="auto" w:fill="6E9ECA"/>
            <w:textDirection w:val="btLr"/>
            <w:vAlign w:val="center"/>
          </w:tcPr>
          <w:p w14:paraId="62F6BE4C"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BY TRANSFER</w:t>
            </w:r>
          </w:p>
        </w:tc>
      </w:tr>
      <w:tr w:rsidR="00AE16BB" w:rsidRPr="008902F2" w14:paraId="2E60A8E1" w14:textId="77777777" w:rsidTr="00AE16BB">
        <w:trPr>
          <w:trHeight w:val="385"/>
          <w:jc w:val="center"/>
        </w:trPr>
        <w:tc>
          <w:tcPr>
            <w:tcW w:w="1105" w:type="pct"/>
            <w:shd w:val="clear" w:color="auto" w:fill="auto"/>
            <w:vAlign w:val="center"/>
          </w:tcPr>
          <w:p w14:paraId="2F345F56" w14:textId="77777777" w:rsidR="00C11703" w:rsidRPr="008902F2" w:rsidRDefault="00C11703" w:rsidP="00C11703">
            <w:pPr>
              <w:spacing w:after="0"/>
              <w:jc w:val="left"/>
              <w:rPr>
                <w:rFonts w:ascii="Times New Roman" w:hAnsi="Times New Roman"/>
                <w:color w:val="000000"/>
                <w:lang w:val="en-GB"/>
              </w:rPr>
            </w:pPr>
            <w:r w:rsidRPr="008902F2">
              <w:rPr>
                <w:rFonts w:ascii="Times New Roman" w:hAnsi="Times New Roman"/>
                <w:color w:val="000000"/>
                <w:lang w:val="en-GB"/>
              </w:rPr>
              <w:t>President Advisor</w:t>
            </w:r>
          </w:p>
        </w:tc>
        <w:tc>
          <w:tcPr>
            <w:tcW w:w="467" w:type="pct"/>
            <w:shd w:val="clear" w:color="auto" w:fill="auto"/>
            <w:noWrap/>
            <w:vAlign w:val="center"/>
          </w:tcPr>
          <w:p w14:paraId="073A1FC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34" w:type="pct"/>
            <w:shd w:val="clear" w:color="auto" w:fill="auto"/>
            <w:noWrap/>
            <w:vAlign w:val="center"/>
          </w:tcPr>
          <w:p w14:paraId="5BE24F0A"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13FF177D"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3C34DC9E"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53007ACE"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54740FC5"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shd w:val="clear" w:color="auto" w:fill="auto"/>
            <w:noWrap/>
            <w:vAlign w:val="center"/>
          </w:tcPr>
          <w:p w14:paraId="038DD7BB" w14:textId="77777777" w:rsidR="00C11703" w:rsidRPr="008902F2" w:rsidRDefault="00C11703" w:rsidP="00C11703">
            <w:pPr>
              <w:spacing w:after="0"/>
              <w:jc w:val="center"/>
              <w:rPr>
                <w:rFonts w:ascii="Times New Roman" w:hAnsi="Times New Roman"/>
                <w:color w:val="000000"/>
                <w:lang w:val="en-GB"/>
              </w:rPr>
            </w:pPr>
          </w:p>
        </w:tc>
        <w:tc>
          <w:tcPr>
            <w:tcW w:w="426" w:type="pct"/>
            <w:gridSpan w:val="2"/>
            <w:shd w:val="clear" w:color="auto" w:fill="auto"/>
            <w:noWrap/>
            <w:vAlign w:val="center"/>
          </w:tcPr>
          <w:p w14:paraId="7399C845"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vAlign w:val="center"/>
          </w:tcPr>
          <w:p w14:paraId="6DA4E6C4"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7" w:type="pct"/>
            <w:vAlign w:val="center"/>
          </w:tcPr>
          <w:p w14:paraId="6A35D607"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39D02D48" w14:textId="77777777" w:rsidTr="00AE16BB">
        <w:trPr>
          <w:trHeight w:val="454"/>
          <w:jc w:val="center"/>
        </w:trPr>
        <w:tc>
          <w:tcPr>
            <w:tcW w:w="1105" w:type="pct"/>
            <w:shd w:val="clear" w:color="auto" w:fill="auto"/>
            <w:vAlign w:val="center"/>
          </w:tcPr>
          <w:p w14:paraId="4D3B8D83"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lastRenderedPageBreak/>
              <w:t>Laeyer</w:t>
            </w:r>
          </w:p>
        </w:tc>
        <w:tc>
          <w:tcPr>
            <w:tcW w:w="467" w:type="pct"/>
            <w:shd w:val="clear" w:color="auto" w:fill="auto"/>
            <w:noWrap/>
            <w:vAlign w:val="center"/>
          </w:tcPr>
          <w:p w14:paraId="00B0C943"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34" w:type="pct"/>
            <w:shd w:val="clear" w:color="auto" w:fill="auto"/>
            <w:noWrap/>
            <w:vAlign w:val="center"/>
          </w:tcPr>
          <w:p w14:paraId="1925CDAF"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5A506AD8"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5A1FD59E"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91" w:type="pct"/>
            <w:shd w:val="clear" w:color="auto" w:fill="auto"/>
            <w:noWrap/>
            <w:vAlign w:val="center"/>
          </w:tcPr>
          <w:p w14:paraId="1252FB33"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147B7D1E"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607B941B"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gridSpan w:val="2"/>
            <w:shd w:val="clear" w:color="auto" w:fill="auto"/>
            <w:noWrap/>
            <w:vAlign w:val="center"/>
          </w:tcPr>
          <w:p w14:paraId="7FEDB016"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vAlign w:val="center"/>
          </w:tcPr>
          <w:p w14:paraId="5C894BDA" w14:textId="77777777" w:rsidR="00C11703" w:rsidRPr="008902F2" w:rsidRDefault="00C11703" w:rsidP="00C11703">
            <w:pPr>
              <w:spacing w:after="0"/>
              <w:jc w:val="center"/>
              <w:rPr>
                <w:rFonts w:ascii="Times New Roman" w:hAnsi="Times New Roman"/>
                <w:color w:val="000000"/>
                <w:lang w:val="en-GB"/>
              </w:rPr>
            </w:pPr>
          </w:p>
        </w:tc>
        <w:tc>
          <w:tcPr>
            <w:tcW w:w="427" w:type="pct"/>
            <w:vAlign w:val="center"/>
          </w:tcPr>
          <w:p w14:paraId="1A2FE0CF"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r>
      <w:tr w:rsidR="00AE16BB" w:rsidRPr="008902F2" w14:paraId="2C3734D4" w14:textId="77777777" w:rsidTr="00AE16BB">
        <w:trPr>
          <w:trHeight w:val="70"/>
          <w:jc w:val="center"/>
        </w:trPr>
        <w:tc>
          <w:tcPr>
            <w:tcW w:w="1105" w:type="pct"/>
            <w:shd w:val="clear" w:color="auto" w:fill="auto"/>
            <w:vAlign w:val="center"/>
          </w:tcPr>
          <w:p w14:paraId="0265F2F5"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Analyist</w:t>
            </w:r>
          </w:p>
        </w:tc>
        <w:tc>
          <w:tcPr>
            <w:tcW w:w="467" w:type="pct"/>
            <w:shd w:val="clear" w:color="auto" w:fill="auto"/>
            <w:noWrap/>
            <w:vAlign w:val="center"/>
          </w:tcPr>
          <w:p w14:paraId="1C2665A4"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34" w:type="pct"/>
            <w:shd w:val="clear" w:color="auto" w:fill="auto"/>
            <w:noWrap/>
            <w:vAlign w:val="center"/>
          </w:tcPr>
          <w:p w14:paraId="081606BF"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500D806A"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310430BC"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91" w:type="pct"/>
            <w:shd w:val="clear" w:color="auto" w:fill="auto"/>
            <w:noWrap/>
            <w:vAlign w:val="center"/>
          </w:tcPr>
          <w:p w14:paraId="08CE680E"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717A86B2"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048E61E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gridSpan w:val="2"/>
            <w:shd w:val="clear" w:color="auto" w:fill="auto"/>
            <w:noWrap/>
            <w:vAlign w:val="center"/>
          </w:tcPr>
          <w:p w14:paraId="654EFC3D"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vAlign w:val="center"/>
          </w:tcPr>
          <w:p w14:paraId="222F8CC6"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427" w:type="pct"/>
            <w:vAlign w:val="center"/>
          </w:tcPr>
          <w:p w14:paraId="15384EE4"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664D5585" w14:textId="77777777" w:rsidTr="00AE16BB">
        <w:trPr>
          <w:trHeight w:val="454"/>
          <w:jc w:val="center"/>
        </w:trPr>
        <w:tc>
          <w:tcPr>
            <w:tcW w:w="1105" w:type="pct"/>
            <w:shd w:val="clear" w:color="auto" w:fill="auto"/>
            <w:vAlign w:val="center"/>
          </w:tcPr>
          <w:p w14:paraId="5CF2851A"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bCs/>
                <w:color w:val="000000"/>
                <w:lang w:val="en-GB"/>
              </w:rPr>
              <w:t>Engineer</w:t>
            </w:r>
          </w:p>
        </w:tc>
        <w:tc>
          <w:tcPr>
            <w:tcW w:w="467" w:type="pct"/>
            <w:shd w:val="clear" w:color="auto" w:fill="auto"/>
            <w:noWrap/>
            <w:vAlign w:val="center"/>
          </w:tcPr>
          <w:p w14:paraId="5EE91959"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15</w:t>
            </w:r>
          </w:p>
        </w:tc>
        <w:tc>
          <w:tcPr>
            <w:tcW w:w="234" w:type="pct"/>
            <w:shd w:val="clear" w:color="auto" w:fill="auto"/>
            <w:noWrap/>
            <w:vAlign w:val="center"/>
          </w:tcPr>
          <w:p w14:paraId="2F7E628B"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1E9747F6"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2CB07D90"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 xml:space="preserve">  14</w:t>
            </w:r>
          </w:p>
        </w:tc>
        <w:tc>
          <w:tcPr>
            <w:tcW w:w="291" w:type="pct"/>
            <w:shd w:val="clear" w:color="auto" w:fill="auto"/>
            <w:noWrap/>
            <w:vAlign w:val="center"/>
          </w:tcPr>
          <w:p w14:paraId="09CDC4F3"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91" w:type="pct"/>
            <w:shd w:val="clear" w:color="auto" w:fill="auto"/>
            <w:noWrap/>
            <w:vAlign w:val="center"/>
          </w:tcPr>
          <w:p w14:paraId="36094444"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1C8CC211"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10</w:t>
            </w:r>
          </w:p>
        </w:tc>
        <w:tc>
          <w:tcPr>
            <w:tcW w:w="426" w:type="pct"/>
            <w:gridSpan w:val="2"/>
            <w:shd w:val="clear" w:color="auto" w:fill="auto"/>
            <w:noWrap/>
            <w:vAlign w:val="center"/>
          </w:tcPr>
          <w:p w14:paraId="5EFDC617"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5</w:t>
            </w:r>
          </w:p>
        </w:tc>
        <w:tc>
          <w:tcPr>
            <w:tcW w:w="426" w:type="pct"/>
            <w:vAlign w:val="center"/>
          </w:tcPr>
          <w:p w14:paraId="48A537DF"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14</w:t>
            </w:r>
          </w:p>
        </w:tc>
        <w:tc>
          <w:tcPr>
            <w:tcW w:w="427" w:type="pct"/>
            <w:vAlign w:val="center"/>
          </w:tcPr>
          <w:p w14:paraId="055D45D9"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r>
      <w:tr w:rsidR="00AE16BB" w:rsidRPr="008902F2" w14:paraId="2840C211" w14:textId="77777777" w:rsidTr="00AE16BB">
        <w:trPr>
          <w:trHeight w:val="454"/>
          <w:jc w:val="center"/>
        </w:trPr>
        <w:tc>
          <w:tcPr>
            <w:tcW w:w="1105" w:type="pct"/>
            <w:shd w:val="clear" w:color="auto" w:fill="auto"/>
            <w:vAlign w:val="center"/>
          </w:tcPr>
          <w:p w14:paraId="3FD6B84B"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Librarian</w:t>
            </w:r>
          </w:p>
        </w:tc>
        <w:tc>
          <w:tcPr>
            <w:tcW w:w="467" w:type="pct"/>
            <w:shd w:val="clear" w:color="auto" w:fill="auto"/>
            <w:noWrap/>
            <w:vAlign w:val="center"/>
          </w:tcPr>
          <w:p w14:paraId="2B68DB15"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34" w:type="pct"/>
            <w:shd w:val="clear" w:color="auto" w:fill="auto"/>
            <w:noWrap/>
            <w:vAlign w:val="center"/>
          </w:tcPr>
          <w:p w14:paraId="70A97331"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2FB51257"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508D710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91" w:type="pct"/>
            <w:shd w:val="clear" w:color="auto" w:fill="auto"/>
            <w:noWrap/>
            <w:vAlign w:val="center"/>
          </w:tcPr>
          <w:p w14:paraId="5D3679E0"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0DEE8023"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11B67890"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gridSpan w:val="2"/>
            <w:shd w:val="clear" w:color="auto" w:fill="auto"/>
            <w:noWrap/>
            <w:vAlign w:val="center"/>
          </w:tcPr>
          <w:p w14:paraId="203BE87B" w14:textId="77777777" w:rsidR="00C11703" w:rsidRPr="008902F2" w:rsidRDefault="00C11703" w:rsidP="00C11703">
            <w:pPr>
              <w:spacing w:after="0"/>
              <w:jc w:val="center"/>
              <w:rPr>
                <w:rFonts w:ascii="Times New Roman" w:hAnsi="Times New Roman"/>
                <w:color w:val="000000"/>
                <w:lang w:val="en-GB"/>
              </w:rPr>
            </w:pPr>
          </w:p>
        </w:tc>
        <w:tc>
          <w:tcPr>
            <w:tcW w:w="426" w:type="pct"/>
            <w:vAlign w:val="center"/>
          </w:tcPr>
          <w:p w14:paraId="35528B0E"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7" w:type="pct"/>
            <w:vAlign w:val="center"/>
          </w:tcPr>
          <w:p w14:paraId="3AAD5FCB"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3A1BB564" w14:textId="77777777" w:rsidTr="00AE16BB">
        <w:trPr>
          <w:trHeight w:val="454"/>
          <w:jc w:val="center"/>
        </w:trPr>
        <w:tc>
          <w:tcPr>
            <w:tcW w:w="1105" w:type="pct"/>
            <w:shd w:val="clear" w:color="auto" w:fill="auto"/>
            <w:vAlign w:val="center"/>
          </w:tcPr>
          <w:p w14:paraId="5761DF6A"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bCs/>
                <w:color w:val="000000"/>
                <w:lang w:val="en-GB"/>
              </w:rPr>
              <w:t>Translator-Interpreter</w:t>
            </w:r>
          </w:p>
        </w:tc>
        <w:tc>
          <w:tcPr>
            <w:tcW w:w="467" w:type="pct"/>
            <w:shd w:val="clear" w:color="auto" w:fill="auto"/>
            <w:noWrap/>
            <w:vAlign w:val="center"/>
          </w:tcPr>
          <w:p w14:paraId="60C4CC28"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34" w:type="pct"/>
            <w:shd w:val="clear" w:color="auto" w:fill="auto"/>
            <w:noWrap/>
            <w:vAlign w:val="center"/>
          </w:tcPr>
          <w:p w14:paraId="78D914E3"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3B033A0F"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05D71304"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91" w:type="pct"/>
            <w:shd w:val="clear" w:color="auto" w:fill="auto"/>
            <w:noWrap/>
            <w:vAlign w:val="center"/>
          </w:tcPr>
          <w:p w14:paraId="27013175"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73D32766"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069B625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gridSpan w:val="2"/>
            <w:shd w:val="clear" w:color="auto" w:fill="auto"/>
            <w:noWrap/>
            <w:vAlign w:val="center"/>
          </w:tcPr>
          <w:p w14:paraId="1218D88F"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vAlign w:val="center"/>
          </w:tcPr>
          <w:p w14:paraId="5E38B2D3"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427" w:type="pct"/>
            <w:vAlign w:val="center"/>
          </w:tcPr>
          <w:p w14:paraId="4031306E"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762472D5" w14:textId="77777777" w:rsidTr="00AE16BB">
        <w:trPr>
          <w:trHeight w:val="454"/>
          <w:jc w:val="center"/>
        </w:trPr>
        <w:tc>
          <w:tcPr>
            <w:tcW w:w="1105" w:type="pct"/>
            <w:shd w:val="clear" w:color="auto" w:fill="auto"/>
            <w:vAlign w:val="center"/>
          </w:tcPr>
          <w:p w14:paraId="540A9777"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Management Officer</w:t>
            </w:r>
          </w:p>
        </w:tc>
        <w:tc>
          <w:tcPr>
            <w:tcW w:w="467" w:type="pct"/>
            <w:shd w:val="clear" w:color="auto" w:fill="auto"/>
            <w:noWrap/>
            <w:vAlign w:val="center"/>
          </w:tcPr>
          <w:p w14:paraId="35619DC7"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16</w:t>
            </w:r>
          </w:p>
        </w:tc>
        <w:tc>
          <w:tcPr>
            <w:tcW w:w="234" w:type="pct"/>
            <w:shd w:val="clear" w:color="auto" w:fill="auto"/>
            <w:noWrap/>
            <w:vAlign w:val="center"/>
          </w:tcPr>
          <w:p w14:paraId="7CEEA432"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6A1E0840"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15</w:t>
            </w:r>
          </w:p>
        </w:tc>
        <w:tc>
          <w:tcPr>
            <w:tcW w:w="554" w:type="pct"/>
            <w:shd w:val="clear" w:color="auto" w:fill="auto"/>
            <w:noWrap/>
            <w:vAlign w:val="center"/>
          </w:tcPr>
          <w:p w14:paraId="1D2F6348"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91" w:type="pct"/>
            <w:shd w:val="clear" w:color="auto" w:fill="auto"/>
            <w:noWrap/>
            <w:vAlign w:val="center"/>
          </w:tcPr>
          <w:p w14:paraId="3E008770"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3558BC10"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28338CA1"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9</w:t>
            </w:r>
          </w:p>
        </w:tc>
        <w:tc>
          <w:tcPr>
            <w:tcW w:w="426" w:type="pct"/>
            <w:gridSpan w:val="2"/>
            <w:shd w:val="clear" w:color="auto" w:fill="auto"/>
            <w:noWrap/>
            <w:vAlign w:val="center"/>
          </w:tcPr>
          <w:p w14:paraId="5CA6B5A8"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7</w:t>
            </w:r>
          </w:p>
        </w:tc>
        <w:tc>
          <w:tcPr>
            <w:tcW w:w="426" w:type="pct"/>
            <w:vAlign w:val="center"/>
          </w:tcPr>
          <w:p w14:paraId="0293DE94"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15</w:t>
            </w:r>
          </w:p>
        </w:tc>
        <w:tc>
          <w:tcPr>
            <w:tcW w:w="427" w:type="pct"/>
            <w:vAlign w:val="center"/>
          </w:tcPr>
          <w:p w14:paraId="7DCE807F"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r>
      <w:tr w:rsidR="00AE16BB" w:rsidRPr="008902F2" w14:paraId="26DE0440" w14:textId="77777777" w:rsidTr="00AE16BB">
        <w:trPr>
          <w:trHeight w:val="454"/>
          <w:jc w:val="center"/>
        </w:trPr>
        <w:tc>
          <w:tcPr>
            <w:tcW w:w="1105" w:type="pct"/>
            <w:shd w:val="clear" w:color="auto" w:fill="auto"/>
            <w:vAlign w:val="center"/>
          </w:tcPr>
          <w:p w14:paraId="6F565F78"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Communication Officer</w:t>
            </w:r>
          </w:p>
        </w:tc>
        <w:tc>
          <w:tcPr>
            <w:tcW w:w="467" w:type="pct"/>
            <w:shd w:val="clear" w:color="auto" w:fill="auto"/>
            <w:noWrap/>
            <w:vAlign w:val="center"/>
          </w:tcPr>
          <w:p w14:paraId="5F9975CE"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5</w:t>
            </w:r>
          </w:p>
        </w:tc>
        <w:tc>
          <w:tcPr>
            <w:tcW w:w="234" w:type="pct"/>
            <w:shd w:val="clear" w:color="auto" w:fill="auto"/>
            <w:noWrap/>
            <w:vAlign w:val="center"/>
          </w:tcPr>
          <w:p w14:paraId="1D493961" w14:textId="77777777" w:rsidR="00C11703" w:rsidRPr="008902F2" w:rsidRDefault="00C11703" w:rsidP="00C11703">
            <w:pPr>
              <w:spacing w:after="0"/>
              <w:jc w:val="center"/>
              <w:rPr>
                <w:rFonts w:ascii="Times New Roman" w:hAnsi="Times New Roman"/>
                <w:color w:val="000000"/>
                <w:lang w:val="en-GB"/>
              </w:rPr>
            </w:pPr>
          </w:p>
        </w:tc>
        <w:tc>
          <w:tcPr>
            <w:tcW w:w="354" w:type="pct"/>
            <w:shd w:val="clear" w:color="auto" w:fill="auto"/>
            <w:noWrap/>
            <w:vAlign w:val="center"/>
          </w:tcPr>
          <w:p w14:paraId="1D2AF40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5</w:t>
            </w:r>
          </w:p>
        </w:tc>
        <w:tc>
          <w:tcPr>
            <w:tcW w:w="554" w:type="pct"/>
            <w:shd w:val="clear" w:color="auto" w:fill="auto"/>
            <w:noWrap/>
            <w:vAlign w:val="center"/>
          </w:tcPr>
          <w:p w14:paraId="13E0E725"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3610432B"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28EDA276"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3F7E5A8A"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4</w:t>
            </w:r>
          </w:p>
        </w:tc>
        <w:tc>
          <w:tcPr>
            <w:tcW w:w="426" w:type="pct"/>
            <w:gridSpan w:val="2"/>
            <w:shd w:val="clear" w:color="auto" w:fill="auto"/>
            <w:noWrap/>
            <w:vAlign w:val="center"/>
          </w:tcPr>
          <w:p w14:paraId="6D643985"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426" w:type="pct"/>
            <w:vAlign w:val="center"/>
          </w:tcPr>
          <w:p w14:paraId="38FF97E8"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5</w:t>
            </w:r>
          </w:p>
        </w:tc>
        <w:tc>
          <w:tcPr>
            <w:tcW w:w="427" w:type="pct"/>
            <w:vAlign w:val="center"/>
          </w:tcPr>
          <w:p w14:paraId="40736B09"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1BEA47E8" w14:textId="77777777" w:rsidTr="00AE16BB">
        <w:trPr>
          <w:trHeight w:val="454"/>
          <w:jc w:val="center"/>
        </w:trPr>
        <w:tc>
          <w:tcPr>
            <w:tcW w:w="1105" w:type="pct"/>
            <w:shd w:val="clear" w:color="auto" w:fill="auto"/>
            <w:vAlign w:val="center"/>
          </w:tcPr>
          <w:p w14:paraId="2E55C5C5" w14:textId="77777777" w:rsidR="00C11703" w:rsidRPr="008902F2" w:rsidRDefault="00C11703" w:rsidP="00C11703">
            <w:pPr>
              <w:spacing w:after="0"/>
              <w:rPr>
                <w:rFonts w:ascii="Times New Roman" w:hAnsi="Times New Roman"/>
                <w:color w:val="000000"/>
                <w:lang w:val="en-GB"/>
              </w:rPr>
            </w:pPr>
            <w:r w:rsidRPr="008902F2">
              <w:rPr>
                <w:rFonts w:ascii="Times New Roman" w:hAnsi="Times New Roman"/>
                <w:color w:val="000000"/>
                <w:lang w:val="en-GB"/>
              </w:rPr>
              <w:t>Technician</w:t>
            </w:r>
          </w:p>
        </w:tc>
        <w:tc>
          <w:tcPr>
            <w:tcW w:w="467" w:type="pct"/>
            <w:shd w:val="clear" w:color="auto" w:fill="auto"/>
            <w:noWrap/>
            <w:vAlign w:val="center"/>
          </w:tcPr>
          <w:p w14:paraId="2B90EB16"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34" w:type="pct"/>
            <w:shd w:val="clear" w:color="auto" w:fill="auto"/>
            <w:noWrap/>
            <w:vAlign w:val="center"/>
          </w:tcPr>
          <w:p w14:paraId="719780A2"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54" w:type="pct"/>
            <w:shd w:val="clear" w:color="auto" w:fill="auto"/>
            <w:noWrap/>
            <w:vAlign w:val="center"/>
          </w:tcPr>
          <w:p w14:paraId="5C2EB84B" w14:textId="77777777" w:rsidR="00C11703" w:rsidRPr="008902F2" w:rsidRDefault="00C11703" w:rsidP="00C11703">
            <w:pPr>
              <w:spacing w:after="0"/>
              <w:jc w:val="center"/>
              <w:rPr>
                <w:rFonts w:ascii="Times New Roman" w:hAnsi="Times New Roman"/>
                <w:color w:val="000000"/>
                <w:lang w:val="en-GB"/>
              </w:rPr>
            </w:pPr>
          </w:p>
        </w:tc>
        <w:tc>
          <w:tcPr>
            <w:tcW w:w="554" w:type="pct"/>
            <w:shd w:val="clear" w:color="auto" w:fill="auto"/>
            <w:noWrap/>
            <w:vAlign w:val="center"/>
          </w:tcPr>
          <w:p w14:paraId="0760EF63"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2CCC7026" w14:textId="77777777" w:rsidR="00C11703" w:rsidRPr="008902F2" w:rsidRDefault="00C11703" w:rsidP="00C11703">
            <w:pPr>
              <w:spacing w:after="0"/>
              <w:jc w:val="center"/>
              <w:rPr>
                <w:rFonts w:ascii="Times New Roman" w:hAnsi="Times New Roman"/>
                <w:color w:val="000000"/>
                <w:lang w:val="en-GB"/>
              </w:rPr>
            </w:pPr>
          </w:p>
        </w:tc>
        <w:tc>
          <w:tcPr>
            <w:tcW w:w="291" w:type="pct"/>
            <w:shd w:val="clear" w:color="auto" w:fill="auto"/>
            <w:noWrap/>
            <w:vAlign w:val="center"/>
          </w:tcPr>
          <w:p w14:paraId="39F72AB6" w14:textId="77777777" w:rsidR="00C11703" w:rsidRPr="008902F2" w:rsidRDefault="00C11703" w:rsidP="00C11703">
            <w:pPr>
              <w:spacing w:after="0"/>
              <w:jc w:val="center"/>
              <w:rPr>
                <w:rFonts w:ascii="Times New Roman" w:hAnsi="Times New Roman"/>
                <w:color w:val="000000"/>
                <w:lang w:val="en-GB"/>
              </w:rPr>
            </w:pPr>
          </w:p>
        </w:tc>
        <w:tc>
          <w:tcPr>
            <w:tcW w:w="426" w:type="pct"/>
            <w:shd w:val="clear" w:color="auto" w:fill="auto"/>
            <w:noWrap/>
            <w:vAlign w:val="center"/>
          </w:tcPr>
          <w:p w14:paraId="5A2E57D7" w14:textId="77777777" w:rsidR="00C11703" w:rsidRPr="008902F2" w:rsidRDefault="00C11703" w:rsidP="00C11703">
            <w:pPr>
              <w:spacing w:after="0"/>
              <w:jc w:val="center"/>
              <w:rPr>
                <w:rFonts w:ascii="Times New Roman" w:hAnsi="Times New Roman"/>
                <w:color w:val="000000"/>
                <w:lang w:val="en-GB"/>
              </w:rPr>
            </w:pPr>
          </w:p>
        </w:tc>
        <w:tc>
          <w:tcPr>
            <w:tcW w:w="426" w:type="pct"/>
            <w:gridSpan w:val="2"/>
            <w:shd w:val="clear" w:color="auto" w:fill="auto"/>
            <w:noWrap/>
            <w:vAlign w:val="center"/>
          </w:tcPr>
          <w:p w14:paraId="3EECB723"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426" w:type="pct"/>
            <w:vAlign w:val="center"/>
          </w:tcPr>
          <w:p w14:paraId="1A3A8000" w14:textId="77777777" w:rsidR="00C11703" w:rsidRPr="008902F2" w:rsidRDefault="00C11703"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427" w:type="pct"/>
            <w:vAlign w:val="center"/>
          </w:tcPr>
          <w:p w14:paraId="514D4203" w14:textId="77777777" w:rsidR="00C11703" w:rsidRPr="008902F2" w:rsidRDefault="00C11703" w:rsidP="00C11703">
            <w:pPr>
              <w:spacing w:after="0"/>
              <w:jc w:val="center"/>
              <w:rPr>
                <w:rFonts w:ascii="Times New Roman" w:hAnsi="Times New Roman"/>
                <w:color w:val="000000"/>
                <w:lang w:val="en-GB"/>
              </w:rPr>
            </w:pPr>
          </w:p>
        </w:tc>
      </w:tr>
      <w:tr w:rsidR="00AE16BB" w:rsidRPr="008902F2" w14:paraId="185FB279" w14:textId="77777777" w:rsidTr="00AE16BB">
        <w:trPr>
          <w:trHeight w:val="454"/>
          <w:jc w:val="center"/>
        </w:trPr>
        <w:tc>
          <w:tcPr>
            <w:tcW w:w="1105" w:type="pct"/>
            <w:shd w:val="clear" w:color="auto" w:fill="auto"/>
            <w:vAlign w:val="center"/>
          </w:tcPr>
          <w:p w14:paraId="05D54875" w14:textId="77777777" w:rsidR="00C11703" w:rsidRPr="008902F2" w:rsidRDefault="00C11703" w:rsidP="00C11703">
            <w:pPr>
              <w:spacing w:after="0"/>
              <w:rPr>
                <w:rFonts w:ascii="Times New Roman" w:hAnsi="Times New Roman"/>
                <w:b/>
                <w:color w:val="000000"/>
                <w:lang w:val="en-GB"/>
              </w:rPr>
            </w:pPr>
            <w:r w:rsidRPr="008902F2">
              <w:rPr>
                <w:rFonts w:ascii="Times New Roman" w:hAnsi="Times New Roman"/>
                <w:b/>
                <w:color w:val="000000"/>
                <w:lang w:val="en-GB"/>
              </w:rPr>
              <w:t>TOTAL</w:t>
            </w:r>
          </w:p>
        </w:tc>
        <w:tc>
          <w:tcPr>
            <w:tcW w:w="467" w:type="pct"/>
            <w:shd w:val="clear" w:color="auto" w:fill="auto"/>
            <w:noWrap/>
            <w:vAlign w:val="center"/>
          </w:tcPr>
          <w:p w14:paraId="62495451"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46</w:t>
            </w:r>
          </w:p>
        </w:tc>
        <w:tc>
          <w:tcPr>
            <w:tcW w:w="234" w:type="pct"/>
            <w:shd w:val="clear" w:color="auto" w:fill="auto"/>
            <w:noWrap/>
            <w:vAlign w:val="center"/>
          </w:tcPr>
          <w:p w14:paraId="3234A0E3"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2</w:t>
            </w:r>
          </w:p>
        </w:tc>
        <w:tc>
          <w:tcPr>
            <w:tcW w:w="354" w:type="pct"/>
            <w:shd w:val="clear" w:color="auto" w:fill="auto"/>
            <w:noWrap/>
            <w:vAlign w:val="center"/>
          </w:tcPr>
          <w:p w14:paraId="280CE8CD"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20</w:t>
            </w:r>
          </w:p>
        </w:tc>
        <w:tc>
          <w:tcPr>
            <w:tcW w:w="554" w:type="pct"/>
            <w:shd w:val="clear" w:color="auto" w:fill="auto"/>
            <w:noWrap/>
            <w:vAlign w:val="center"/>
          </w:tcPr>
          <w:p w14:paraId="124BCD21"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22</w:t>
            </w:r>
          </w:p>
        </w:tc>
        <w:tc>
          <w:tcPr>
            <w:tcW w:w="291" w:type="pct"/>
            <w:shd w:val="clear" w:color="auto" w:fill="auto"/>
            <w:noWrap/>
            <w:vAlign w:val="center"/>
          </w:tcPr>
          <w:p w14:paraId="01091780"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1</w:t>
            </w:r>
          </w:p>
        </w:tc>
        <w:tc>
          <w:tcPr>
            <w:tcW w:w="291" w:type="pct"/>
            <w:shd w:val="clear" w:color="auto" w:fill="auto"/>
            <w:noWrap/>
            <w:vAlign w:val="center"/>
          </w:tcPr>
          <w:p w14:paraId="54D738EE"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1</w:t>
            </w:r>
          </w:p>
        </w:tc>
        <w:tc>
          <w:tcPr>
            <w:tcW w:w="426" w:type="pct"/>
            <w:shd w:val="clear" w:color="auto" w:fill="auto"/>
            <w:noWrap/>
            <w:vAlign w:val="center"/>
          </w:tcPr>
          <w:p w14:paraId="5FAFDB7A"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27</w:t>
            </w:r>
          </w:p>
        </w:tc>
        <w:tc>
          <w:tcPr>
            <w:tcW w:w="426" w:type="pct"/>
            <w:gridSpan w:val="2"/>
            <w:shd w:val="clear" w:color="auto" w:fill="auto"/>
            <w:noWrap/>
            <w:vAlign w:val="center"/>
          </w:tcPr>
          <w:p w14:paraId="7883B487"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19</w:t>
            </w:r>
          </w:p>
        </w:tc>
        <w:tc>
          <w:tcPr>
            <w:tcW w:w="426" w:type="pct"/>
            <w:vAlign w:val="center"/>
          </w:tcPr>
          <w:p w14:paraId="6FB19DBE"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42</w:t>
            </w:r>
          </w:p>
        </w:tc>
        <w:tc>
          <w:tcPr>
            <w:tcW w:w="427" w:type="pct"/>
            <w:vAlign w:val="center"/>
          </w:tcPr>
          <w:p w14:paraId="0BFD8839" w14:textId="77777777" w:rsidR="00C11703" w:rsidRPr="008902F2" w:rsidRDefault="00C11703" w:rsidP="00C11703">
            <w:pPr>
              <w:spacing w:after="0"/>
              <w:jc w:val="center"/>
              <w:rPr>
                <w:rFonts w:ascii="Times New Roman" w:hAnsi="Times New Roman"/>
                <w:b/>
                <w:color w:val="000000"/>
                <w:lang w:val="en-GB"/>
              </w:rPr>
            </w:pPr>
            <w:r w:rsidRPr="008902F2">
              <w:rPr>
                <w:rFonts w:ascii="Times New Roman" w:hAnsi="Times New Roman"/>
                <w:b/>
                <w:color w:val="000000"/>
                <w:lang w:val="en-GB"/>
              </w:rPr>
              <w:t>4</w:t>
            </w:r>
          </w:p>
        </w:tc>
      </w:tr>
    </w:tbl>
    <w:p w14:paraId="538093C5" w14:textId="77777777" w:rsidR="00C11703" w:rsidRPr="008902F2" w:rsidRDefault="00C11703" w:rsidP="00C11703">
      <w:pPr>
        <w:rPr>
          <w:rFonts w:ascii="Times New Roman" w:hAnsi="Times New Roman"/>
          <w:lang w:val="en-GB"/>
        </w:rPr>
      </w:pPr>
      <w:r w:rsidRPr="008902F2">
        <w:rPr>
          <w:rFonts w:ascii="Times New Roman" w:hAnsi="Times New Roman"/>
          <w:noProof/>
          <w:color w:val="000000" w:themeColor="text1"/>
          <w:lang w:val="en-GB"/>
        </w:rPr>
        <w:t>* Excluding permanent staff members.</w:t>
      </w:r>
    </w:p>
    <w:p w14:paraId="06B1DC97" w14:textId="1995C072" w:rsidR="00C11703" w:rsidRPr="008902F2" w:rsidRDefault="00C11703" w:rsidP="00C11703">
      <w:pPr>
        <w:tabs>
          <w:tab w:val="left" w:pos="3119"/>
          <w:tab w:val="left" w:pos="3828"/>
        </w:tabs>
        <w:rPr>
          <w:rFonts w:ascii="Times New Roman" w:hAnsi="Times New Roman"/>
          <w:noProof/>
          <w:lang w:val="en-GB"/>
        </w:rPr>
      </w:pPr>
    </w:p>
    <w:p w14:paraId="210485BF" w14:textId="7F9CDF89" w:rsidR="00AE16BB" w:rsidRPr="008902F2" w:rsidRDefault="00AE16BB" w:rsidP="00C11703">
      <w:pPr>
        <w:tabs>
          <w:tab w:val="left" w:pos="3119"/>
          <w:tab w:val="left" w:pos="3828"/>
        </w:tabs>
        <w:rPr>
          <w:rFonts w:ascii="Times New Roman" w:hAnsi="Times New Roman"/>
          <w:noProof/>
          <w:lang w:val="en-GB"/>
        </w:rPr>
      </w:pPr>
    </w:p>
    <w:p w14:paraId="40387757" w14:textId="51472616" w:rsidR="00AE16BB" w:rsidRPr="008902F2" w:rsidRDefault="00AE16BB" w:rsidP="00C11703">
      <w:pPr>
        <w:tabs>
          <w:tab w:val="left" w:pos="3119"/>
          <w:tab w:val="left" w:pos="3828"/>
        </w:tabs>
        <w:rPr>
          <w:rFonts w:ascii="Times New Roman" w:hAnsi="Times New Roman"/>
          <w:noProof/>
          <w:lang w:val="en-GB"/>
        </w:rPr>
      </w:pPr>
    </w:p>
    <w:p w14:paraId="318CFFE5" w14:textId="73F9D767" w:rsidR="00AE16BB" w:rsidRPr="008902F2" w:rsidRDefault="00AE16BB" w:rsidP="00C11703">
      <w:pPr>
        <w:tabs>
          <w:tab w:val="left" w:pos="3119"/>
          <w:tab w:val="left" w:pos="3828"/>
        </w:tabs>
        <w:rPr>
          <w:rFonts w:ascii="Times New Roman" w:hAnsi="Times New Roman"/>
          <w:noProof/>
          <w:lang w:val="en-GB"/>
        </w:rPr>
      </w:pPr>
    </w:p>
    <w:p w14:paraId="52C98500" w14:textId="261AA980" w:rsidR="00AE16BB" w:rsidRPr="008902F2" w:rsidRDefault="00AE16BB" w:rsidP="00C11703">
      <w:pPr>
        <w:tabs>
          <w:tab w:val="left" w:pos="3119"/>
          <w:tab w:val="left" w:pos="3828"/>
        </w:tabs>
        <w:rPr>
          <w:rFonts w:ascii="Times New Roman" w:hAnsi="Times New Roman"/>
          <w:noProof/>
          <w:lang w:val="en-GB"/>
        </w:rPr>
      </w:pPr>
    </w:p>
    <w:p w14:paraId="67E55AD4" w14:textId="1F27F438" w:rsidR="00AE16BB" w:rsidRPr="008902F2" w:rsidRDefault="00AE16BB" w:rsidP="00C11703">
      <w:pPr>
        <w:tabs>
          <w:tab w:val="left" w:pos="3119"/>
          <w:tab w:val="left" w:pos="3828"/>
        </w:tabs>
        <w:rPr>
          <w:rFonts w:ascii="Times New Roman" w:hAnsi="Times New Roman"/>
          <w:noProof/>
          <w:lang w:val="en-GB"/>
        </w:rPr>
      </w:pPr>
    </w:p>
    <w:p w14:paraId="5AD0C795" w14:textId="77777777" w:rsidR="00AE16BB" w:rsidRPr="008902F2" w:rsidRDefault="00AE16BB" w:rsidP="00C11703">
      <w:pPr>
        <w:tabs>
          <w:tab w:val="left" w:pos="3119"/>
          <w:tab w:val="left" w:pos="3828"/>
        </w:tabs>
        <w:rPr>
          <w:rFonts w:ascii="Times New Roman" w:hAnsi="Times New Roman"/>
          <w:noProof/>
          <w:lang w:val="en-GB"/>
        </w:rPr>
      </w:pPr>
    </w:p>
    <w:p w14:paraId="70682F2C"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13.2: Information For The Personnel Left from the Authority in 2022</w:t>
      </w:r>
    </w:p>
    <w:tbl>
      <w:tblPr>
        <w:tblW w:w="4646"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70" w:type="dxa"/>
          <w:right w:w="70" w:type="dxa"/>
        </w:tblCellMar>
        <w:tblLook w:val="0000" w:firstRow="0" w:lastRow="0" w:firstColumn="0" w:lastColumn="0" w:noHBand="0" w:noVBand="0"/>
      </w:tblPr>
      <w:tblGrid>
        <w:gridCol w:w="1837"/>
        <w:gridCol w:w="426"/>
        <w:gridCol w:w="709"/>
        <w:gridCol w:w="993"/>
        <w:gridCol w:w="1162"/>
        <w:gridCol w:w="685"/>
        <w:gridCol w:w="495"/>
        <w:gridCol w:w="497"/>
        <w:gridCol w:w="602"/>
        <w:gridCol w:w="602"/>
        <w:gridCol w:w="602"/>
        <w:gridCol w:w="599"/>
      </w:tblGrid>
      <w:tr w:rsidR="00AE16BB" w:rsidRPr="008902F2" w14:paraId="6E6B2255" w14:textId="77777777" w:rsidTr="00AE16BB">
        <w:trPr>
          <w:trHeight w:val="352"/>
        </w:trPr>
        <w:tc>
          <w:tcPr>
            <w:tcW w:w="997" w:type="pct"/>
            <w:vMerge w:val="restart"/>
            <w:shd w:val="clear" w:color="auto" w:fill="6E9ECA"/>
            <w:noWrap/>
            <w:vAlign w:val="center"/>
          </w:tcPr>
          <w:p w14:paraId="67E68C2A" w14:textId="77777777" w:rsidR="00AE16BB" w:rsidRPr="008902F2" w:rsidRDefault="00AE16BB" w:rsidP="00C11703">
            <w:pPr>
              <w:spacing w:after="0"/>
              <w:jc w:val="center"/>
              <w:rPr>
                <w:rFonts w:ascii="Times New Roman" w:hAnsi="Times New Roman"/>
                <w:b/>
                <w:bCs/>
                <w:color w:val="FFFFFF"/>
                <w:lang w:val="en-GB"/>
              </w:rPr>
            </w:pPr>
          </w:p>
          <w:p w14:paraId="129C17BA"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POSITION</w:t>
            </w:r>
          </w:p>
        </w:tc>
        <w:tc>
          <w:tcPr>
            <w:tcW w:w="231" w:type="pct"/>
            <w:vMerge w:val="restart"/>
            <w:shd w:val="clear" w:color="auto" w:fill="6E9ECA"/>
            <w:vAlign w:val="center"/>
          </w:tcPr>
          <w:p w14:paraId="47D56278"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br/>
              <w:t>NUMB</w:t>
            </w:r>
          </w:p>
          <w:p w14:paraId="1B78535E"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E</w:t>
            </w:r>
          </w:p>
          <w:p w14:paraId="094706B3" w14:textId="181FEA9D"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R</w:t>
            </w:r>
          </w:p>
        </w:tc>
        <w:tc>
          <w:tcPr>
            <w:tcW w:w="1927" w:type="pct"/>
            <w:gridSpan w:val="4"/>
            <w:shd w:val="clear" w:color="auto" w:fill="6E9ECA"/>
            <w:noWrap/>
            <w:vAlign w:val="center"/>
          </w:tcPr>
          <w:p w14:paraId="0BB66654"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STATE OF EDUCATION</w:t>
            </w:r>
          </w:p>
        </w:tc>
        <w:tc>
          <w:tcPr>
            <w:tcW w:w="539" w:type="pct"/>
            <w:gridSpan w:val="2"/>
            <w:shd w:val="clear" w:color="auto" w:fill="6E9ECA"/>
            <w:noWrap/>
            <w:vAlign w:val="center"/>
          </w:tcPr>
          <w:p w14:paraId="6F80548B" w14:textId="77777777" w:rsidR="00AE16BB" w:rsidRPr="008902F2" w:rsidRDefault="00AE16BB" w:rsidP="00C11703">
            <w:pPr>
              <w:spacing w:after="0"/>
              <w:ind w:right="-157"/>
              <w:rPr>
                <w:rFonts w:ascii="Times New Roman" w:hAnsi="Times New Roman"/>
                <w:b/>
                <w:bCs/>
                <w:color w:val="FFFFFF"/>
                <w:lang w:val="en-GB"/>
              </w:rPr>
            </w:pPr>
            <w:r w:rsidRPr="008902F2">
              <w:rPr>
                <w:rFonts w:ascii="Times New Roman" w:hAnsi="Times New Roman"/>
                <w:b/>
                <w:bCs/>
                <w:color w:val="FFFFFF"/>
                <w:lang w:val="en-GB"/>
              </w:rPr>
              <w:t>GENDER</w:t>
            </w:r>
          </w:p>
        </w:tc>
        <w:tc>
          <w:tcPr>
            <w:tcW w:w="1306" w:type="pct"/>
            <w:gridSpan w:val="4"/>
            <w:shd w:val="clear" w:color="auto" w:fill="6E9ECA"/>
            <w:vAlign w:val="center"/>
          </w:tcPr>
          <w:p w14:paraId="293842E5" w14:textId="77777777" w:rsidR="00AE16BB" w:rsidRPr="008902F2" w:rsidRDefault="00AE16BB" w:rsidP="00C11703">
            <w:pPr>
              <w:spacing w:after="0"/>
              <w:ind w:right="-157"/>
              <w:jc w:val="center"/>
              <w:rPr>
                <w:rFonts w:ascii="Times New Roman" w:hAnsi="Times New Roman"/>
                <w:b/>
                <w:bCs/>
                <w:color w:val="FFFFFF"/>
                <w:lang w:val="en-GB"/>
              </w:rPr>
            </w:pPr>
            <w:r w:rsidRPr="008902F2">
              <w:rPr>
                <w:rFonts w:ascii="Times New Roman" w:hAnsi="Times New Roman"/>
                <w:b/>
                <w:bCs/>
                <w:color w:val="FFFFFF"/>
                <w:lang w:val="en-GB"/>
              </w:rPr>
              <w:t>REASON OF LEAVING</w:t>
            </w:r>
          </w:p>
        </w:tc>
      </w:tr>
      <w:tr w:rsidR="00AE16BB" w:rsidRPr="008902F2" w14:paraId="18AEB294" w14:textId="77777777" w:rsidTr="00AE16BB">
        <w:trPr>
          <w:trHeight w:val="2021"/>
        </w:trPr>
        <w:tc>
          <w:tcPr>
            <w:tcW w:w="997" w:type="pct"/>
            <w:vMerge/>
            <w:shd w:val="clear" w:color="auto" w:fill="6E9ECA"/>
            <w:vAlign w:val="center"/>
          </w:tcPr>
          <w:p w14:paraId="1F10FA3C" w14:textId="77777777" w:rsidR="00AE16BB" w:rsidRPr="008902F2" w:rsidRDefault="00AE16BB" w:rsidP="00C11703">
            <w:pPr>
              <w:spacing w:after="0"/>
              <w:rPr>
                <w:rFonts w:ascii="Times New Roman" w:hAnsi="Times New Roman"/>
                <w:b/>
                <w:bCs/>
                <w:color w:val="FFFFFF"/>
                <w:lang w:val="en-GB"/>
              </w:rPr>
            </w:pPr>
          </w:p>
        </w:tc>
        <w:tc>
          <w:tcPr>
            <w:tcW w:w="231" w:type="pct"/>
            <w:vMerge/>
            <w:shd w:val="clear" w:color="auto" w:fill="6E9ECA"/>
            <w:vAlign w:val="center"/>
          </w:tcPr>
          <w:p w14:paraId="695CA43D" w14:textId="77777777" w:rsidR="00AE16BB" w:rsidRPr="008902F2" w:rsidRDefault="00AE16BB" w:rsidP="00C11703">
            <w:pPr>
              <w:spacing w:after="0"/>
              <w:rPr>
                <w:rFonts w:ascii="Times New Roman" w:hAnsi="Times New Roman"/>
                <w:b/>
                <w:bCs/>
                <w:color w:val="FFFFFF"/>
                <w:lang w:val="en-GB"/>
              </w:rPr>
            </w:pPr>
          </w:p>
        </w:tc>
        <w:tc>
          <w:tcPr>
            <w:tcW w:w="385" w:type="pct"/>
            <w:shd w:val="clear" w:color="auto" w:fill="6E9ECA"/>
            <w:noWrap/>
            <w:textDirection w:val="btLr"/>
            <w:vAlign w:val="center"/>
          </w:tcPr>
          <w:p w14:paraId="34A24CBA"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SECONDARY</w:t>
            </w:r>
          </w:p>
        </w:tc>
        <w:tc>
          <w:tcPr>
            <w:tcW w:w="539" w:type="pct"/>
            <w:shd w:val="clear" w:color="auto" w:fill="6E9ECA"/>
            <w:textDirection w:val="btLr"/>
            <w:vAlign w:val="center"/>
          </w:tcPr>
          <w:p w14:paraId="5166552F"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 xml:space="preserve">2-YEAR VOCATIONAL HUGH SCHOOL </w:t>
            </w:r>
          </w:p>
        </w:tc>
        <w:tc>
          <w:tcPr>
            <w:tcW w:w="631" w:type="pct"/>
            <w:shd w:val="clear" w:color="auto" w:fill="6E9ECA"/>
            <w:textDirection w:val="btLr"/>
            <w:vAlign w:val="center"/>
          </w:tcPr>
          <w:p w14:paraId="5DDECF34"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4-YEAR UNDERGRADUATE  DEGREE</w:t>
            </w:r>
          </w:p>
        </w:tc>
        <w:tc>
          <w:tcPr>
            <w:tcW w:w="372" w:type="pct"/>
            <w:shd w:val="clear" w:color="auto" w:fill="6E9ECA"/>
            <w:textDirection w:val="btLr"/>
            <w:vAlign w:val="center"/>
          </w:tcPr>
          <w:p w14:paraId="278CFE0B" w14:textId="7F8856CB" w:rsidR="00AE16BB" w:rsidRPr="008902F2" w:rsidRDefault="00AE16BB" w:rsidP="00AE16BB">
            <w:pPr>
              <w:spacing w:after="0"/>
              <w:jc w:val="center"/>
              <w:rPr>
                <w:rFonts w:ascii="Times New Roman" w:hAnsi="Times New Roman"/>
                <w:b/>
                <w:bCs/>
                <w:color w:val="FFFFFF"/>
                <w:lang w:val="en-GB"/>
              </w:rPr>
            </w:pPr>
            <w:r w:rsidRPr="008902F2">
              <w:rPr>
                <w:rFonts w:ascii="Times New Roman" w:hAnsi="Times New Roman"/>
                <w:b/>
                <w:bCs/>
                <w:color w:val="FFFFFF"/>
                <w:lang w:val="en-GB"/>
              </w:rPr>
              <w:t>GRADUATE DEGREE</w:t>
            </w:r>
          </w:p>
        </w:tc>
        <w:tc>
          <w:tcPr>
            <w:tcW w:w="269" w:type="pct"/>
            <w:shd w:val="clear" w:color="auto" w:fill="6E9ECA"/>
            <w:textDirection w:val="btLr"/>
            <w:vAlign w:val="center"/>
          </w:tcPr>
          <w:p w14:paraId="66FAC250"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FEMALE</w:t>
            </w:r>
          </w:p>
        </w:tc>
        <w:tc>
          <w:tcPr>
            <w:tcW w:w="270" w:type="pct"/>
            <w:shd w:val="clear" w:color="auto" w:fill="6E9ECA"/>
            <w:textDirection w:val="btLr"/>
            <w:vAlign w:val="center"/>
          </w:tcPr>
          <w:p w14:paraId="3CFD5A7E"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MALE</w:t>
            </w:r>
          </w:p>
        </w:tc>
        <w:tc>
          <w:tcPr>
            <w:tcW w:w="327" w:type="pct"/>
            <w:shd w:val="clear" w:color="auto" w:fill="6E9ECA"/>
            <w:textDirection w:val="btLr"/>
          </w:tcPr>
          <w:p w14:paraId="5E856F09"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RESIGNATION</w:t>
            </w:r>
          </w:p>
        </w:tc>
        <w:tc>
          <w:tcPr>
            <w:tcW w:w="327" w:type="pct"/>
            <w:shd w:val="clear" w:color="auto" w:fill="6E9ECA"/>
            <w:textDirection w:val="btLr"/>
          </w:tcPr>
          <w:p w14:paraId="40018F40"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RETIREMENT</w:t>
            </w:r>
          </w:p>
        </w:tc>
        <w:tc>
          <w:tcPr>
            <w:tcW w:w="327" w:type="pct"/>
            <w:shd w:val="clear" w:color="auto" w:fill="6E9ECA"/>
            <w:textDirection w:val="btLr"/>
            <w:vAlign w:val="center"/>
          </w:tcPr>
          <w:p w14:paraId="16E16212" w14:textId="77777777"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TRANSFER</w:t>
            </w:r>
          </w:p>
        </w:tc>
        <w:tc>
          <w:tcPr>
            <w:tcW w:w="325" w:type="pct"/>
            <w:shd w:val="clear" w:color="auto" w:fill="6E9ECA"/>
            <w:textDirection w:val="btLr"/>
          </w:tcPr>
          <w:p w14:paraId="326CF2E3" w14:textId="5CC6CBBB" w:rsidR="00AE16BB" w:rsidRPr="008902F2" w:rsidRDefault="00AE16BB"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DISMISS</w:t>
            </w:r>
          </w:p>
        </w:tc>
      </w:tr>
      <w:tr w:rsidR="00AE16BB" w:rsidRPr="008902F2" w14:paraId="1E3CC4D0" w14:textId="77777777" w:rsidTr="00AE16BB">
        <w:trPr>
          <w:trHeight w:val="397"/>
        </w:trPr>
        <w:tc>
          <w:tcPr>
            <w:tcW w:w="997" w:type="pct"/>
            <w:shd w:val="clear" w:color="auto" w:fill="auto"/>
            <w:noWrap/>
            <w:vAlign w:val="bottom"/>
          </w:tcPr>
          <w:p w14:paraId="01058F84"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Energy Specialist</w:t>
            </w:r>
          </w:p>
        </w:tc>
        <w:tc>
          <w:tcPr>
            <w:tcW w:w="231" w:type="pct"/>
            <w:shd w:val="clear" w:color="auto" w:fill="auto"/>
            <w:noWrap/>
            <w:vAlign w:val="center"/>
          </w:tcPr>
          <w:p w14:paraId="4D5F73D3"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10</w:t>
            </w:r>
          </w:p>
        </w:tc>
        <w:tc>
          <w:tcPr>
            <w:tcW w:w="385" w:type="pct"/>
            <w:shd w:val="clear" w:color="auto" w:fill="auto"/>
            <w:noWrap/>
            <w:vAlign w:val="center"/>
          </w:tcPr>
          <w:p w14:paraId="18294AD6" w14:textId="77777777" w:rsidR="00AE16BB" w:rsidRPr="008902F2" w:rsidRDefault="00AE16BB" w:rsidP="00C11703">
            <w:pPr>
              <w:spacing w:after="0"/>
              <w:jc w:val="center"/>
              <w:rPr>
                <w:rFonts w:ascii="Times New Roman" w:hAnsi="Times New Roman"/>
                <w:color w:val="000000"/>
                <w:lang w:val="en-GB"/>
              </w:rPr>
            </w:pPr>
          </w:p>
        </w:tc>
        <w:tc>
          <w:tcPr>
            <w:tcW w:w="539" w:type="pct"/>
            <w:shd w:val="clear" w:color="auto" w:fill="auto"/>
            <w:noWrap/>
            <w:vAlign w:val="center"/>
          </w:tcPr>
          <w:p w14:paraId="0328AE91" w14:textId="77777777" w:rsidR="00AE16BB" w:rsidRPr="008902F2" w:rsidRDefault="00AE16BB" w:rsidP="00C11703">
            <w:pPr>
              <w:spacing w:after="0"/>
              <w:jc w:val="center"/>
              <w:rPr>
                <w:rFonts w:ascii="Times New Roman" w:hAnsi="Times New Roman"/>
                <w:color w:val="000000"/>
                <w:lang w:val="en-GB"/>
              </w:rPr>
            </w:pPr>
          </w:p>
        </w:tc>
        <w:tc>
          <w:tcPr>
            <w:tcW w:w="631" w:type="pct"/>
            <w:shd w:val="clear" w:color="auto" w:fill="auto"/>
            <w:noWrap/>
            <w:vAlign w:val="center"/>
          </w:tcPr>
          <w:p w14:paraId="4ABD9457"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 xml:space="preserve">  7</w:t>
            </w:r>
          </w:p>
        </w:tc>
        <w:tc>
          <w:tcPr>
            <w:tcW w:w="372" w:type="pct"/>
            <w:shd w:val="clear" w:color="auto" w:fill="auto"/>
            <w:noWrap/>
            <w:vAlign w:val="center"/>
          </w:tcPr>
          <w:p w14:paraId="65F0B921"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3</w:t>
            </w:r>
          </w:p>
        </w:tc>
        <w:tc>
          <w:tcPr>
            <w:tcW w:w="269" w:type="pct"/>
            <w:shd w:val="clear" w:color="auto" w:fill="auto"/>
            <w:noWrap/>
            <w:vAlign w:val="center"/>
          </w:tcPr>
          <w:p w14:paraId="5EFB0A91"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3</w:t>
            </w:r>
          </w:p>
        </w:tc>
        <w:tc>
          <w:tcPr>
            <w:tcW w:w="270" w:type="pct"/>
            <w:shd w:val="clear" w:color="auto" w:fill="auto"/>
            <w:noWrap/>
            <w:vAlign w:val="center"/>
          </w:tcPr>
          <w:p w14:paraId="5FD145E0"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7</w:t>
            </w:r>
          </w:p>
        </w:tc>
        <w:tc>
          <w:tcPr>
            <w:tcW w:w="327" w:type="pct"/>
            <w:vAlign w:val="center"/>
          </w:tcPr>
          <w:p w14:paraId="7A727D1C"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6</w:t>
            </w:r>
          </w:p>
        </w:tc>
        <w:tc>
          <w:tcPr>
            <w:tcW w:w="327" w:type="pct"/>
            <w:vAlign w:val="center"/>
          </w:tcPr>
          <w:p w14:paraId="15369A1A"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3</w:t>
            </w:r>
          </w:p>
        </w:tc>
        <w:tc>
          <w:tcPr>
            <w:tcW w:w="327" w:type="pct"/>
            <w:vAlign w:val="center"/>
          </w:tcPr>
          <w:p w14:paraId="6AC2A5E5" w14:textId="77777777" w:rsidR="00AE16BB" w:rsidRPr="008902F2" w:rsidRDefault="00AE16BB" w:rsidP="00C11703">
            <w:pPr>
              <w:spacing w:after="0"/>
              <w:jc w:val="center"/>
              <w:rPr>
                <w:rFonts w:ascii="Times New Roman" w:hAnsi="Times New Roman"/>
                <w:color w:val="000000"/>
                <w:lang w:val="en-GB"/>
              </w:rPr>
            </w:pPr>
          </w:p>
        </w:tc>
        <w:tc>
          <w:tcPr>
            <w:tcW w:w="325" w:type="pct"/>
            <w:vAlign w:val="center"/>
          </w:tcPr>
          <w:p w14:paraId="486322D9"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r>
      <w:tr w:rsidR="00AE16BB" w:rsidRPr="008902F2" w14:paraId="1249BEEE" w14:textId="77777777" w:rsidTr="00AE16BB">
        <w:trPr>
          <w:trHeight w:val="397"/>
        </w:trPr>
        <w:tc>
          <w:tcPr>
            <w:tcW w:w="997" w:type="pct"/>
            <w:shd w:val="clear" w:color="auto" w:fill="auto"/>
            <w:vAlign w:val="bottom"/>
          </w:tcPr>
          <w:p w14:paraId="1C571B35"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Energy Specialist</w:t>
            </w:r>
          </w:p>
        </w:tc>
        <w:tc>
          <w:tcPr>
            <w:tcW w:w="231" w:type="pct"/>
            <w:shd w:val="clear" w:color="auto" w:fill="auto"/>
            <w:noWrap/>
            <w:vAlign w:val="center"/>
          </w:tcPr>
          <w:p w14:paraId="54BB8A35"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85" w:type="pct"/>
            <w:shd w:val="clear" w:color="auto" w:fill="auto"/>
            <w:noWrap/>
            <w:vAlign w:val="center"/>
          </w:tcPr>
          <w:p w14:paraId="7B7C90E5" w14:textId="77777777" w:rsidR="00AE16BB" w:rsidRPr="008902F2" w:rsidRDefault="00AE16BB" w:rsidP="00C11703">
            <w:pPr>
              <w:spacing w:after="0"/>
              <w:jc w:val="center"/>
              <w:rPr>
                <w:rFonts w:ascii="Times New Roman" w:hAnsi="Times New Roman"/>
                <w:color w:val="000000"/>
                <w:lang w:val="en-GB"/>
              </w:rPr>
            </w:pPr>
          </w:p>
        </w:tc>
        <w:tc>
          <w:tcPr>
            <w:tcW w:w="539" w:type="pct"/>
            <w:shd w:val="clear" w:color="auto" w:fill="auto"/>
            <w:noWrap/>
            <w:vAlign w:val="center"/>
          </w:tcPr>
          <w:p w14:paraId="74CF9314" w14:textId="77777777" w:rsidR="00AE16BB" w:rsidRPr="008902F2" w:rsidRDefault="00AE16BB" w:rsidP="00C11703">
            <w:pPr>
              <w:spacing w:after="0"/>
              <w:jc w:val="center"/>
              <w:rPr>
                <w:rFonts w:ascii="Times New Roman" w:hAnsi="Times New Roman"/>
                <w:color w:val="000000"/>
                <w:lang w:val="en-GB"/>
              </w:rPr>
            </w:pPr>
          </w:p>
        </w:tc>
        <w:tc>
          <w:tcPr>
            <w:tcW w:w="631" w:type="pct"/>
            <w:shd w:val="clear" w:color="auto" w:fill="auto"/>
            <w:noWrap/>
            <w:vAlign w:val="center"/>
          </w:tcPr>
          <w:p w14:paraId="5A4A6A10"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72" w:type="pct"/>
            <w:shd w:val="clear" w:color="auto" w:fill="auto"/>
            <w:noWrap/>
            <w:vAlign w:val="center"/>
          </w:tcPr>
          <w:p w14:paraId="73D3D521" w14:textId="77777777" w:rsidR="00AE16BB" w:rsidRPr="008902F2" w:rsidRDefault="00AE16BB" w:rsidP="00C11703">
            <w:pPr>
              <w:spacing w:after="0"/>
              <w:jc w:val="center"/>
              <w:rPr>
                <w:rFonts w:ascii="Times New Roman" w:hAnsi="Times New Roman"/>
                <w:color w:val="000000"/>
                <w:lang w:val="en-GB"/>
              </w:rPr>
            </w:pPr>
          </w:p>
        </w:tc>
        <w:tc>
          <w:tcPr>
            <w:tcW w:w="269" w:type="pct"/>
            <w:shd w:val="clear" w:color="auto" w:fill="auto"/>
            <w:noWrap/>
            <w:vAlign w:val="center"/>
          </w:tcPr>
          <w:p w14:paraId="20A453B8"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70" w:type="pct"/>
            <w:shd w:val="clear" w:color="auto" w:fill="auto"/>
            <w:noWrap/>
            <w:vAlign w:val="center"/>
          </w:tcPr>
          <w:p w14:paraId="5B2C6FB7"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52C6B052"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27" w:type="pct"/>
            <w:vAlign w:val="center"/>
          </w:tcPr>
          <w:p w14:paraId="2B6728C2" w14:textId="77777777" w:rsidR="00AE16BB" w:rsidRPr="008902F2" w:rsidRDefault="00AE16BB" w:rsidP="00C11703">
            <w:pPr>
              <w:spacing w:after="0"/>
              <w:jc w:val="center"/>
              <w:rPr>
                <w:rFonts w:ascii="Times New Roman" w:hAnsi="Times New Roman"/>
                <w:color w:val="000000"/>
                <w:lang w:val="en-GB"/>
              </w:rPr>
            </w:pPr>
          </w:p>
        </w:tc>
        <w:tc>
          <w:tcPr>
            <w:tcW w:w="327" w:type="pct"/>
            <w:vAlign w:val="center"/>
          </w:tcPr>
          <w:p w14:paraId="2F9374B1" w14:textId="77777777" w:rsidR="00AE16BB" w:rsidRPr="008902F2" w:rsidRDefault="00AE16BB" w:rsidP="00C11703">
            <w:pPr>
              <w:spacing w:after="0"/>
              <w:jc w:val="center"/>
              <w:rPr>
                <w:rFonts w:ascii="Times New Roman" w:hAnsi="Times New Roman"/>
                <w:color w:val="000000"/>
                <w:lang w:val="en-GB"/>
              </w:rPr>
            </w:pPr>
          </w:p>
        </w:tc>
        <w:tc>
          <w:tcPr>
            <w:tcW w:w="325" w:type="pct"/>
            <w:vAlign w:val="center"/>
          </w:tcPr>
          <w:p w14:paraId="46F07873" w14:textId="77777777" w:rsidR="00AE16BB" w:rsidRPr="008902F2" w:rsidRDefault="00AE16BB" w:rsidP="00C11703">
            <w:pPr>
              <w:spacing w:after="0"/>
              <w:jc w:val="center"/>
              <w:rPr>
                <w:rFonts w:ascii="Times New Roman" w:hAnsi="Times New Roman"/>
                <w:color w:val="000000"/>
                <w:lang w:val="en-GB"/>
              </w:rPr>
            </w:pPr>
          </w:p>
        </w:tc>
      </w:tr>
      <w:tr w:rsidR="00AE16BB" w:rsidRPr="008902F2" w14:paraId="60BCA547" w14:textId="77777777" w:rsidTr="00AE16BB">
        <w:trPr>
          <w:trHeight w:val="397"/>
        </w:trPr>
        <w:tc>
          <w:tcPr>
            <w:tcW w:w="997" w:type="pct"/>
            <w:shd w:val="clear" w:color="auto" w:fill="auto"/>
            <w:noWrap/>
            <w:vAlign w:val="bottom"/>
          </w:tcPr>
          <w:p w14:paraId="322E5A32"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Head of Gruoup</w:t>
            </w:r>
          </w:p>
        </w:tc>
        <w:tc>
          <w:tcPr>
            <w:tcW w:w="231" w:type="pct"/>
            <w:shd w:val="clear" w:color="auto" w:fill="auto"/>
            <w:noWrap/>
            <w:vAlign w:val="center"/>
          </w:tcPr>
          <w:p w14:paraId="374710AC"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85" w:type="pct"/>
            <w:shd w:val="clear" w:color="auto" w:fill="auto"/>
            <w:noWrap/>
            <w:vAlign w:val="center"/>
          </w:tcPr>
          <w:p w14:paraId="0137F4EF" w14:textId="77777777" w:rsidR="00AE16BB" w:rsidRPr="008902F2" w:rsidRDefault="00AE16BB" w:rsidP="00C11703">
            <w:pPr>
              <w:spacing w:after="0"/>
              <w:jc w:val="center"/>
              <w:rPr>
                <w:rFonts w:ascii="Times New Roman" w:hAnsi="Times New Roman"/>
                <w:color w:val="000000"/>
                <w:lang w:val="en-GB"/>
              </w:rPr>
            </w:pPr>
          </w:p>
        </w:tc>
        <w:tc>
          <w:tcPr>
            <w:tcW w:w="539" w:type="pct"/>
            <w:shd w:val="clear" w:color="auto" w:fill="auto"/>
            <w:noWrap/>
            <w:vAlign w:val="center"/>
          </w:tcPr>
          <w:p w14:paraId="5ABC17AA" w14:textId="77777777" w:rsidR="00AE16BB" w:rsidRPr="008902F2" w:rsidRDefault="00AE16BB" w:rsidP="00C11703">
            <w:pPr>
              <w:spacing w:after="0"/>
              <w:jc w:val="center"/>
              <w:rPr>
                <w:rFonts w:ascii="Times New Roman" w:hAnsi="Times New Roman"/>
                <w:color w:val="000000"/>
                <w:lang w:val="en-GB"/>
              </w:rPr>
            </w:pPr>
          </w:p>
        </w:tc>
        <w:tc>
          <w:tcPr>
            <w:tcW w:w="631" w:type="pct"/>
            <w:shd w:val="clear" w:color="auto" w:fill="auto"/>
            <w:noWrap/>
            <w:vAlign w:val="center"/>
          </w:tcPr>
          <w:p w14:paraId="7CE4C05A" w14:textId="77777777" w:rsidR="00AE16BB" w:rsidRPr="008902F2" w:rsidRDefault="00AE16BB" w:rsidP="00C11703">
            <w:pPr>
              <w:spacing w:after="0"/>
              <w:jc w:val="center"/>
              <w:rPr>
                <w:rFonts w:ascii="Times New Roman" w:hAnsi="Times New Roman"/>
                <w:color w:val="000000"/>
                <w:lang w:val="en-GB"/>
              </w:rPr>
            </w:pPr>
          </w:p>
        </w:tc>
        <w:tc>
          <w:tcPr>
            <w:tcW w:w="372" w:type="pct"/>
            <w:shd w:val="clear" w:color="auto" w:fill="auto"/>
            <w:noWrap/>
            <w:vAlign w:val="center"/>
          </w:tcPr>
          <w:p w14:paraId="6EB44211"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69" w:type="pct"/>
            <w:shd w:val="clear" w:color="auto" w:fill="auto"/>
            <w:noWrap/>
            <w:vAlign w:val="center"/>
          </w:tcPr>
          <w:p w14:paraId="14576C4E"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70" w:type="pct"/>
            <w:shd w:val="clear" w:color="auto" w:fill="auto"/>
            <w:noWrap/>
            <w:vAlign w:val="center"/>
          </w:tcPr>
          <w:p w14:paraId="78E2B5FD" w14:textId="77777777" w:rsidR="00AE16BB" w:rsidRPr="008902F2" w:rsidRDefault="00AE16BB" w:rsidP="00C11703">
            <w:pPr>
              <w:spacing w:after="0"/>
              <w:jc w:val="center"/>
              <w:rPr>
                <w:rFonts w:ascii="Times New Roman" w:hAnsi="Times New Roman"/>
                <w:color w:val="000000"/>
                <w:lang w:val="en-GB"/>
              </w:rPr>
            </w:pPr>
          </w:p>
        </w:tc>
        <w:tc>
          <w:tcPr>
            <w:tcW w:w="327" w:type="pct"/>
            <w:vAlign w:val="center"/>
          </w:tcPr>
          <w:p w14:paraId="2C6C99F5" w14:textId="77777777" w:rsidR="00AE16BB" w:rsidRPr="008902F2" w:rsidRDefault="00AE16BB" w:rsidP="00C11703">
            <w:pPr>
              <w:spacing w:after="0"/>
              <w:jc w:val="center"/>
              <w:rPr>
                <w:rFonts w:ascii="Times New Roman" w:hAnsi="Times New Roman"/>
                <w:color w:val="000000"/>
                <w:lang w:val="en-GB"/>
              </w:rPr>
            </w:pPr>
          </w:p>
        </w:tc>
        <w:tc>
          <w:tcPr>
            <w:tcW w:w="327" w:type="pct"/>
            <w:vAlign w:val="center"/>
          </w:tcPr>
          <w:p w14:paraId="5D5B06F9"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0827566D" w14:textId="77777777" w:rsidR="00AE16BB" w:rsidRPr="008902F2" w:rsidRDefault="00AE16BB" w:rsidP="00C11703">
            <w:pPr>
              <w:spacing w:after="0"/>
              <w:jc w:val="center"/>
              <w:rPr>
                <w:rFonts w:ascii="Times New Roman" w:hAnsi="Times New Roman"/>
                <w:color w:val="000000"/>
                <w:lang w:val="en-GB"/>
              </w:rPr>
            </w:pPr>
          </w:p>
        </w:tc>
        <w:tc>
          <w:tcPr>
            <w:tcW w:w="325" w:type="pct"/>
            <w:vAlign w:val="center"/>
          </w:tcPr>
          <w:p w14:paraId="682B5083" w14:textId="77777777" w:rsidR="00AE16BB" w:rsidRPr="008902F2" w:rsidRDefault="00AE16BB" w:rsidP="00C11703">
            <w:pPr>
              <w:spacing w:after="0"/>
              <w:jc w:val="center"/>
              <w:rPr>
                <w:rFonts w:ascii="Times New Roman" w:hAnsi="Times New Roman"/>
                <w:color w:val="000000"/>
                <w:lang w:val="en-GB"/>
              </w:rPr>
            </w:pPr>
          </w:p>
        </w:tc>
      </w:tr>
      <w:tr w:rsidR="00AE16BB" w:rsidRPr="008902F2" w14:paraId="023C4D4B" w14:textId="77777777" w:rsidTr="00AE16BB">
        <w:trPr>
          <w:trHeight w:val="397"/>
        </w:trPr>
        <w:tc>
          <w:tcPr>
            <w:tcW w:w="997" w:type="pct"/>
            <w:shd w:val="clear" w:color="auto" w:fill="auto"/>
            <w:vAlign w:val="bottom"/>
          </w:tcPr>
          <w:p w14:paraId="401D8004"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Engineer</w:t>
            </w:r>
          </w:p>
        </w:tc>
        <w:tc>
          <w:tcPr>
            <w:tcW w:w="231" w:type="pct"/>
            <w:shd w:val="clear" w:color="auto" w:fill="auto"/>
            <w:noWrap/>
            <w:vAlign w:val="center"/>
          </w:tcPr>
          <w:p w14:paraId="46C4F085"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85" w:type="pct"/>
            <w:shd w:val="clear" w:color="auto" w:fill="auto"/>
            <w:noWrap/>
            <w:vAlign w:val="center"/>
          </w:tcPr>
          <w:p w14:paraId="59DDA3CE" w14:textId="77777777" w:rsidR="00AE16BB" w:rsidRPr="008902F2" w:rsidRDefault="00AE16BB" w:rsidP="00C11703">
            <w:pPr>
              <w:spacing w:after="0"/>
              <w:jc w:val="center"/>
              <w:rPr>
                <w:rFonts w:ascii="Times New Roman" w:hAnsi="Times New Roman"/>
                <w:color w:val="000000"/>
                <w:lang w:val="en-GB"/>
              </w:rPr>
            </w:pPr>
          </w:p>
        </w:tc>
        <w:tc>
          <w:tcPr>
            <w:tcW w:w="539" w:type="pct"/>
            <w:shd w:val="clear" w:color="auto" w:fill="auto"/>
            <w:noWrap/>
            <w:vAlign w:val="center"/>
          </w:tcPr>
          <w:p w14:paraId="26E1FC91" w14:textId="77777777" w:rsidR="00AE16BB" w:rsidRPr="008902F2" w:rsidRDefault="00AE16BB" w:rsidP="00C11703">
            <w:pPr>
              <w:spacing w:after="0"/>
              <w:jc w:val="center"/>
              <w:rPr>
                <w:rFonts w:ascii="Times New Roman" w:hAnsi="Times New Roman"/>
                <w:color w:val="000000"/>
                <w:lang w:val="en-GB"/>
              </w:rPr>
            </w:pPr>
          </w:p>
        </w:tc>
        <w:tc>
          <w:tcPr>
            <w:tcW w:w="631" w:type="pct"/>
            <w:shd w:val="clear" w:color="auto" w:fill="auto"/>
            <w:noWrap/>
            <w:vAlign w:val="center"/>
          </w:tcPr>
          <w:p w14:paraId="46A2FB46"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72" w:type="pct"/>
            <w:shd w:val="clear" w:color="auto" w:fill="auto"/>
            <w:noWrap/>
            <w:vAlign w:val="center"/>
          </w:tcPr>
          <w:p w14:paraId="758E99E6" w14:textId="77777777" w:rsidR="00AE16BB" w:rsidRPr="008902F2" w:rsidRDefault="00AE16BB" w:rsidP="00C11703">
            <w:pPr>
              <w:spacing w:after="0"/>
              <w:jc w:val="center"/>
              <w:rPr>
                <w:rFonts w:ascii="Times New Roman" w:hAnsi="Times New Roman"/>
                <w:color w:val="000000"/>
                <w:lang w:val="en-GB"/>
              </w:rPr>
            </w:pPr>
          </w:p>
        </w:tc>
        <w:tc>
          <w:tcPr>
            <w:tcW w:w="269" w:type="pct"/>
            <w:shd w:val="clear" w:color="auto" w:fill="auto"/>
            <w:noWrap/>
            <w:vAlign w:val="center"/>
          </w:tcPr>
          <w:p w14:paraId="7AB2F4DA"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70" w:type="pct"/>
            <w:shd w:val="clear" w:color="auto" w:fill="auto"/>
            <w:noWrap/>
            <w:vAlign w:val="center"/>
          </w:tcPr>
          <w:p w14:paraId="3E684967"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41D4D826" w14:textId="77777777" w:rsidR="00AE16BB" w:rsidRPr="008902F2" w:rsidRDefault="00AE16BB" w:rsidP="00C11703">
            <w:pPr>
              <w:spacing w:after="0"/>
              <w:jc w:val="center"/>
              <w:rPr>
                <w:rFonts w:ascii="Times New Roman" w:hAnsi="Times New Roman"/>
                <w:color w:val="000000"/>
                <w:lang w:val="en-GB"/>
              </w:rPr>
            </w:pPr>
          </w:p>
        </w:tc>
        <w:tc>
          <w:tcPr>
            <w:tcW w:w="327" w:type="pct"/>
            <w:vAlign w:val="center"/>
          </w:tcPr>
          <w:p w14:paraId="1D74FA94" w14:textId="77777777" w:rsidR="00AE16BB" w:rsidRPr="008902F2" w:rsidRDefault="00AE16BB" w:rsidP="00C11703">
            <w:pPr>
              <w:spacing w:after="0"/>
              <w:jc w:val="center"/>
              <w:rPr>
                <w:rFonts w:ascii="Times New Roman" w:hAnsi="Times New Roman"/>
                <w:color w:val="000000"/>
                <w:lang w:val="en-GB"/>
              </w:rPr>
            </w:pPr>
          </w:p>
        </w:tc>
        <w:tc>
          <w:tcPr>
            <w:tcW w:w="327" w:type="pct"/>
            <w:vAlign w:val="center"/>
          </w:tcPr>
          <w:p w14:paraId="2BBDD243"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25" w:type="pct"/>
            <w:vAlign w:val="center"/>
          </w:tcPr>
          <w:p w14:paraId="2C382DA8" w14:textId="77777777" w:rsidR="00AE16BB" w:rsidRPr="008902F2" w:rsidRDefault="00AE16BB" w:rsidP="00C11703">
            <w:pPr>
              <w:spacing w:after="0"/>
              <w:jc w:val="center"/>
              <w:rPr>
                <w:rFonts w:ascii="Times New Roman" w:hAnsi="Times New Roman"/>
                <w:color w:val="000000"/>
                <w:lang w:val="en-GB"/>
              </w:rPr>
            </w:pPr>
          </w:p>
        </w:tc>
      </w:tr>
      <w:tr w:rsidR="00AE16BB" w:rsidRPr="008902F2" w14:paraId="77BD8E47" w14:textId="77777777" w:rsidTr="00AE16BB">
        <w:trPr>
          <w:trHeight w:val="397"/>
        </w:trPr>
        <w:tc>
          <w:tcPr>
            <w:tcW w:w="997" w:type="pct"/>
            <w:shd w:val="clear" w:color="auto" w:fill="auto"/>
            <w:vAlign w:val="bottom"/>
          </w:tcPr>
          <w:p w14:paraId="5E6DDFC1" w14:textId="77777777"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Management Officer</w:t>
            </w:r>
          </w:p>
        </w:tc>
        <w:tc>
          <w:tcPr>
            <w:tcW w:w="231" w:type="pct"/>
            <w:shd w:val="clear" w:color="auto" w:fill="auto"/>
            <w:noWrap/>
            <w:vAlign w:val="center"/>
          </w:tcPr>
          <w:p w14:paraId="382DE115" w14:textId="62B70454" w:rsidR="00AE16BB" w:rsidRPr="008902F2" w:rsidRDefault="00AE16BB" w:rsidP="00AE16BB">
            <w:pPr>
              <w:spacing w:after="0"/>
              <w:jc w:val="center"/>
              <w:rPr>
                <w:rFonts w:ascii="Times New Roman" w:hAnsi="Times New Roman"/>
                <w:color w:val="000000"/>
                <w:lang w:val="en-GB"/>
              </w:rPr>
            </w:pPr>
            <w:r w:rsidRPr="008902F2">
              <w:rPr>
                <w:rFonts w:ascii="Times New Roman" w:hAnsi="Times New Roman"/>
                <w:color w:val="000000"/>
                <w:lang w:val="en-GB"/>
              </w:rPr>
              <w:t>4</w:t>
            </w:r>
          </w:p>
        </w:tc>
        <w:tc>
          <w:tcPr>
            <w:tcW w:w="385" w:type="pct"/>
            <w:shd w:val="clear" w:color="auto" w:fill="auto"/>
            <w:noWrap/>
            <w:vAlign w:val="center"/>
          </w:tcPr>
          <w:p w14:paraId="2933218B"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539" w:type="pct"/>
            <w:shd w:val="clear" w:color="auto" w:fill="auto"/>
            <w:noWrap/>
            <w:vAlign w:val="center"/>
          </w:tcPr>
          <w:p w14:paraId="299AA618"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3</w:t>
            </w:r>
          </w:p>
        </w:tc>
        <w:tc>
          <w:tcPr>
            <w:tcW w:w="631" w:type="pct"/>
            <w:shd w:val="clear" w:color="auto" w:fill="auto"/>
            <w:noWrap/>
            <w:vAlign w:val="center"/>
          </w:tcPr>
          <w:p w14:paraId="2CE29CF8" w14:textId="77777777" w:rsidR="00AE16BB" w:rsidRPr="008902F2" w:rsidRDefault="00AE16BB" w:rsidP="00C11703">
            <w:pPr>
              <w:spacing w:after="0"/>
              <w:jc w:val="center"/>
              <w:rPr>
                <w:rFonts w:ascii="Times New Roman" w:hAnsi="Times New Roman"/>
                <w:color w:val="000000"/>
                <w:lang w:val="en-GB"/>
              </w:rPr>
            </w:pPr>
          </w:p>
        </w:tc>
        <w:tc>
          <w:tcPr>
            <w:tcW w:w="372" w:type="pct"/>
            <w:shd w:val="clear" w:color="auto" w:fill="auto"/>
            <w:noWrap/>
            <w:vAlign w:val="center"/>
          </w:tcPr>
          <w:p w14:paraId="0CAC9D0E" w14:textId="77777777" w:rsidR="00AE16BB" w:rsidRPr="008902F2" w:rsidRDefault="00AE16BB" w:rsidP="00C11703">
            <w:pPr>
              <w:spacing w:after="0"/>
              <w:jc w:val="center"/>
              <w:rPr>
                <w:rFonts w:ascii="Times New Roman" w:hAnsi="Times New Roman"/>
                <w:color w:val="000000"/>
                <w:lang w:val="en-GB"/>
              </w:rPr>
            </w:pPr>
          </w:p>
        </w:tc>
        <w:tc>
          <w:tcPr>
            <w:tcW w:w="269" w:type="pct"/>
            <w:shd w:val="clear" w:color="auto" w:fill="auto"/>
            <w:noWrap/>
            <w:vAlign w:val="center"/>
          </w:tcPr>
          <w:p w14:paraId="5511D616"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270" w:type="pct"/>
            <w:shd w:val="clear" w:color="auto" w:fill="auto"/>
            <w:noWrap/>
            <w:vAlign w:val="center"/>
          </w:tcPr>
          <w:p w14:paraId="284EE615"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3</w:t>
            </w:r>
          </w:p>
        </w:tc>
        <w:tc>
          <w:tcPr>
            <w:tcW w:w="327" w:type="pct"/>
            <w:vAlign w:val="center"/>
          </w:tcPr>
          <w:p w14:paraId="75DD702B"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4B2518D5"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69367CEB"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25" w:type="pct"/>
            <w:vAlign w:val="center"/>
          </w:tcPr>
          <w:p w14:paraId="6A631F88" w14:textId="77777777" w:rsidR="00AE16BB" w:rsidRPr="008902F2" w:rsidRDefault="00AE16BB" w:rsidP="00C11703">
            <w:pPr>
              <w:spacing w:after="0"/>
              <w:jc w:val="center"/>
              <w:rPr>
                <w:rFonts w:ascii="Times New Roman" w:hAnsi="Times New Roman"/>
                <w:color w:val="000000"/>
                <w:lang w:val="en-GB"/>
              </w:rPr>
            </w:pPr>
          </w:p>
        </w:tc>
      </w:tr>
      <w:tr w:rsidR="00AE16BB" w:rsidRPr="008902F2" w14:paraId="75FE70E2" w14:textId="77777777" w:rsidTr="00AE16BB">
        <w:trPr>
          <w:trHeight w:val="397"/>
        </w:trPr>
        <w:tc>
          <w:tcPr>
            <w:tcW w:w="997" w:type="pct"/>
            <w:shd w:val="clear" w:color="auto" w:fill="auto"/>
            <w:vAlign w:val="bottom"/>
          </w:tcPr>
          <w:p w14:paraId="3E082CE2" w14:textId="2CD7D5FE" w:rsidR="00AE16BB" w:rsidRPr="008902F2" w:rsidRDefault="00AE16BB" w:rsidP="00C11703">
            <w:pPr>
              <w:spacing w:after="0"/>
              <w:rPr>
                <w:rFonts w:ascii="Times New Roman" w:hAnsi="Times New Roman"/>
                <w:color w:val="000000"/>
                <w:lang w:val="en-GB"/>
              </w:rPr>
            </w:pPr>
            <w:r w:rsidRPr="008902F2">
              <w:rPr>
                <w:rFonts w:ascii="Times New Roman" w:hAnsi="Times New Roman"/>
                <w:color w:val="000000"/>
                <w:lang w:val="en-GB"/>
              </w:rPr>
              <w:t xml:space="preserve">Management Services Expert </w:t>
            </w:r>
          </w:p>
        </w:tc>
        <w:tc>
          <w:tcPr>
            <w:tcW w:w="231" w:type="pct"/>
            <w:shd w:val="clear" w:color="auto" w:fill="auto"/>
            <w:noWrap/>
            <w:vAlign w:val="center"/>
          </w:tcPr>
          <w:p w14:paraId="5AAEB3F0"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4</w:t>
            </w:r>
          </w:p>
        </w:tc>
        <w:tc>
          <w:tcPr>
            <w:tcW w:w="385" w:type="pct"/>
            <w:shd w:val="clear" w:color="auto" w:fill="auto"/>
            <w:noWrap/>
            <w:vAlign w:val="center"/>
          </w:tcPr>
          <w:p w14:paraId="79A7C218" w14:textId="77777777" w:rsidR="00AE16BB" w:rsidRPr="008902F2" w:rsidRDefault="00AE16BB" w:rsidP="00C11703">
            <w:pPr>
              <w:spacing w:after="0"/>
              <w:jc w:val="center"/>
              <w:rPr>
                <w:rFonts w:ascii="Times New Roman" w:hAnsi="Times New Roman"/>
                <w:color w:val="000000"/>
                <w:lang w:val="en-GB"/>
              </w:rPr>
            </w:pPr>
          </w:p>
        </w:tc>
        <w:tc>
          <w:tcPr>
            <w:tcW w:w="539" w:type="pct"/>
            <w:shd w:val="clear" w:color="auto" w:fill="auto"/>
            <w:noWrap/>
            <w:vAlign w:val="center"/>
          </w:tcPr>
          <w:p w14:paraId="33CE0762" w14:textId="77777777" w:rsidR="00AE16BB" w:rsidRPr="008902F2" w:rsidRDefault="00AE16BB" w:rsidP="00C11703">
            <w:pPr>
              <w:spacing w:after="0"/>
              <w:jc w:val="center"/>
              <w:rPr>
                <w:rFonts w:ascii="Times New Roman" w:hAnsi="Times New Roman"/>
                <w:color w:val="000000"/>
                <w:lang w:val="en-GB"/>
              </w:rPr>
            </w:pPr>
          </w:p>
        </w:tc>
        <w:tc>
          <w:tcPr>
            <w:tcW w:w="631" w:type="pct"/>
            <w:shd w:val="clear" w:color="auto" w:fill="auto"/>
            <w:noWrap/>
            <w:vAlign w:val="center"/>
          </w:tcPr>
          <w:p w14:paraId="01FE0D67"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4</w:t>
            </w:r>
          </w:p>
        </w:tc>
        <w:tc>
          <w:tcPr>
            <w:tcW w:w="372" w:type="pct"/>
            <w:shd w:val="clear" w:color="auto" w:fill="auto"/>
            <w:noWrap/>
            <w:vAlign w:val="center"/>
          </w:tcPr>
          <w:p w14:paraId="0A54D0E2" w14:textId="77777777" w:rsidR="00AE16BB" w:rsidRPr="008902F2" w:rsidRDefault="00AE16BB" w:rsidP="00C11703">
            <w:pPr>
              <w:spacing w:after="0"/>
              <w:jc w:val="center"/>
              <w:rPr>
                <w:rFonts w:ascii="Times New Roman" w:hAnsi="Times New Roman"/>
                <w:color w:val="000000"/>
                <w:lang w:val="en-GB"/>
              </w:rPr>
            </w:pPr>
          </w:p>
        </w:tc>
        <w:tc>
          <w:tcPr>
            <w:tcW w:w="269" w:type="pct"/>
            <w:shd w:val="clear" w:color="auto" w:fill="auto"/>
            <w:noWrap/>
            <w:vAlign w:val="center"/>
          </w:tcPr>
          <w:p w14:paraId="72DE24E0"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270" w:type="pct"/>
            <w:shd w:val="clear" w:color="auto" w:fill="auto"/>
            <w:noWrap/>
            <w:vAlign w:val="center"/>
          </w:tcPr>
          <w:p w14:paraId="4F398DBD"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27" w:type="pct"/>
            <w:vAlign w:val="center"/>
          </w:tcPr>
          <w:p w14:paraId="6DFF7DA0"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7" w:type="pct"/>
            <w:vAlign w:val="center"/>
          </w:tcPr>
          <w:p w14:paraId="7D834787"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2</w:t>
            </w:r>
          </w:p>
        </w:tc>
        <w:tc>
          <w:tcPr>
            <w:tcW w:w="327" w:type="pct"/>
            <w:vAlign w:val="center"/>
          </w:tcPr>
          <w:p w14:paraId="305BEF2B" w14:textId="77777777" w:rsidR="00AE16BB" w:rsidRPr="008902F2" w:rsidRDefault="00AE16BB" w:rsidP="00C11703">
            <w:pPr>
              <w:spacing w:after="0"/>
              <w:jc w:val="center"/>
              <w:rPr>
                <w:rFonts w:ascii="Times New Roman" w:hAnsi="Times New Roman"/>
                <w:color w:val="000000"/>
                <w:lang w:val="en-GB"/>
              </w:rPr>
            </w:pPr>
            <w:r w:rsidRPr="008902F2">
              <w:rPr>
                <w:rFonts w:ascii="Times New Roman" w:hAnsi="Times New Roman"/>
                <w:color w:val="000000"/>
                <w:lang w:val="en-GB"/>
              </w:rPr>
              <w:t>1</w:t>
            </w:r>
          </w:p>
        </w:tc>
        <w:tc>
          <w:tcPr>
            <w:tcW w:w="325" w:type="pct"/>
            <w:vAlign w:val="center"/>
          </w:tcPr>
          <w:p w14:paraId="51F31877" w14:textId="77777777" w:rsidR="00AE16BB" w:rsidRPr="008902F2" w:rsidRDefault="00AE16BB" w:rsidP="00C11703">
            <w:pPr>
              <w:spacing w:after="0"/>
              <w:jc w:val="center"/>
              <w:rPr>
                <w:rFonts w:ascii="Times New Roman" w:hAnsi="Times New Roman"/>
                <w:color w:val="000000"/>
                <w:lang w:val="en-GB"/>
              </w:rPr>
            </w:pPr>
          </w:p>
        </w:tc>
      </w:tr>
      <w:tr w:rsidR="00AE16BB" w:rsidRPr="008902F2" w14:paraId="7E7E2BC1" w14:textId="77777777" w:rsidTr="00AE16BB">
        <w:trPr>
          <w:trHeight w:val="397"/>
        </w:trPr>
        <w:tc>
          <w:tcPr>
            <w:tcW w:w="997" w:type="pct"/>
            <w:shd w:val="clear" w:color="auto" w:fill="auto"/>
            <w:vAlign w:val="bottom"/>
          </w:tcPr>
          <w:p w14:paraId="3D3D7E45" w14:textId="77777777" w:rsidR="00AE16BB" w:rsidRPr="008902F2" w:rsidRDefault="00AE16BB" w:rsidP="00C11703">
            <w:pPr>
              <w:spacing w:after="0"/>
              <w:rPr>
                <w:rFonts w:ascii="Times New Roman" w:hAnsi="Times New Roman"/>
                <w:b/>
                <w:lang w:val="en-GB"/>
              </w:rPr>
            </w:pPr>
            <w:r w:rsidRPr="008902F2">
              <w:rPr>
                <w:rFonts w:ascii="Times New Roman" w:hAnsi="Times New Roman"/>
                <w:b/>
                <w:lang w:val="en-GB"/>
              </w:rPr>
              <w:lastRenderedPageBreak/>
              <w:t>TOTAL</w:t>
            </w:r>
          </w:p>
        </w:tc>
        <w:tc>
          <w:tcPr>
            <w:tcW w:w="231" w:type="pct"/>
            <w:shd w:val="clear" w:color="auto" w:fill="auto"/>
            <w:noWrap/>
            <w:vAlign w:val="center"/>
          </w:tcPr>
          <w:p w14:paraId="7B21F3C1"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23</w:t>
            </w:r>
          </w:p>
        </w:tc>
        <w:tc>
          <w:tcPr>
            <w:tcW w:w="385" w:type="pct"/>
            <w:shd w:val="clear" w:color="auto" w:fill="auto"/>
            <w:noWrap/>
            <w:vAlign w:val="center"/>
          </w:tcPr>
          <w:p w14:paraId="3E53519F"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1</w:t>
            </w:r>
          </w:p>
        </w:tc>
        <w:tc>
          <w:tcPr>
            <w:tcW w:w="539" w:type="pct"/>
            <w:shd w:val="clear" w:color="auto" w:fill="auto"/>
            <w:noWrap/>
            <w:vAlign w:val="center"/>
          </w:tcPr>
          <w:p w14:paraId="1D6F259E"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3</w:t>
            </w:r>
          </w:p>
        </w:tc>
        <w:tc>
          <w:tcPr>
            <w:tcW w:w="631" w:type="pct"/>
            <w:shd w:val="clear" w:color="auto" w:fill="auto"/>
            <w:noWrap/>
            <w:vAlign w:val="center"/>
          </w:tcPr>
          <w:p w14:paraId="4C02E49B"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15</w:t>
            </w:r>
          </w:p>
        </w:tc>
        <w:tc>
          <w:tcPr>
            <w:tcW w:w="372" w:type="pct"/>
            <w:shd w:val="clear" w:color="auto" w:fill="auto"/>
            <w:noWrap/>
            <w:vAlign w:val="center"/>
          </w:tcPr>
          <w:p w14:paraId="2608EFB8" w14:textId="77777777" w:rsidR="00AE16BB" w:rsidRPr="008902F2" w:rsidRDefault="00AE16BB" w:rsidP="00C11703">
            <w:pPr>
              <w:spacing w:after="0"/>
              <w:jc w:val="center"/>
              <w:rPr>
                <w:rFonts w:ascii="Times New Roman" w:hAnsi="Times New Roman"/>
                <w:b/>
                <w:color w:val="000000"/>
                <w:lang w:val="en-GB"/>
              </w:rPr>
            </w:pPr>
            <w:r w:rsidRPr="008902F2">
              <w:rPr>
                <w:rFonts w:ascii="Times New Roman" w:hAnsi="Times New Roman"/>
                <w:b/>
                <w:color w:val="000000"/>
                <w:lang w:val="en-GB"/>
              </w:rPr>
              <w:t>4</w:t>
            </w:r>
          </w:p>
        </w:tc>
        <w:tc>
          <w:tcPr>
            <w:tcW w:w="269" w:type="pct"/>
            <w:shd w:val="clear" w:color="auto" w:fill="auto"/>
            <w:noWrap/>
            <w:vAlign w:val="center"/>
          </w:tcPr>
          <w:p w14:paraId="3FE11E6A"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9</w:t>
            </w:r>
          </w:p>
        </w:tc>
        <w:tc>
          <w:tcPr>
            <w:tcW w:w="270" w:type="pct"/>
            <w:shd w:val="clear" w:color="auto" w:fill="auto"/>
            <w:noWrap/>
            <w:vAlign w:val="center"/>
          </w:tcPr>
          <w:p w14:paraId="3A58A7AB"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14</w:t>
            </w:r>
          </w:p>
        </w:tc>
        <w:tc>
          <w:tcPr>
            <w:tcW w:w="327" w:type="pct"/>
            <w:vAlign w:val="center"/>
          </w:tcPr>
          <w:p w14:paraId="762518D2"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10</w:t>
            </w:r>
          </w:p>
        </w:tc>
        <w:tc>
          <w:tcPr>
            <w:tcW w:w="327" w:type="pct"/>
            <w:vAlign w:val="center"/>
          </w:tcPr>
          <w:p w14:paraId="083617FE"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7</w:t>
            </w:r>
          </w:p>
        </w:tc>
        <w:tc>
          <w:tcPr>
            <w:tcW w:w="327" w:type="pct"/>
            <w:vAlign w:val="center"/>
          </w:tcPr>
          <w:p w14:paraId="1E432DBD"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5</w:t>
            </w:r>
          </w:p>
        </w:tc>
        <w:tc>
          <w:tcPr>
            <w:tcW w:w="325" w:type="pct"/>
            <w:vAlign w:val="center"/>
          </w:tcPr>
          <w:p w14:paraId="123E638F" w14:textId="77777777" w:rsidR="00AE16BB" w:rsidRPr="008902F2" w:rsidRDefault="00AE16BB" w:rsidP="00C11703">
            <w:pPr>
              <w:spacing w:after="0"/>
              <w:jc w:val="center"/>
              <w:rPr>
                <w:rFonts w:ascii="Times New Roman" w:hAnsi="Times New Roman"/>
                <w:b/>
                <w:lang w:val="en-GB"/>
              </w:rPr>
            </w:pPr>
            <w:r w:rsidRPr="008902F2">
              <w:rPr>
                <w:rFonts w:ascii="Times New Roman" w:hAnsi="Times New Roman"/>
                <w:b/>
                <w:lang w:val="en-GB"/>
              </w:rPr>
              <w:t>1</w:t>
            </w:r>
          </w:p>
        </w:tc>
      </w:tr>
    </w:tbl>
    <w:p w14:paraId="4B5327E3"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Excluding permanent staff members.</w:t>
      </w:r>
    </w:p>
    <w:p w14:paraId="502E0BC7" w14:textId="77777777" w:rsidR="00C11703" w:rsidRPr="008902F2" w:rsidRDefault="00C11703" w:rsidP="00C11703">
      <w:pPr>
        <w:spacing w:after="0"/>
        <w:rPr>
          <w:rFonts w:ascii="Times New Roman" w:hAnsi="Times New Roman"/>
          <w:noProof/>
          <w:color w:val="000000" w:themeColor="text1"/>
          <w:lang w:val="en-GB"/>
        </w:rPr>
      </w:pPr>
    </w:p>
    <w:p w14:paraId="1186A2BE" w14:textId="77777777" w:rsidR="00C11703" w:rsidRPr="008902F2" w:rsidRDefault="00C11703" w:rsidP="00C11703">
      <w:pPr>
        <w:keepNext/>
        <w:keepLines/>
        <w:spacing w:before="120" w:after="0"/>
        <w:jc w:val="left"/>
        <w:outlineLvl w:val="4"/>
        <w:rPr>
          <w:rFonts w:ascii="Times New Roman" w:hAnsi="Times New Roman"/>
          <w:noProof/>
          <w:lang w:val="en-GB"/>
        </w:rPr>
      </w:pPr>
      <w:r w:rsidRPr="008902F2">
        <w:rPr>
          <w:rFonts w:ascii="Times New Roman" w:hAnsi="Times New Roman"/>
          <w:noProof/>
          <w:lang w:val="en-GB"/>
        </w:rPr>
        <w:t>Table 13.3 provides information on the cadre positions and numbers of the Authority and the 545 permanent staff employed as of the end of 2022.</w:t>
      </w:r>
    </w:p>
    <w:p w14:paraId="751E1781" w14:textId="77777777" w:rsidR="00C11703" w:rsidRPr="008902F2" w:rsidRDefault="00C11703" w:rsidP="00C11703">
      <w:pPr>
        <w:rPr>
          <w:rFonts w:ascii="Times New Roman" w:hAnsi="Times New Roman"/>
          <w:lang w:val="en-GB"/>
        </w:rPr>
      </w:pPr>
    </w:p>
    <w:p w14:paraId="17240CA2" w14:textId="1A278D0A" w:rsidR="00C11703" w:rsidRPr="008902F2" w:rsidRDefault="00C11703" w:rsidP="00420211">
      <w:pPr>
        <w:jc w:val="center"/>
        <w:rPr>
          <w:rFonts w:ascii="Times New Roman" w:hAnsi="Times New Roman"/>
          <w:lang w:val="en-GB"/>
        </w:rPr>
      </w:pPr>
      <w:r w:rsidRPr="008902F2">
        <w:rPr>
          <w:rFonts w:ascii="Times New Roman" w:hAnsi="Times New Roman"/>
          <w:b/>
          <w:bCs/>
          <w:color w:val="000000" w:themeColor="text1"/>
          <w:lang w:val="en-GB"/>
        </w:rPr>
        <w:t>Table 13.3:  Distribution of The Authority Personnel</w:t>
      </w:r>
      <w:r w:rsidRPr="008902F2">
        <w:rPr>
          <w:rFonts w:ascii="Times New Roman" w:hAnsi="Times New Roman"/>
          <w:noProof/>
          <w:lang w:val="en-US"/>
        </w:rPr>
        <w:drawing>
          <wp:inline distT="0" distB="0" distL="0" distR="0" wp14:anchorId="09808F92" wp14:editId="24109035">
            <wp:extent cx="6299835" cy="4632325"/>
            <wp:effectExtent l="0" t="0" r="5715" b="0"/>
            <wp:docPr id="1186132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299835" cy="4632325"/>
                    </a:xfrm>
                    <a:prstGeom prst="rect">
                      <a:avLst/>
                    </a:prstGeom>
                    <a:noFill/>
                    <a:ln>
                      <a:noFill/>
                    </a:ln>
                  </pic:spPr>
                </pic:pic>
              </a:graphicData>
            </a:graphic>
          </wp:inline>
        </w:drawing>
      </w:r>
    </w:p>
    <w:p w14:paraId="5D0559FF" w14:textId="77777777" w:rsidR="00C11703" w:rsidRPr="008902F2" w:rsidRDefault="00C11703" w:rsidP="00C11703">
      <w:pPr>
        <w:rPr>
          <w:rFonts w:ascii="Times New Roman" w:hAnsi="Times New Roman"/>
          <w:lang w:val="en-GB"/>
        </w:rPr>
      </w:pPr>
      <w:r w:rsidRPr="008902F2">
        <w:rPr>
          <w:rFonts w:ascii="Times New Roman" w:hAnsi="Times New Roman"/>
          <w:noProof/>
          <w:lang w:val="en-US"/>
        </w:rPr>
        <w:drawing>
          <wp:inline distT="0" distB="0" distL="0" distR="0" wp14:anchorId="2A7915A0" wp14:editId="023F62D6">
            <wp:extent cx="6381750" cy="1724660"/>
            <wp:effectExtent l="0" t="0" r="0" b="0"/>
            <wp:docPr id="1045193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381750" cy="1724660"/>
                    </a:xfrm>
                    <a:prstGeom prst="rect">
                      <a:avLst/>
                    </a:prstGeom>
                    <a:noFill/>
                    <a:ln>
                      <a:noFill/>
                    </a:ln>
                  </pic:spPr>
                </pic:pic>
              </a:graphicData>
            </a:graphic>
          </wp:inline>
        </w:drawing>
      </w:r>
    </w:p>
    <w:p w14:paraId="315A7FDA"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 Excluding permanent staff members.</w:t>
      </w:r>
    </w:p>
    <w:p w14:paraId="77E79D77" w14:textId="77777777" w:rsidR="00C11703" w:rsidRPr="008902F2" w:rsidRDefault="00C11703" w:rsidP="00420211">
      <w:pPr>
        <w:rPr>
          <w:rFonts w:ascii="Times New Roman" w:hAnsi="Times New Roman"/>
          <w:noProof/>
          <w:lang w:val="en-GB"/>
        </w:rPr>
      </w:pPr>
      <w:r w:rsidRPr="008902F2">
        <w:rPr>
          <w:rFonts w:ascii="Times New Roman" w:hAnsi="Times New Roman"/>
          <w:noProof/>
          <w:lang w:val="en-GB"/>
        </w:rPr>
        <w:t>The change in the number of personnel of the Authority over the years is shown in Table 13.4.</w:t>
      </w:r>
    </w:p>
    <w:p w14:paraId="0B90E52E"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lastRenderedPageBreak/>
        <w:t>Table 13.4:  Number of The Authority Personnel by Years</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868"/>
        <w:gridCol w:w="476"/>
        <w:gridCol w:w="476"/>
        <w:gridCol w:w="476"/>
        <w:gridCol w:w="476"/>
        <w:gridCol w:w="476"/>
        <w:gridCol w:w="476"/>
        <w:gridCol w:w="476"/>
        <w:gridCol w:w="476"/>
        <w:gridCol w:w="476"/>
        <w:gridCol w:w="476"/>
        <w:gridCol w:w="476"/>
        <w:gridCol w:w="476"/>
        <w:gridCol w:w="476"/>
        <w:gridCol w:w="476"/>
        <w:gridCol w:w="476"/>
        <w:gridCol w:w="476"/>
        <w:gridCol w:w="476"/>
        <w:gridCol w:w="476"/>
        <w:gridCol w:w="476"/>
      </w:tblGrid>
      <w:tr w:rsidR="00C11703" w:rsidRPr="008902F2" w14:paraId="6500DB14" w14:textId="77777777" w:rsidTr="00AE16BB">
        <w:trPr>
          <w:trHeight w:val="1830"/>
        </w:trPr>
        <w:tc>
          <w:tcPr>
            <w:tcW w:w="86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50B4CE6E" w14:textId="77777777" w:rsidR="00C11703" w:rsidRPr="008902F2" w:rsidRDefault="00C11703" w:rsidP="00C11703">
            <w:pPr>
              <w:spacing w:after="0" w:line="240" w:lineRule="auto"/>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Year</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43603F0F"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2004</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5E5FE7E8"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2005</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05097BC"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2006</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4ED9C2B7"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2007</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130FC1E5"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2008</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5E8E38BE"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2009</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1123C6F7"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2010</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494A176"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2011</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7502FA64"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2012</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0E4CB5F5"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2013</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FED3393"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2014</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39E05164"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2015</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6D9F2BA3"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2016</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0E5A02E8"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2017</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E2E26F8"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2018</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3B99C3C6" w14:textId="77777777" w:rsidR="00C11703" w:rsidRPr="008902F2" w:rsidRDefault="00C11703" w:rsidP="00C11703">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2019</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14F847F1" w14:textId="77777777" w:rsidR="00C11703" w:rsidRPr="008902F2" w:rsidRDefault="00C11703" w:rsidP="00AE16BB">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2020</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13ECA732" w14:textId="77777777" w:rsidR="00C11703" w:rsidRPr="008902F2" w:rsidRDefault="00C11703" w:rsidP="00AE16BB">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2021</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78D6D6F1" w14:textId="77777777" w:rsidR="00C11703" w:rsidRPr="008902F2" w:rsidRDefault="00C11703" w:rsidP="00AE16BB">
            <w:pPr>
              <w:spacing w:after="0"/>
              <w:ind w:left="113" w:right="113"/>
              <w:jc w:val="center"/>
              <w:rPr>
                <w:rFonts w:ascii="Times New Roman" w:hAnsi="Times New Roman"/>
                <w:color w:val="FFFFFF" w:themeColor="background1"/>
                <w:sz w:val="16"/>
                <w:szCs w:val="16"/>
                <w:lang w:val="en-GB"/>
              </w:rPr>
            </w:pPr>
            <w:r w:rsidRPr="008902F2">
              <w:rPr>
                <w:rFonts w:ascii="Times New Roman" w:hAnsi="Times New Roman"/>
                <w:b/>
                <w:bCs/>
                <w:color w:val="FFFFFF" w:themeColor="background1"/>
                <w:sz w:val="16"/>
                <w:szCs w:val="16"/>
                <w:lang w:val="en-GB"/>
              </w:rPr>
              <w:t>2022</w:t>
            </w:r>
          </w:p>
        </w:tc>
      </w:tr>
      <w:tr w:rsidR="00C11703" w:rsidRPr="008902F2" w14:paraId="0E88FBBA" w14:textId="77777777" w:rsidTr="00C11703">
        <w:trPr>
          <w:trHeight w:val="1095"/>
        </w:trPr>
        <w:tc>
          <w:tcPr>
            <w:tcW w:w="86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6CE16E19"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b/>
                <w:bCs/>
                <w:sz w:val="16"/>
                <w:szCs w:val="16"/>
                <w:lang w:val="en-GB"/>
              </w:rPr>
              <w:t>Personal Number</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1F499B23"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259</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65D15079"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296</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2A092C18" w14:textId="77777777" w:rsidR="00C11703" w:rsidRPr="008902F2" w:rsidRDefault="00C11703" w:rsidP="00C11703">
            <w:pPr>
              <w:spacing w:after="0" w:line="240" w:lineRule="auto"/>
              <w:rPr>
                <w:rFonts w:ascii="Times New Roman" w:hAnsi="Times New Roman"/>
                <w:sz w:val="16"/>
                <w:szCs w:val="16"/>
                <w:lang w:val="en-GB"/>
              </w:rPr>
            </w:pPr>
            <w:r w:rsidRPr="008902F2">
              <w:rPr>
                <w:rFonts w:ascii="Times New Roman" w:hAnsi="Times New Roman"/>
                <w:sz w:val="16"/>
                <w:szCs w:val="16"/>
                <w:lang w:val="en-GB"/>
              </w:rPr>
              <w:t>303</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3CED4B0B" w14:textId="77777777" w:rsidR="00C11703" w:rsidRPr="008902F2" w:rsidRDefault="00C11703" w:rsidP="00C11703">
            <w:pPr>
              <w:spacing w:after="0" w:line="240" w:lineRule="auto"/>
              <w:rPr>
                <w:rFonts w:ascii="Times New Roman" w:hAnsi="Times New Roman"/>
                <w:sz w:val="16"/>
                <w:szCs w:val="16"/>
                <w:lang w:val="en-GB"/>
              </w:rPr>
            </w:pPr>
            <w:r w:rsidRPr="008902F2">
              <w:rPr>
                <w:rFonts w:ascii="Times New Roman" w:hAnsi="Times New Roman"/>
                <w:sz w:val="16"/>
                <w:szCs w:val="16"/>
                <w:lang w:val="en-GB"/>
              </w:rPr>
              <w:t>313</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7664B2EB"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370</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1030DDFB"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404</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3DC09C5B" w14:textId="77777777" w:rsidR="00C11703" w:rsidRPr="008902F2" w:rsidRDefault="00C11703" w:rsidP="00C11703">
            <w:pPr>
              <w:spacing w:after="0" w:line="240" w:lineRule="auto"/>
              <w:rPr>
                <w:rFonts w:ascii="Times New Roman" w:hAnsi="Times New Roman"/>
                <w:sz w:val="16"/>
                <w:szCs w:val="16"/>
                <w:lang w:val="en-GB"/>
              </w:rPr>
            </w:pPr>
            <w:r w:rsidRPr="008902F2">
              <w:rPr>
                <w:rFonts w:ascii="Times New Roman" w:hAnsi="Times New Roman"/>
                <w:sz w:val="16"/>
                <w:szCs w:val="16"/>
                <w:lang w:val="en-GB"/>
              </w:rPr>
              <w:t>430</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213B356A" w14:textId="77777777" w:rsidR="00C11703" w:rsidRPr="008902F2" w:rsidRDefault="00C11703" w:rsidP="00C11703">
            <w:pPr>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467</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777CDBA0"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453</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0C028B34"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436</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58A309F4"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461</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01C1BB19"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494</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00335F50"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482</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4DDC4081"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474</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15A3676E"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501</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38C3B6FC"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509</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474FBB16"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506</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58C91727"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521</w:t>
            </w:r>
          </w:p>
        </w:tc>
        <w:tc>
          <w:tcPr>
            <w:tcW w:w="4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358A1D0B" w14:textId="77777777" w:rsidR="00C11703" w:rsidRPr="008902F2" w:rsidRDefault="00C11703" w:rsidP="00C11703">
            <w:pPr>
              <w:keepNext/>
              <w:spacing w:after="0" w:line="240" w:lineRule="auto"/>
              <w:jc w:val="center"/>
              <w:rPr>
                <w:rFonts w:ascii="Times New Roman" w:hAnsi="Times New Roman"/>
                <w:sz w:val="16"/>
                <w:szCs w:val="16"/>
                <w:lang w:val="en-GB"/>
              </w:rPr>
            </w:pPr>
            <w:r w:rsidRPr="008902F2">
              <w:rPr>
                <w:rFonts w:ascii="Times New Roman" w:hAnsi="Times New Roman"/>
                <w:sz w:val="16"/>
                <w:szCs w:val="16"/>
                <w:lang w:val="en-GB"/>
              </w:rPr>
              <w:t>545</w:t>
            </w:r>
          </w:p>
        </w:tc>
      </w:tr>
    </w:tbl>
    <w:p w14:paraId="382DC20C" w14:textId="77777777" w:rsidR="00C11703" w:rsidRPr="008902F2" w:rsidRDefault="00C11703" w:rsidP="00C11703">
      <w:pPr>
        <w:rPr>
          <w:rFonts w:ascii="Times New Roman" w:hAnsi="Times New Roman"/>
          <w:noProof/>
          <w:lang w:val="en-GB"/>
        </w:rPr>
      </w:pPr>
      <w:r w:rsidRPr="008902F2">
        <w:rPr>
          <w:rFonts w:ascii="Times New Roman" w:hAnsi="Times New Roman"/>
          <w:noProof/>
          <w:lang w:val="en-GB"/>
        </w:rPr>
        <w:t>* Excluding permanent staff members.</w:t>
      </w:r>
    </w:p>
    <w:p w14:paraId="4E7A1808" w14:textId="77777777" w:rsidR="00C11703" w:rsidRPr="008902F2" w:rsidRDefault="00C11703" w:rsidP="00420211">
      <w:pPr>
        <w:rPr>
          <w:rFonts w:ascii="Times New Roman" w:hAnsi="Times New Roman"/>
          <w:noProof/>
          <w:lang w:val="en-GB"/>
        </w:rPr>
      </w:pPr>
      <w:r w:rsidRPr="008902F2">
        <w:rPr>
          <w:rFonts w:ascii="Times New Roman" w:hAnsi="Times New Roman"/>
          <w:noProof/>
          <w:lang w:val="en-GB"/>
        </w:rPr>
        <w:t>On the other hand, as of 2022, 216 personnel were employed as permanent workers in the Institution. In the tables below, summary information about the permanent staff is given.</w:t>
      </w:r>
    </w:p>
    <w:p w14:paraId="0692CC65" w14:textId="77777777" w:rsidR="00C11703" w:rsidRPr="008902F2" w:rsidRDefault="00C11703" w:rsidP="00C11703">
      <w:pPr>
        <w:rPr>
          <w:rFonts w:ascii="Times New Roman" w:hAnsi="Times New Roman"/>
          <w:lang w:val="en-GB"/>
        </w:rPr>
      </w:pPr>
    </w:p>
    <w:p w14:paraId="48B7EDF9" w14:textId="77777777" w:rsidR="00C11703" w:rsidRPr="008902F2" w:rsidRDefault="00C11703" w:rsidP="00C11703">
      <w:pPr>
        <w:rPr>
          <w:rFonts w:ascii="Times New Roman" w:hAnsi="Times New Roman"/>
          <w:lang w:val="en-GB"/>
        </w:rPr>
      </w:pPr>
    </w:p>
    <w:p w14:paraId="53313489" w14:textId="456FCE4B"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13.5: Information For  The Personnel Left from the Authority in 2022 (on Permanent Position)</w:t>
      </w:r>
    </w:p>
    <w:tbl>
      <w:tblPr>
        <w:tblStyle w:val="TabloKlavuzu5"/>
        <w:tblW w:w="991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35"/>
        <w:gridCol w:w="1418"/>
        <w:gridCol w:w="1842"/>
        <w:gridCol w:w="1276"/>
        <w:gridCol w:w="1134"/>
        <w:gridCol w:w="2410"/>
      </w:tblGrid>
      <w:tr w:rsidR="00C11703" w:rsidRPr="008902F2" w14:paraId="7CD776BB" w14:textId="77777777" w:rsidTr="00AE16BB">
        <w:trPr>
          <w:trHeight w:val="929"/>
        </w:trPr>
        <w:tc>
          <w:tcPr>
            <w:tcW w:w="1835" w:type="dxa"/>
            <w:vMerge w:val="restart"/>
            <w:tcBorders>
              <w:top w:val="single" w:sz="6" w:space="0" w:color="D9D9D9" w:themeColor="background1" w:themeShade="D9"/>
              <w:left w:val="single" w:sz="6" w:space="0" w:color="D9D9D9" w:themeColor="background1" w:themeShade="D9"/>
              <w:bottom w:val="nil"/>
              <w:right w:val="single" w:sz="6" w:space="0" w:color="D9D9D9" w:themeColor="background1" w:themeShade="D9"/>
            </w:tcBorders>
            <w:shd w:val="clear" w:color="auto" w:fill="6E9ECA"/>
          </w:tcPr>
          <w:p w14:paraId="21B945C3" w14:textId="77777777" w:rsidR="00C11703" w:rsidRPr="008902F2" w:rsidRDefault="00C11703" w:rsidP="00C11703">
            <w:pPr>
              <w:jc w:val="left"/>
              <w:rPr>
                <w:rFonts w:ascii="Times New Roman" w:hAnsi="Times New Roman"/>
                <w:lang w:val="en-GB"/>
              </w:rPr>
            </w:pPr>
          </w:p>
          <w:p w14:paraId="5BB60315" w14:textId="77777777" w:rsidR="00C11703" w:rsidRPr="008902F2" w:rsidRDefault="00C11703" w:rsidP="00C11703">
            <w:pPr>
              <w:jc w:val="left"/>
              <w:rPr>
                <w:rFonts w:ascii="Times New Roman" w:hAnsi="Times New Roman"/>
                <w:lang w:val="en-GB"/>
              </w:rPr>
            </w:pPr>
          </w:p>
          <w:p w14:paraId="735A180D" w14:textId="77777777" w:rsidR="00C11703" w:rsidRPr="008902F2" w:rsidRDefault="00C11703" w:rsidP="00C11703">
            <w:pPr>
              <w:ind w:left="485"/>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POSITION</w:t>
            </w:r>
          </w:p>
        </w:tc>
        <w:tc>
          <w:tcPr>
            <w:tcW w:w="1418" w:type="dxa"/>
            <w:vMerge w:val="restart"/>
            <w:tcBorders>
              <w:top w:val="single" w:sz="6" w:space="0" w:color="D9D9D9" w:themeColor="background1" w:themeShade="D9"/>
              <w:left w:val="single" w:sz="6" w:space="0" w:color="D9D9D9" w:themeColor="background1" w:themeShade="D9"/>
              <w:bottom w:val="nil"/>
              <w:right w:val="single" w:sz="6" w:space="0" w:color="D9D9D9" w:themeColor="background1" w:themeShade="D9"/>
            </w:tcBorders>
            <w:shd w:val="clear" w:color="auto" w:fill="6E9ECA"/>
            <w:vAlign w:val="center"/>
          </w:tcPr>
          <w:p w14:paraId="625995F1" w14:textId="09FAF130" w:rsidR="00AE16BB" w:rsidRPr="008902F2" w:rsidRDefault="00AE16BB" w:rsidP="00AE16BB">
            <w:pPr>
              <w:jc w:val="center"/>
              <w:rPr>
                <w:rFonts w:ascii="Times New Roman" w:hAnsi="Times New Roman"/>
                <w:color w:val="FFFFFF" w:themeColor="background1"/>
                <w:lang w:val="en-GB"/>
              </w:rPr>
            </w:pPr>
            <w:r w:rsidRPr="008902F2">
              <w:rPr>
                <w:rFonts w:ascii="Times New Roman" w:hAnsi="Times New Roman"/>
                <w:color w:val="FFFFFF" w:themeColor="background1"/>
                <w:lang w:val="en-GB"/>
              </w:rPr>
              <w:t>NUMBER</w:t>
            </w:r>
          </w:p>
          <w:p w14:paraId="74C2E7FA" w14:textId="3764C7F0" w:rsidR="00C11703" w:rsidRPr="008902F2" w:rsidRDefault="00C11703" w:rsidP="00AE16BB">
            <w:pPr>
              <w:ind w:left="121"/>
              <w:jc w:val="center"/>
              <w:rPr>
                <w:rFonts w:ascii="Times New Roman" w:hAnsi="Times New Roman"/>
                <w:color w:val="FFFFFF" w:themeColor="background1"/>
                <w:lang w:val="en-GB"/>
              </w:rPr>
            </w:pPr>
          </w:p>
        </w:tc>
        <w:tc>
          <w:tcPr>
            <w:tcW w:w="18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744A610C" w14:textId="77777777" w:rsidR="00C11703" w:rsidRPr="008902F2" w:rsidRDefault="00C11703" w:rsidP="00C11703">
            <w:pPr>
              <w:spacing w:before="21"/>
              <w:ind w:left="261"/>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STATUS OF EDUCATION</w:t>
            </w:r>
          </w:p>
        </w:tc>
        <w:tc>
          <w:tcPr>
            <w:tcW w:w="241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6479F3AE" w14:textId="77777777" w:rsidR="00C11703" w:rsidRPr="008902F2" w:rsidRDefault="00C11703" w:rsidP="00AE16BB">
            <w:pPr>
              <w:spacing w:before="21"/>
              <w:ind w:left="64"/>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GENDER</w:t>
            </w:r>
          </w:p>
        </w:tc>
        <w:tc>
          <w:tcPr>
            <w:tcW w:w="241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358650D3" w14:textId="77777777" w:rsidR="00C11703" w:rsidRPr="008902F2" w:rsidRDefault="00C11703" w:rsidP="00AE16BB">
            <w:pPr>
              <w:spacing w:before="21"/>
              <w:ind w:left="64"/>
              <w:jc w:val="center"/>
              <w:rPr>
                <w:rFonts w:ascii="Times New Roman" w:hAnsi="Times New Roman"/>
                <w:color w:val="FFFFFF" w:themeColor="background1"/>
                <w:lang w:val="en-GB"/>
              </w:rPr>
            </w:pPr>
            <w:r w:rsidRPr="008902F2">
              <w:rPr>
                <w:rFonts w:ascii="Times New Roman" w:hAnsi="Times New Roman"/>
                <w:b/>
                <w:bCs/>
                <w:color w:val="FFFFFF"/>
                <w:lang w:val="en-GB"/>
              </w:rPr>
              <w:t xml:space="preserve">REASON OF </w:t>
            </w:r>
            <w:r w:rsidRPr="008902F2">
              <w:rPr>
                <w:rFonts w:ascii="Times New Roman" w:hAnsi="Times New Roman"/>
                <w:b/>
                <w:bCs/>
                <w:color w:val="FFFFFF" w:themeColor="background1"/>
                <w:lang w:val="en-GB"/>
              </w:rPr>
              <w:t>LEAVING</w:t>
            </w:r>
          </w:p>
        </w:tc>
      </w:tr>
      <w:tr w:rsidR="00C11703" w:rsidRPr="008902F2" w14:paraId="767B2D13" w14:textId="77777777" w:rsidTr="00AE16BB">
        <w:trPr>
          <w:trHeight w:val="545"/>
        </w:trPr>
        <w:tc>
          <w:tcPr>
            <w:tcW w:w="1835" w:type="dxa"/>
            <w:vMerge/>
            <w:vAlign w:val="center"/>
          </w:tcPr>
          <w:p w14:paraId="70F2DA18" w14:textId="77777777" w:rsidR="00C11703" w:rsidRPr="008902F2" w:rsidRDefault="00C11703" w:rsidP="00C11703">
            <w:pPr>
              <w:rPr>
                <w:rFonts w:ascii="Times New Roman" w:hAnsi="Times New Roman"/>
                <w:lang w:val="en-GB"/>
              </w:rPr>
            </w:pPr>
          </w:p>
        </w:tc>
        <w:tc>
          <w:tcPr>
            <w:tcW w:w="1418" w:type="dxa"/>
            <w:vMerge/>
            <w:vAlign w:val="center"/>
          </w:tcPr>
          <w:p w14:paraId="2FA5B5CB" w14:textId="77777777" w:rsidR="00C11703" w:rsidRPr="008902F2" w:rsidRDefault="00C11703" w:rsidP="00C11703">
            <w:pPr>
              <w:rPr>
                <w:rFonts w:ascii="Times New Roman" w:hAnsi="Times New Roman"/>
                <w:lang w:val="en-GB"/>
              </w:rPr>
            </w:pPr>
          </w:p>
        </w:tc>
        <w:tc>
          <w:tcPr>
            <w:tcW w:w="18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033BF5F4" w14:textId="77777777" w:rsidR="00C11703" w:rsidRPr="008902F2" w:rsidRDefault="00C11703" w:rsidP="00C11703">
            <w:pPr>
              <w:spacing w:before="78"/>
              <w:ind w:left="113"/>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Secondary E.</w:t>
            </w:r>
          </w:p>
          <w:p w14:paraId="2E5756E0" w14:textId="77777777" w:rsidR="00C11703" w:rsidRPr="008902F2" w:rsidRDefault="00C11703" w:rsidP="00C11703">
            <w:pPr>
              <w:spacing w:before="65"/>
              <w:ind w:left="113"/>
              <w:jc w:val="left"/>
              <w:rPr>
                <w:rFonts w:ascii="Times New Roman" w:hAnsi="Times New Roman"/>
                <w:color w:val="FFFFFF" w:themeColor="background1"/>
                <w:lang w:val="en-GB"/>
              </w:rPr>
            </w:pPr>
          </w:p>
        </w:tc>
        <w:tc>
          <w:tcPr>
            <w:tcW w:w="12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67ACA2EC" w14:textId="77777777" w:rsidR="00C11703" w:rsidRPr="008902F2" w:rsidRDefault="00C11703" w:rsidP="00C11703">
            <w:pPr>
              <w:spacing w:before="65"/>
              <w:ind w:left="113"/>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FEMALE</w:t>
            </w:r>
          </w:p>
        </w:tc>
        <w:tc>
          <w:tcPr>
            <w:tcW w:w="113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64F31684" w14:textId="2CA74BC7" w:rsidR="00C11703" w:rsidRPr="008902F2" w:rsidRDefault="00AE16BB" w:rsidP="00C11703">
            <w:pPr>
              <w:spacing w:before="65"/>
              <w:ind w:left="113"/>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MA</w:t>
            </w:r>
            <w:r w:rsidR="00C11703" w:rsidRPr="008902F2">
              <w:rPr>
                <w:rFonts w:ascii="Times New Roman" w:hAnsi="Times New Roman"/>
                <w:b/>
                <w:bCs/>
                <w:color w:val="FFFFFF" w:themeColor="background1"/>
                <w:lang w:val="en-GB"/>
              </w:rPr>
              <w:t>LE</w:t>
            </w:r>
          </w:p>
        </w:tc>
        <w:tc>
          <w:tcPr>
            <w:tcW w:w="241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Pr>
          <w:p w14:paraId="5CB3BD8A" w14:textId="77777777" w:rsidR="00C11703" w:rsidRPr="008902F2" w:rsidRDefault="00C11703" w:rsidP="00C11703">
            <w:pPr>
              <w:spacing w:before="65"/>
              <w:ind w:left="113"/>
              <w:jc w:val="left"/>
              <w:rPr>
                <w:rFonts w:ascii="Times New Roman" w:hAnsi="Times New Roman"/>
                <w:color w:val="FFFFFF" w:themeColor="background1"/>
                <w:lang w:val="en-GB"/>
              </w:rPr>
            </w:pPr>
            <w:r w:rsidRPr="008902F2">
              <w:rPr>
                <w:rFonts w:ascii="Times New Roman" w:hAnsi="Times New Roman"/>
                <w:b/>
                <w:bCs/>
                <w:color w:val="FFFFFF" w:themeColor="background1"/>
                <w:lang w:val="en-GB"/>
              </w:rPr>
              <w:t xml:space="preserve"> Retirement</w:t>
            </w:r>
          </w:p>
        </w:tc>
      </w:tr>
      <w:tr w:rsidR="00C11703" w:rsidRPr="008902F2" w14:paraId="7CDA2029" w14:textId="77777777" w:rsidTr="00AE16BB">
        <w:trPr>
          <w:trHeight w:val="405"/>
        </w:trPr>
        <w:tc>
          <w:tcPr>
            <w:tcW w:w="18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6E7D18DA" w14:textId="77777777" w:rsidR="00C11703" w:rsidRPr="008902F2" w:rsidRDefault="00C11703" w:rsidP="00C11703">
            <w:pPr>
              <w:spacing w:before="88"/>
              <w:ind w:left="65"/>
              <w:jc w:val="left"/>
              <w:rPr>
                <w:rFonts w:ascii="Times New Roman" w:hAnsi="Times New Roman"/>
                <w:lang w:val="en-GB"/>
              </w:rPr>
            </w:pPr>
            <w:r w:rsidRPr="008902F2">
              <w:rPr>
                <w:rFonts w:ascii="Times New Roman" w:hAnsi="Times New Roman"/>
                <w:lang w:val="en-GB"/>
              </w:rPr>
              <w:t>Office Staff</w:t>
            </w:r>
          </w:p>
        </w:tc>
        <w:tc>
          <w:tcPr>
            <w:tcW w:w="141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502F5336"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1</w:t>
            </w:r>
          </w:p>
        </w:tc>
        <w:tc>
          <w:tcPr>
            <w:tcW w:w="18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42982DBC"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c>
          <w:tcPr>
            <w:tcW w:w="12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631F6D72"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1</w:t>
            </w:r>
          </w:p>
        </w:tc>
        <w:tc>
          <w:tcPr>
            <w:tcW w:w="113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47B69AAF" w14:textId="77777777" w:rsidR="00C11703" w:rsidRPr="008902F2" w:rsidRDefault="00C11703" w:rsidP="00C11703">
            <w:pPr>
              <w:spacing w:before="44"/>
              <w:jc w:val="center"/>
              <w:rPr>
                <w:rFonts w:ascii="Times New Roman" w:hAnsi="Times New Roman"/>
                <w:lang w:val="en-GB"/>
              </w:rPr>
            </w:pPr>
          </w:p>
        </w:tc>
        <w:tc>
          <w:tcPr>
            <w:tcW w:w="241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43591779"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1</w:t>
            </w:r>
          </w:p>
          <w:p w14:paraId="4BE64603" w14:textId="77777777" w:rsidR="00C11703" w:rsidRPr="008902F2" w:rsidRDefault="00C11703" w:rsidP="00C11703">
            <w:pPr>
              <w:jc w:val="center"/>
              <w:rPr>
                <w:rFonts w:ascii="Times New Roman" w:hAnsi="Times New Roman"/>
                <w:lang w:val="en-GB"/>
              </w:rPr>
            </w:pPr>
          </w:p>
          <w:p w14:paraId="5C18BEC0" w14:textId="77777777" w:rsidR="00C11703" w:rsidRPr="008902F2" w:rsidRDefault="00C11703" w:rsidP="00C11703">
            <w:pPr>
              <w:jc w:val="center"/>
              <w:rPr>
                <w:rFonts w:ascii="Times New Roman" w:hAnsi="Times New Roman"/>
                <w:lang w:val="en-GB"/>
              </w:rPr>
            </w:pPr>
          </w:p>
          <w:p w14:paraId="3C5AA78A" w14:textId="77777777" w:rsidR="00C11703" w:rsidRPr="008902F2" w:rsidRDefault="00C11703" w:rsidP="00C11703">
            <w:pPr>
              <w:jc w:val="center"/>
              <w:rPr>
                <w:rFonts w:ascii="Times New Roman" w:hAnsi="Times New Roman"/>
                <w:lang w:val="en-GB"/>
              </w:rPr>
            </w:pPr>
          </w:p>
        </w:tc>
      </w:tr>
      <w:tr w:rsidR="00C11703" w:rsidRPr="008902F2" w14:paraId="1C640F18" w14:textId="77777777" w:rsidTr="00AE16BB">
        <w:trPr>
          <w:trHeight w:val="405"/>
        </w:trPr>
        <w:tc>
          <w:tcPr>
            <w:tcW w:w="18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5710CC97" w14:textId="77777777" w:rsidR="00C11703" w:rsidRPr="008902F2" w:rsidRDefault="00C11703" w:rsidP="00C11703">
            <w:pPr>
              <w:spacing w:before="88"/>
              <w:ind w:left="65"/>
              <w:jc w:val="left"/>
              <w:rPr>
                <w:rFonts w:ascii="Times New Roman" w:hAnsi="Times New Roman"/>
                <w:lang w:val="en-GB"/>
              </w:rPr>
            </w:pPr>
            <w:r w:rsidRPr="008902F2">
              <w:rPr>
                <w:rFonts w:ascii="Times New Roman" w:hAnsi="Times New Roman"/>
                <w:lang w:val="en-GB"/>
              </w:rPr>
              <w:t>Service Staff</w:t>
            </w:r>
          </w:p>
        </w:tc>
        <w:tc>
          <w:tcPr>
            <w:tcW w:w="141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3A8594E6"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2</w:t>
            </w:r>
          </w:p>
        </w:tc>
        <w:tc>
          <w:tcPr>
            <w:tcW w:w="18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31ADFF71"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2</w:t>
            </w:r>
          </w:p>
        </w:tc>
        <w:tc>
          <w:tcPr>
            <w:tcW w:w="12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7B2D5B41"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1</w:t>
            </w:r>
          </w:p>
        </w:tc>
        <w:tc>
          <w:tcPr>
            <w:tcW w:w="113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1612B837"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1</w:t>
            </w:r>
          </w:p>
        </w:tc>
        <w:tc>
          <w:tcPr>
            <w:tcW w:w="241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6731C329"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lang w:val="en-GB"/>
              </w:rPr>
              <w:t>2</w:t>
            </w:r>
          </w:p>
          <w:p w14:paraId="7B18EA09" w14:textId="77777777" w:rsidR="00C11703" w:rsidRPr="008902F2" w:rsidRDefault="00C11703" w:rsidP="00C11703">
            <w:pPr>
              <w:jc w:val="center"/>
              <w:rPr>
                <w:rFonts w:ascii="Times New Roman" w:hAnsi="Times New Roman"/>
                <w:lang w:val="en-GB"/>
              </w:rPr>
            </w:pPr>
          </w:p>
          <w:p w14:paraId="05D75BED" w14:textId="77777777" w:rsidR="00C11703" w:rsidRPr="008902F2" w:rsidRDefault="00C11703" w:rsidP="00C11703">
            <w:pPr>
              <w:jc w:val="center"/>
              <w:rPr>
                <w:rFonts w:ascii="Times New Roman" w:hAnsi="Times New Roman"/>
                <w:lang w:val="en-GB"/>
              </w:rPr>
            </w:pPr>
          </w:p>
          <w:p w14:paraId="31EE41EE" w14:textId="77777777" w:rsidR="00C11703" w:rsidRPr="008902F2" w:rsidRDefault="00C11703" w:rsidP="00C11703">
            <w:pPr>
              <w:jc w:val="center"/>
              <w:rPr>
                <w:rFonts w:ascii="Times New Roman" w:hAnsi="Times New Roman"/>
                <w:lang w:val="en-GB"/>
              </w:rPr>
            </w:pPr>
          </w:p>
        </w:tc>
      </w:tr>
      <w:tr w:rsidR="00C11703" w:rsidRPr="008902F2" w14:paraId="0BB38CFB" w14:textId="77777777" w:rsidTr="00AE16BB">
        <w:trPr>
          <w:trHeight w:val="405"/>
        </w:trPr>
        <w:tc>
          <w:tcPr>
            <w:tcW w:w="183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Pr>
          <w:p w14:paraId="45A3D812" w14:textId="77777777" w:rsidR="00C11703" w:rsidRPr="008902F2" w:rsidRDefault="00C11703" w:rsidP="00C11703">
            <w:pPr>
              <w:spacing w:before="88"/>
              <w:ind w:left="65"/>
              <w:jc w:val="left"/>
              <w:rPr>
                <w:rFonts w:ascii="Times New Roman" w:hAnsi="Times New Roman"/>
                <w:lang w:val="en-GB"/>
              </w:rPr>
            </w:pPr>
            <w:r w:rsidRPr="008902F2">
              <w:rPr>
                <w:rFonts w:ascii="Times New Roman" w:hAnsi="Times New Roman"/>
                <w:b/>
                <w:bCs/>
                <w:lang w:val="en-GB"/>
              </w:rPr>
              <w:t>TOTAL</w:t>
            </w:r>
          </w:p>
        </w:tc>
        <w:tc>
          <w:tcPr>
            <w:tcW w:w="1418"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39A507E7"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b/>
                <w:bCs/>
                <w:lang w:val="en-GB"/>
              </w:rPr>
              <w:t>3</w:t>
            </w:r>
          </w:p>
        </w:tc>
        <w:tc>
          <w:tcPr>
            <w:tcW w:w="1842"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0B2CE8D6"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b/>
                <w:bCs/>
                <w:lang w:val="en-GB"/>
              </w:rPr>
              <w:t>3</w:t>
            </w:r>
          </w:p>
        </w:tc>
        <w:tc>
          <w:tcPr>
            <w:tcW w:w="1276"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54ED0AE5"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b/>
                <w:bCs/>
                <w:lang w:val="en-GB"/>
              </w:rPr>
              <w:t>2</w:t>
            </w:r>
          </w:p>
        </w:tc>
        <w:tc>
          <w:tcPr>
            <w:tcW w:w="1134"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24C7D307"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b/>
                <w:bCs/>
                <w:lang w:val="en-GB"/>
              </w:rPr>
              <w:t>1</w:t>
            </w:r>
          </w:p>
        </w:tc>
        <w:tc>
          <w:tcPr>
            <w:tcW w:w="241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vAlign w:val="center"/>
          </w:tcPr>
          <w:p w14:paraId="20F7733C" w14:textId="77777777" w:rsidR="00C11703" w:rsidRPr="008902F2" w:rsidRDefault="00C11703" w:rsidP="00C11703">
            <w:pPr>
              <w:spacing w:before="44"/>
              <w:jc w:val="center"/>
              <w:rPr>
                <w:rFonts w:ascii="Times New Roman" w:hAnsi="Times New Roman"/>
                <w:lang w:val="en-GB"/>
              </w:rPr>
            </w:pPr>
            <w:r w:rsidRPr="008902F2">
              <w:rPr>
                <w:rFonts w:ascii="Times New Roman" w:hAnsi="Times New Roman"/>
                <w:b/>
                <w:bCs/>
                <w:lang w:val="en-GB"/>
              </w:rPr>
              <w:t>3</w:t>
            </w:r>
          </w:p>
          <w:p w14:paraId="500C8768" w14:textId="77777777" w:rsidR="00C11703" w:rsidRPr="008902F2" w:rsidRDefault="00C11703" w:rsidP="00C11703">
            <w:pPr>
              <w:spacing w:before="44"/>
              <w:jc w:val="center"/>
              <w:rPr>
                <w:rFonts w:ascii="Times New Roman" w:hAnsi="Times New Roman"/>
                <w:lang w:val="en-GB"/>
              </w:rPr>
            </w:pPr>
          </w:p>
        </w:tc>
      </w:tr>
    </w:tbl>
    <w:p w14:paraId="023437C1" w14:textId="09FA9264" w:rsidR="00C11703" w:rsidRPr="008902F2" w:rsidRDefault="00C11703" w:rsidP="00C11703">
      <w:pPr>
        <w:spacing w:after="0"/>
        <w:rPr>
          <w:rFonts w:ascii="Times New Roman" w:hAnsi="Times New Roman"/>
          <w:noProof/>
          <w:lang w:val="en-GB"/>
        </w:rPr>
      </w:pPr>
    </w:p>
    <w:p w14:paraId="6CCEC258" w14:textId="189BC9C7" w:rsidR="00AE16BB" w:rsidRPr="008902F2" w:rsidRDefault="00AE16BB" w:rsidP="00C11703">
      <w:pPr>
        <w:spacing w:after="0"/>
        <w:rPr>
          <w:rFonts w:ascii="Times New Roman" w:hAnsi="Times New Roman"/>
          <w:noProof/>
          <w:lang w:val="en-GB"/>
        </w:rPr>
      </w:pPr>
    </w:p>
    <w:p w14:paraId="2B98A0B9" w14:textId="3F48A4DC" w:rsidR="00AE16BB" w:rsidRPr="008902F2" w:rsidRDefault="00AE16BB" w:rsidP="00C11703">
      <w:pPr>
        <w:spacing w:after="0"/>
        <w:rPr>
          <w:rFonts w:ascii="Times New Roman" w:hAnsi="Times New Roman"/>
          <w:noProof/>
          <w:lang w:val="en-GB"/>
        </w:rPr>
      </w:pPr>
    </w:p>
    <w:p w14:paraId="60E95BA5" w14:textId="77777777" w:rsidR="00AE16BB" w:rsidRPr="008902F2" w:rsidRDefault="00AE16BB" w:rsidP="00C11703">
      <w:pPr>
        <w:spacing w:after="0"/>
        <w:rPr>
          <w:rFonts w:ascii="Times New Roman" w:hAnsi="Times New Roman"/>
          <w:noProof/>
          <w:lang w:val="en-GB"/>
        </w:rPr>
      </w:pPr>
    </w:p>
    <w:p w14:paraId="255EAD27" w14:textId="77777777" w:rsidR="00AE16BB" w:rsidRPr="008902F2" w:rsidRDefault="00AE16BB" w:rsidP="00C11703">
      <w:pPr>
        <w:spacing w:after="0"/>
        <w:rPr>
          <w:rFonts w:ascii="Times New Roman" w:hAnsi="Times New Roman"/>
          <w:noProof/>
          <w:lang w:val="en-GB"/>
        </w:rPr>
      </w:pPr>
    </w:p>
    <w:p w14:paraId="284B8DEE"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13.6: Position Distribution of The Authority’s Personnel (As Permanent Worker)</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820"/>
        <w:gridCol w:w="1005"/>
        <w:gridCol w:w="1005"/>
        <w:gridCol w:w="600"/>
        <w:gridCol w:w="615"/>
        <w:gridCol w:w="615"/>
        <w:gridCol w:w="615"/>
        <w:gridCol w:w="615"/>
        <w:gridCol w:w="630"/>
        <w:gridCol w:w="660"/>
        <w:gridCol w:w="630"/>
      </w:tblGrid>
      <w:tr w:rsidR="00C11703" w:rsidRPr="008902F2" w14:paraId="62BE8D5F" w14:textId="77777777" w:rsidTr="00C11703">
        <w:trPr>
          <w:trHeight w:val="255"/>
        </w:trPr>
        <w:tc>
          <w:tcPr>
            <w:tcW w:w="2820"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75909A62" w14:textId="77777777" w:rsidR="00C11703" w:rsidRPr="008902F2" w:rsidRDefault="00C11703" w:rsidP="00C11703">
            <w:pPr>
              <w:spacing w:after="0"/>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POSITION</w:t>
            </w:r>
          </w:p>
        </w:tc>
        <w:tc>
          <w:tcPr>
            <w:tcW w:w="1005"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477F97EA" w14:textId="77777777" w:rsidR="00C11703" w:rsidRPr="008902F2" w:rsidRDefault="00C11703" w:rsidP="00C11703">
            <w:pPr>
              <w:spacing w:after="0"/>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TOTAL NUMBER OF STAFF</w:t>
            </w:r>
          </w:p>
        </w:tc>
        <w:tc>
          <w:tcPr>
            <w:tcW w:w="1005"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04F3BEA8" w14:textId="77777777" w:rsidR="00C11703" w:rsidRPr="008902F2" w:rsidRDefault="00C11703" w:rsidP="00C11703">
            <w:pPr>
              <w:spacing w:after="0"/>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FULL STAFF</w:t>
            </w:r>
          </w:p>
        </w:tc>
        <w:tc>
          <w:tcPr>
            <w:tcW w:w="3690" w:type="dxa"/>
            <w:gridSpan w:val="6"/>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15E5F3EC" w14:textId="77777777" w:rsidR="00C11703" w:rsidRPr="008902F2" w:rsidRDefault="00C11703" w:rsidP="00C11703">
            <w:pPr>
              <w:spacing w:after="0"/>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STATUS OF EDUCATION</w:t>
            </w:r>
          </w:p>
        </w:tc>
        <w:tc>
          <w:tcPr>
            <w:tcW w:w="129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vAlign w:val="center"/>
          </w:tcPr>
          <w:p w14:paraId="31CB63C0" w14:textId="77777777" w:rsidR="00C11703" w:rsidRPr="008902F2" w:rsidRDefault="00C11703" w:rsidP="00C11703">
            <w:pPr>
              <w:spacing w:after="0"/>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GENDER</w:t>
            </w:r>
          </w:p>
        </w:tc>
      </w:tr>
      <w:tr w:rsidR="00C11703" w:rsidRPr="008902F2" w14:paraId="22981B1A" w14:textId="77777777" w:rsidTr="00AE16BB">
        <w:trPr>
          <w:cantSplit/>
          <w:trHeight w:val="1830"/>
        </w:trPr>
        <w:tc>
          <w:tcPr>
            <w:tcW w:w="2820" w:type="dxa"/>
            <w:vMerge/>
            <w:vAlign w:val="center"/>
          </w:tcPr>
          <w:p w14:paraId="4342606F" w14:textId="77777777" w:rsidR="00C11703" w:rsidRPr="008902F2" w:rsidRDefault="00C11703" w:rsidP="00C11703">
            <w:pPr>
              <w:rPr>
                <w:rFonts w:ascii="Times New Roman" w:hAnsi="Times New Roman"/>
                <w:lang w:val="en-GB"/>
              </w:rPr>
            </w:pPr>
          </w:p>
        </w:tc>
        <w:tc>
          <w:tcPr>
            <w:tcW w:w="1005" w:type="dxa"/>
            <w:vMerge/>
            <w:vAlign w:val="center"/>
          </w:tcPr>
          <w:p w14:paraId="647A63E1" w14:textId="77777777" w:rsidR="00C11703" w:rsidRPr="008902F2" w:rsidRDefault="00C11703" w:rsidP="00C11703">
            <w:pPr>
              <w:rPr>
                <w:rFonts w:ascii="Times New Roman" w:hAnsi="Times New Roman"/>
                <w:lang w:val="en-GB"/>
              </w:rPr>
            </w:pPr>
          </w:p>
        </w:tc>
        <w:tc>
          <w:tcPr>
            <w:tcW w:w="1005" w:type="dxa"/>
            <w:vMerge/>
            <w:vAlign w:val="center"/>
          </w:tcPr>
          <w:p w14:paraId="46569B9C" w14:textId="77777777" w:rsidR="00C11703" w:rsidRPr="008902F2" w:rsidRDefault="00C11703" w:rsidP="00C11703">
            <w:pPr>
              <w:rPr>
                <w:rFonts w:ascii="Times New Roman" w:hAnsi="Times New Roman"/>
                <w:lang w:val="en-GB"/>
              </w:rPr>
            </w:pP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039C8698" w14:textId="77777777" w:rsidR="00C11703" w:rsidRPr="008902F2" w:rsidRDefault="00C11703" w:rsidP="00AE16BB">
            <w:pPr>
              <w:spacing w:after="0"/>
              <w:rPr>
                <w:rFonts w:ascii="Times New Roman" w:hAnsi="Times New Roman"/>
                <w:color w:val="FFFFFF" w:themeColor="background1"/>
                <w:lang w:val="en-GB"/>
              </w:rPr>
            </w:pPr>
            <w:r w:rsidRPr="008902F2">
              <w:rPr>
                <w:rFonts w:ascii="Times New Roman" w:hAnsi="Times New Roman"/>
                <w:b/>
                <w:bCs/>
                <w:color w:val="FFFFFF"/>
                <w:lang w:val="en-GB"/>
              </w:rPr>
              <w:t xml:space="preserve">PRIMARY </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26E41D4F" w14:textId="77777777" w:rsidR="00C11703" w:rsidRPr="008902F2" w:rsidRDefault="00C11703" w:rsidP="00C11703">
            <w:pPr>
              <w:spacing w:after="0"/>
              <w:rPr>
                <w:rFonts w:ascii="Times New Roman" w:hAnsi="Times New Roman"/>
                <w:color w:val="FFFFFF" w:themeColor="background1"/>
                <w:lang w:val="en-GB"/>
              </w:rPr>
            </w:pPr>
            <w:r w:rsidRPr="008902F2">
              <w:rPr>
                <w:rFonts w:ascii="Times New Roman" w:hAnsi="Times New Roman"/>
                <w:b/>
                <w:bCs/>
                <w:color w:val="FFFFFF"/>
                <w:lang w:val="en-GB"/>
              </w:rPr>
              <w:t>SECONDARY</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184519FF" w14:textId="77777777" w:rsidR="00C11703" w:rsidRPr="008902F2" w:rsidRDefault="00C11703" w:rsidP="00C11703">
            <w:pPr>
              <w:spacing w:after="0"/>
              <w:rPr>
                <w:rFonts w:ascii="Times New Roman" w:hAnsi="Times New Roman"/>
                <w:color w:val="FFFFFF" w:themeColor="background1"/>
                <w:lang w:val="en-GB"/>
              </w:rPr>
            </w:pPr>
            <w:r w:rsidRPr="008902F2">
              <w:rPr>
                <w:rFonts w:ascii="Times New Roman" w:hAnsi="Times New Roman"/>
                <w:b/>
                <w:bCs/>
                <w:color w:val="FFFFFF"/>
                <w:lang w:val="en-GB"/>
              </w:rPr>
              <w:t xml:space="preserve">2-YEAR VOCATIONAL HUGH SCHOOL </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2E030B41" w14:textId="77777777" w:rsidR="00C11703" w:rsidRPr="008902F2" w:rsidRDefault="00C11703" w:rsidP="00C11703">
            <w:pPr>
              <w:spacing w:after="0"/>
              <w:rPr>
                <w:rFonts w:ascii="Times New Roman" w:hAnsi="Times New Roman"/>
                <w:color w:val="FFFFFF" w:themeColor="background1"/>
                <w:lang w:val="en-GB"/>
              </w:rPr>
            </w:pPr>
            <w:r w:rsidRPr="008902F2">
              <w:rPr>
                <w:rFonts w:ascii="Times New Roman" w:hAnsi="Times New Roman"/>
                <w:b/>
                <w:bCs/>
                <w:color w:val="FFFFFF"/>
                <w:lang w:val="en-GB"/>
              </w:rPr>
              <w:t>4-YEAR UNDERGRADUATE  DEGREE</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45D37842" w14:textId="77777777" w:rsidR="00C11703" w:rsidRPr="008902F2" w:rsidRDefault="00C11703" w:rsidP="00C11703">
            <w:pPr>
              <w:spacing w:after="0"/>
              <w:jc w:val="center"/>
              <w:rPr>
                <w:rFonts w:ascii="Times New Roman" w:hAnsi="Times New Roman"/>
                <w:b/>
                <w:bCs/>
                <w:color w:val="FFFFFF"/>
                <w:lang w:val="en-GB"/>
              </w:rPr>
            </w:pPr>
            <w:r w:rsidRPr="008902F2">
              <w:rPr>
                <w:rFonts w:ascii="Times New Roman" w:hAnsi="Times New Roman"/>
                <w:b/>
                <w:bCs/>
                <w:color w:val="FFFFFF"/>
                <w:lang w:val="en-GB"/>
              </w:rPr>
              <w:t>GRADUATE DEGREE</w:t>
            </w:r>
          </w:p>
          <w:p w14:paraId="5CB945EE" w14:textId="77777777" w:rsidR="00C11703" w:rsidRPr="008902F2" w:rsidRDefault="00C11703" w:rsidP="00C11703">
            <w:pPr>
              <w:spacing w:after="0"/>
              <w:rPr>
                <w:rFonts w:ascii="Times New Roman" w:hAnsi="Times New Roman"/>
                <w:color w:val="FFFFFF" w:themeColor="background1"/>
                <w:lang w:val="en-GB"/>
              </w:rPr>
            </w:pP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4ABCA004" w14:textId="77777777" w:rsidR="00C11703" w:rsidRPr="008902F2" w:rsidRDefault="00C11703" w:rsidP="00C11703">
            <w:pPr>
              <w:spacing w:after="0"/>
              <w:rPr>
                <w:rFonts w:ascii="Times New Roman" w:hAnsi="Times New Roman"/>
                <w:color w:val="FFFFFF" w:themeColor="background1"/>
                <w:lang w:val="en-GB"/>
              </w:rPr>
            </w:pPr>
            <w:r w:rsidRPr="008902F2">
              <w:rPr>
                <w:rFonts w:ascii="Times New Roman" w:hAnsi="Times New Roman"/>
                <w:b/>
                <w:bCs/>
                <w:color w:val="FFFFFF"/>
                <w:lang w:val="en-GB"/>
              </w:rPr>
              <w:t>PH.D.</w:t>
            </w: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41538A27" w14:textId="77777777" w:rsidR="00C11703" w:rsidRPr="008902F2" w:rsidRDefault="00C11703" w:rsidP="00AE16BB">
            <w:pPr>
              <w:spacing w:after="0"/>
              <w:rPr>
                <w:rFonts w:ascii="Times New Roman" w:hAnsi="Times New Roman"/>
                <w:b/>
                <w:bCs/>
                <w:color w:val="FFFFFF"/>
                <w:lang w:val="en-GB"/>
              </w:rPr>
            </w:pPr>
            <w:r w:rsidRPr="008902F2">
              <w:rPr>
                <w:rFonts w:ascii="Times New Roman" w:hAnsi="Times New Roman"/>
                <w:b/>
                <w:bCs/>
                <w:color w:val="FFFFFF"/>
                <w:lang w:val="en-GB"/>
              </w:rPr>
              <w:t xml:space="preserve"> FEMALE</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60" w:type="dxa"/>
              <w:right w:w="60" w:type="dxa"/>
            </w:tcMar>
            <w:textDirection w:val="btLr"/>
            <w:vAlign w:val="center"/>
          </w:tcPr>
          <w:p w14:paraId="3CE7C5B2" w14:textId="77777777" w:rsidR="00C11703" w:rsidRPr="008902F2" w:rsidRDefault="00C11703" w:rsidP="00AE16BB">
            <w:pPr>
              <w:spacing w:after="0"/>
              <w:rPr>
                <w:rFonts w:ascii="Times New Roman" w:hAnsi="Times New Roman"/>
                <w:b/>
                <w:bCs/>
                <w:color w:val="FFFFFF"/>
                <w:lang w:val="en-GB"/>
              </w:rPr>
            </w:pPr>
            <w:r w:rsidRPr="008902F2">
              <w:rPr>
                <w:rFonts w:ascii="Times New Roman" w:hAnsi="Times New Roman"/>
                <w:b/>
                <w:bCs/>
                <w:color w:val="FFFFFF"/>
                <w:lang w:val="en-GB"/>
              </w:rPr>
              <w:t xml:space="preserve"> MALE</w:t>
            </w:r>
          </w:p>
        </w:tc>
      </w:tr>
      <w:tr w:rsidR="00C11703" w:rsidRPr="008902F2" w14:paraId="072A8195" w14:textId="77777777" w:rsidTr="00C11703">
        <w:trPr>
          <w:trHeight w:val="255"/>
        </w:trPr>
        <w:tc>
          <w:tcPr>
            <w:tcW w:w="28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40547B54"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color w:val="000000" w:themeColor="text1"/>
                <w:lang w:val="en-GB"/>
              </w:rPr>
              <w:t>Office Staff</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40C18EA"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56</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F2482DA"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56</w:t>
            </w: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6BCC7BB" w14:textId="77777777" w:rsidR="00C11703" w:rsidRPr="008902F2" w:rsidRDefault="00C11703" w:rsidP="00C11703">
            <w:pPr>
              <w:spacing w:after="0"/>
              <w:jc w:val="center"/>
              <w:rPr>
                <w:rFonts w:ascii="Times New Roman" w:hAnsi="Times New Roman"/>
                <w:color w:val="000000" w:themeColor="text1"/>
                <w:lang w:val="en-GB"/>
              </w:rPr>
            </w:pP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346FEF0"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16</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5AF2B42"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8</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C1B564D"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32</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FCA7AD9" w14:textId="77777777" w:rsidR="00C11703" w:rsidRPr="008902F2" w:rsidRDefault="00C11703" w:rsidP="00C11703">
            <w:pPr>
              <w:spacing w:after="0"/>
              <w:jc w:val="center"/>
              <w:rPr>
                <w:rFonts w:ascii="Times New Roman" w:hAnsi="Times New Roman"/>
                <w:color w:val="000000" w:themeColor="text1"/>
                <w:lang w:val="en-GB"/>
              </w:rPr>
            </w:pP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5D7BD7B" w14:textId="77777777" w:rsidR="00C11703" w:rsidRPr="008902F2" w:rsidRDefault="00C11703" w:rsidP="00C11703">
            <w:pPr>
              <w:spacing w:after="0"/>
              <w:jc w:val="center"/>
              <w:rPr>
                <w:rFonts w:ascii="Times New Roman" w:hAnsi="Times New Roman"/>
                <w:color w:val="000000" w:themeColor="text1"/>
                <w:lang w:val="en-GB"/>
              </w:rPr>
            </w:pP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08D120A"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35</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EF9FB4C"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21</w:t>
            </w:r>
          </w:p>
        </w:tc>
      </w:tr>
      <w:tr w:rsidR="00C11703" w:rsidRPr="008902F2" w14:paraId="503230A8" w14:textId="77777777" w:rsidTr="00C11703">
        <w:trPr>
          <w:trHeight w:val="255"/>
        </w:trPr>
        <w:tc>
          <w:tcPr>
            <w:tcW w:w="28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04B9E50F"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Security Staff</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A951F34"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50</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5DAF4EA"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50</w:t>
            </w: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BF2ABD7" w14:textId="77777777" w:rsidR="00C11703" w:rsidRPr="008902F2" w:rsidRDefault="00C11703" w:rsidP="00C11703">
            <w:pPr>
              <w:spacing w:after="0"/>
              <w:jc w:val="center"/>
              <w:rPr>
                <w:rFonts w:ascii="Times New Roman" w:hAnsi="Times New Roman"/>
                <w:color w:val="000000" w:themeColor="text1"/>
                <w:lang w:val="en-GB"/>
              </w:rPr>
            </w:pP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7B75A9A"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42</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01BBDC2"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6</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34B7FF6"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2</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278DAF4" w14:textId="77777777" w:rsidR="00C11703" w:rsidRPr="008902F2" w:rsidRDefault="00C11703" w:rsidP="00C11703">
            <w:pPr>
              <w:spacing w:after="0"/>
              <w:jc w:val="center"/>
              <w:rPr>
                <w:rFonts w:ascii="Times New Roman" w:hAnsi="Times New Roman"/>
                <w:color w:val="000000" w:themeColor="text1"/>
                <w:lang w:val="en-GB"/>
              </w:rPr>
            </w:pP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174B3A2" w14:textId="77777777" w:rsidR="00C11703" w:rsidRPr="008902F2" w:rsidRDefault="00C11703" w:rsidP="00C11703">
            <w:pPr>
              <w:spacing w:after="0"/>
              <w:jc w:val="center"/>
              <w:rPr>
                <w:rFonts w:ascii="Times New Roman" w:hAnsi="Times New Roman"/>
                <w:color w:val="000000" w:themeColor="text1"/>
                <w:lang w:val="en-GB"/>
              </w:rPr>
            </w:pP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51C2466"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8</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3AD08A9"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42</w:t>
            </w:r>
          </w:p>
        </w:tc>
      </w:tr>
      <w:tr w:rsidR="00C11703" w:rsidRPr="008902F2" w14:paraId="68C9D0D8" w14:textId="77777777" w:rsidTr="00C11703">
        <w:trPr>
          <w:trHeight w:val="255"/>
        </w:trPr>
        <w:tc>
          <w:tcPr>
            <w:tcW w:w="28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3081813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Servicer</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346C8D5"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109</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D9399DF"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109</w:t>
            </w: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2830204"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29</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6F10CA0"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60</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87E204E"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11</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9AA236E"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8</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F1E1DA8" w14:textId="77777777" w:rsidR="00C11703" w:rsidRPr="008902F2" w:rsidRDefault="00C11703" w:rsidP="00C11703">
            <w:pPr>
              <w:spacing w:after="0"/>
              <w:jc w:val="center"/>
              <w:rPr>
                <w:rFonts w:ascii="Times New Roman" w:hAnsi="Times New Roman"/>
                <w:color w:val="000000" w:themeColor="text1"/>
                <w:lang w:val="en-GB"/>
              </w:rPr>
            </w:pPr>
            <w:r w:rsidRPr="008902F2">
              <w:rPr>
                <w:rFonts w:ascii="Times New Roman" w:hAnsi="Times New Roman"/>
                <w:color w:val="000000" w:themeColor="text1"/>
                <w:lang w:val="en-GB"/>
              </w:rPr>
              <w:t>1</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164A90B" w14:textId="77777777" w:rsidR="00C11703" w:rsidRPr="008902F2" w:rsidRDefault="00C11703" w:rsidP="00C11703">
            <w:pPr>
              <w:spacing w:after="0"/>
              <w:jc w:val="center"/>
              <w:rPr>
                <w:rFonts w:ascii="Times New Roman" w:hAnsi="Times New Roman"/>
                <w:color w:val="000000" w:themeColor="text1"/>
                <w:lang w:val="en-GB"/>
              </w:rPr>
            </w:pP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DB6044E"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47</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AD0012D"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62</w:t>
            </w:r>
          </w:p>
        </w:tc>
      </w:tr>
      <w:tr w:rsidR="00C11703" w:rsidRPr="008902F2" w14:paraId="1D565D53" w14:textId="77777777" w:rsidTr="00C11703">
        <w:trPr>
          <w:trHeight w:val="255"/>
        </w:trPr>
        <w:tc>
          <w:tcPr>
            <w:tcW w:w="28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215DE2D6" w14:textId="77777777" w:rsidR="00C11703" w:rsidRPr="008902F2" w:rsidRDefault="00C11703" w:rsidP="00C11703">
            <w:pPr>
              <w:spacing w:after="0" w:line="240" w:lineRule="auto"/>
              <w:rPr>
                <w:rFonts w:ascii="Times New Roman" w:hAnsi="Times New Roman"/>
                <w:color w:val="000000" w:themeColor="text1"/>
                <w:lang w:val="en-GB"/>
              </w:rPr>
            </w:pPr>
            <w:r w:rsidRPr="008902F2">
              <w:rPr>
                <w:rFonts w:ascii="Times New Roman" w:hAnsi="Times New Roman"/>
                <w:color w:val="000000" w:themeColor="text1"/>
                <w:lang w:val="en-GB"/>
              </w:rPr>
              <w:t>Driver</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9D3E297"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40A89332"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w:t>
            </w: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E23C4ED"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D4670D1" w14:textId="77777777" w:rsidR="00C11703" w:rsidRPr="008902F2" w:rsidRDefault="00C11703" w:rsidP="00C11703">
            <w:pPr>
              <w:spacing w:after="0"/>
              <w:jc w:val="center"/>
              <w:rPr>
                <w:rFonts w:ascii="Times New Roman" w:hAnsi="Times New Roman"/>
                <w:color w:val="000000" w:themeColor="text1"/>
                <w:lang w:val="en-GB"/>
              </w:rPr>
            </w:pP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262EF05" w14:textId="77777777" w:rsidR="00C11703" w:rsidRPr="008902F2" w:rsidRDefault="00C11703" w:rsidP="00C11703">
            <w:pPr>
              <w:spacing w:after="0"/>
              <w:jc w:val="center"/>
              <w:rPr>
                <w:rFonts w:ascii="Times New Roman" w:hAnsi="Times New Roman"/>
                <w:color w:val="000000" w:themeColor="text1"/>
                <w:lang w:val="en-GB"/>
              </w:rPr>
            </w:pP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8787EA3" w14:textId="77777777" w:rsidR="00C11703" w:rsidRPr="008902F2" w:rsidRDefault="00C11703" w:rsidP="00C11703">
            <w:pPr>
              <w:spacing w:after="0"/>
              <w:jc w:val="center"/>
              <w:rPr>
                <w:rFonts w:ascii="Times New Roman" w:hAnsi="Times New Roman"/>
                <w:color w:val="000000" w:themeColor="text1"/>
                <w:lang w:val="en-GB"/>
              </w:rPr>
            </w:pP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219F1BBE" w14:textId="77777777" w:rsidR="00C11703" w:rsidRPr="008902F2" w:rsidRDefault="00C11703" w:rsidP="00C11703">
            <w:pPr>
              <w:spacing w:after="0"/>
              <w:jc w:val="center"/>
              <w:rPr>
                <w:rFonts w:ascii="Times New Roman" w:hAnsi="Times New Roman"/>
                <w:color w:val="000000" w:themeColor="text1"/>
                <w:lang w:val="en-GB"/>
              </w:rPr>
            </w:pP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FF80A68" w14:textId="77777777" w:rsidR="00C11703" w:rsidRPr="008902F2" w:rsidRDefault="00C11703" w:rsidP="00C11703">
            <w:pPr>
              <w:spacing w:after="0"/>
              <w:jc w:val="center"/>
              <w:rPr>
                <w:rFonts w:ascii="Times New Roman" w:hAnsi="Times New Roman"/>
                <w:color w:val="000000" w:themeColor="text1"/>
                <w:lang w:val="en-GB"/>
              </w:rPr>
            </w:pP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9B43570" w14:textId="77777777" w:rsidR="00C11703" w:rsidRPr="008902F2" w:rsidRDefault="00C11703" w:rsidP="00C11703">
            <w:pPr>
              <w:spacing w:after="0"/>
              <w:jc w:val="center"/>
              <w:rPr>
                <w:rFonts w:ascii="Times New Roman" w:hAnsi="Times New Roman"/>
                <w:color w:val="000000" w:themeColor="text1"/>
                <w:lang w:val="en-GB"/>
              </w:rPr>
            </w:pP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172D4B1"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lang w:val="en-GB"/>
              </w:rPr>
              <w:t>1</w:t>
            </w:r>
          </w:p>
        </w:tc>
      </w:tr>
      <w:tr w:rsidR="00C11703" w:rsidRPr="008902F2" w14:paraId="3B2CDA90" w14:textId="77777777" w:rsidTr="00C11703">
        <w:trPr>
          <w:trHeight w:val="555"/>
        </w:trPr>
        <w:tc>
          <w:tcPr>
            <w:tcW w:w="282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vAlign w:val="center"/>
          </w:tcPr>
          <w:p w14:paraId="1546F686" w14:textId="77777777" w:rsidR="00C11703" w:rsidRPr="008902F2" w:rsidRDefault="00C11703" w:rsidP="00C11703">
            <w:pPr>
              <w:spacing w:after="0"/>
              <w:rPr>
                <w:rFonts w:ascii="Times New Roman" w:hAnsi="Times New Roman"/>
                <w:color w:val="000000" w:themeColor="text1"/>
                <w:lang w:val="en-GB"/>
              </w:rPr>
            </w:pPr>
            <w:r w:rsidRPr="008902F2">
              <w:rPr>
                <w:rFonts w:ascii="Times New Roman" w:hAnsi="Times New Roman"/>
                <w:b/>
                <w:bCs/>
                <w:color w:val="000000" w:themeColor="text1"/>
                <w:lang w:val="en-GB"/>
              </w:rPr>
              <w:t>TOTAL</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5E6C1D16"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216</w:t>
            </w:r>
          </w:p>
        </w:tc>
        <w:tc>
          <w:tcPr>
            <w:tcW w:w="10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4A4CDD9"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216</w:t>
            </w:r>
          </w:p>
        </w:tc>
        <w:tc>
          <w:tcPr>
            <w:tcW w:w="60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7179FD82"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30</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FFF51D8"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118</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0F3C1C8"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25</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125DE84E"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42</w:t>
            </w:r>
          </w:p>
        </w:tc>
        <w:tc>
          <w:tcPr>
            <w:tcW w:w="61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7A5B93A" w14:textId="77777777" w:rsidR="00C11703" w:rsidRPr="008902F2" w:rsidRDefault="00C11703" w:rsidP="00C11703">
            <w:pPr>
              <w:spacing w:after="0"/>
              <w:jc w:val="center"/>
              <w:rPr>
                <w:rFonts w:ascii="Times New Roman" w:hAnsi="Times New Roman"/>
                <w:color w:val="000000" w:themeColor="text1"/>
                <w:lang w:val="en-GB"/>
              </w:rPr>
            </w:pPr>
            <w:r w:rsidRPr="008902F2">
              <w:rPr>
                <w:rFonts w:ascii="Times New Roman" w:hAnsi="Times New Roman"/>
                <w:b/>
                <w:bCs/>
                <w:color w:val="000000" w:themeColor="text1"/>
                <w:lang w:val="en-GB"/>
              </w:rPr>
              <w:t>1</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6BBFA515" w14:textId="77777777" w:rsidR="00C11703" w:rsidRPr="008902F2" w:rsidRDefault="00C11703" w:rsidP="00C11703">
            <w:pPr>
              <w:spacing w:after="0"/>
              <w:jc w:val="center"/>
              <w:rPr>
                <w:rFonts w:ascii="Times New Roman" w:hAnsi="Times New Roman"/>
                <w:color w:val="000000" w:themeColor="text1"/>
                <w:lang w:val="en-GB"/>
              </w:rPr>
            </w:pPr>
          </w:p>
        </w:tc>
        <w:tc>
          <w:tcPr>
            <w:tcW w:w="66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322D0D9E"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90</w:t>
            </w:r>
          </w:p>
        </w:tc>
        <w:tc>
          <w:tcPr>
            <w:tcW w:w="6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60" w:type="dxa"/>
              <w:right w:w="60" w:type="dxa"/>
            </w:tcMar>
          </w:tcPr>
          <w:p w14:paraId="05702AF6" w14:textId="77777777" w:rsidR="00C11703" w:rsidRPr="008902F2" w:rsidRDefault="00C11703" w:rsidP="00C11703">
            <w:pPr>
              <w:spacing w:after="0"/>
              <w:jc w:val="center"/>
              <w:rPr>
                <w:rFonts w:ascii="Times New Roman" w:hAnsi="Times New Roman"/>
                <w:lang w:val="en-GB"/>
              </w:rPr>
            </w:pPr>
            <w:r w:rsidRPr="008902F2">
              <w:rPr>
                <w:rFonts w:ascii="Times New Roman" w:hAnsi="Times New Roman"/>
                <w:b/>
                <w:bCs/>
                <w:lang w:val="en-GB"/>
              </w:rPr>
              <w:t>126</w:t>
            </w:r>
          </w:p>
        </w:tc>
      </w:tr>
    </w:tbl>
    <w:p w14:paraId="42C98CD2" w14:textId="19FB0B5A" w:rsidR="00C11703" w:rsidRPr="008902F2" w:rsidRDefault="00C11703" w:rsidP="00420211">
      <w:pPr>
        <w:pStyle w:val="Balk2"/>
        <w:rPr>
          <w:rFonts w:ascii="Times New Roman" w:hAnsi="Times New Roman" w:cs="Times New Roman"/>
          <w:noProof/>
          <w:lang w:val="en-GB"/>
        </w:rPr>
      </w:pPr>
      <w:bookmarkStart w:id="213" w:name="_Toc143113495"/>
      <w:r w:rsidRPr="008902F2">
        <w:rPr>
          <w:rFonts w:ascii="Times New Roman" w:hAnsi="Times New Roman" w:cs="Times New Roman"/>
          <w:noProof/>
          <w:lang w:val="en-GB"/>
        </w:rPr>
        <w:t>13.2. Educational Activities</w:t>
      </w:r>
      <w:bookmarkEnd w:id="213"/>
    </w:p>
    <w:p w14:paraId="492C2B35" w14:textId="77777777" w:rsidR="00C11703" w:rsidRPr="008902F2" w:rsidRDefault="00C11703" w:rsidP="00C11703">
      <w:pPr>
        <w:spacing w:after="240"/>
        <w:rPr>
          <w:rFonts w:ascii="Times New Roman" w:hAnsi="Times New Roman"/>
          <w:noProof/>
          <w:color w:val="000000" w:themeColor="text1"/>
          <w:lang w:val="en-GB"/>
        </w:rPr>
      </w:pPr>
      <w:r w:rsidRPr="008902F2">
        <w:rPr>
          <w:rFonts w:ascii="Times New Roman" w:hAnsi="Times New Roman"/>
          <w:noProof/>
          <w:color w:val="000000" w:themeColor="text1"/>
          <w:lang w:val="en-GB"/>
        </w:rPr>
        <w:t>In this section, there are training activities for the personnel of the Authority and information about the people who served internship at the Authority. As can be seen from the tables on the following pages, the Authority allocates significant time and financial resources for educational activities.</w:t>
      </w:r>
    </w:p>
    <w:p w14:paraId="3E825EB4" w14:textId="4BD43B6B" w:rsidR="00C11703" w:rsidRPr="008902F2" w:rsidRDefault="00C11703" w:rsidP="00420211">
      <w:pPr>
        <w:pStyle w:val="Balk3"/>
        <w:rPr>
          <w:rFonts w:ascii="Times New Roman" w:hAnsi="Times New Roman" w:cs="Times New Roman"/>
          <w:noProof/>
          <w:lang w:val="en-GB"/>
        </w:rPr>
      </w:pPr>
      <w:bookmarkStart w:id="214" w:name="_Toc143113496"/>
      <w:r w:rsidRPr="008902F2">
        <w:rPr>
          <w:rFonts w:ascii="Times New Roman" w:hAnsi="Times New Roman" w:cs="Times New Roman"/>
          <w:noProof/>
          <w:lang w:val="en-GB"/>
        </w:rPr>
        <w:t>13.2.1. In-Service Training Activities</w:t>
      </w:r>
      <w:bookmarkEnd w:id="214"/>
    </w:p>
    <w:p w14:paraId="2A78000D"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13.7: In-Service Training Activities in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79"/>
        <w:gridCol w:w="4113"/>
        <w:gridCol w:w="2124"/>
      </w:tblGrid>
      <w:tr w:rsidR="00C11703" w:rsidRPr="008902F2" w14:paraId="399A1372" w14:textId="77777777" w:rsidTr="00AE16BB">
        <w:trPr>
          <w:trHeight w:val="390"/>
          <w:tblHeader/>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vAlign w:val="center"/>
          </w:tcPr>
          <w:p w14:paraId="58A6B256"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Educational Institution or Organization</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vAlign w:val="center"/>
          </w:tcPr>
          <w:p w14:paraId="0E146F40"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Name of Education</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vAlign w:val="center"/>
          </w:tcPr>
          <w:p w14:paraId="40FCB434"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Attendees</w:t>
            </w:r>
          </w:p>
        </w:tc>
      </w:tr>
      <w:tr w:rsidR="00C11703" w:rsidRPr="008902F2" w14:paraId="5150FA22" w14:textId="77777777" w:rsidTr="00C11703">
        <w:trPr>
          <w:trHeight w:val="19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6E8CD1C" w14:textId="77777777" w:rsidR="00C11703" w:rsidRPr="008902F2" w:rsidRDefault="00C11703" w:rsidP="00C11703">
            <w:pPr>
              <w:rPr>
                <w:rFonts w:ascii="Times New Roman" w:hAnsi="Times New Roman"/>
                <w:lang w:val="en-GB"/>
              </w:rPr>
            </w:pPr>
            <w:r w:rsidRPr="008902F2">
              <w:rPr>
                <w:rFonts w:ascii="Times New Roman" w:hAnsi="Times New Roman"/>
                <w:lang w:val="en-GB"/>
              </w:rPr>
              <w:t>Banking and Commercial Law Research Institute</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C119D11" w14:textId="77777777" w:rsidR="00C11703" w:rsidRPr="008902F2" w:rsidRDefault="00C11703" w:rsidP="00C11703">
            <w:pPr>
              <w:rPr>
                <w:rFonts w:ascii="Times New Roman" w:hAnsi="Times New Roman"/>
                <w:lang w:val="en-GB"/>
              </w:rPr>
            </w:pPr>
            <w:r w:rsidRPr="008902F2">
              <w:rPr>
                <w:rFonts w:ascii="Times New Roman" w:hAnsi="Times New Roman"/>
                <w:lang w:val="en-GB"/>
              </w:rPr>
              <w:t>Economy and Commercial Law Certificate Program</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AC34C4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59 Staff</w:t>
            </w:r>
          </w:p>
        </w:tc>
      </w:tr>
      <w:tr w:rsidR="00C11703" w:rsidRPr="008902F2" w14:paraId="692F671E"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A98BDC0" w14:textId="77777777" w:rsidR="00C11703" w:rsidRPr="008902F2" w:rsidRDefault="00C11703" w:rsidP="00C11703">
            <w:pPr>
              <w:rPr>
                <w:rFonts w:ascii="Times New Roman" w:hAnsi="Times New Roman"/>
                <w:lang w:val="en-GB"/>
              </w:rPr>
            </w:pPr>
            <w:r w:rsidRPr="008902F2">
              <w:rPr>
                <w:rFonts w:ascii="Times New Roman" w:hAnsi="Times New Roman"/>
                <w:lang w:val="en-GB"/>
              </w:rPr>
              <w:t>Banking and Commercial Law Research Institute</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0B42898"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Law Certificate Program</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A8631C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 Staff</w:t>
            </w:r>
          </w:p>
        </w:tc>
      </w:tr>
      <w:tr w:rsidR="00C11703" w:rsidRPr="008902F2" w14:paraId="373F4D1D" w14:textId="77777777" w:rsidTr="00C11703">
        <w:trPr>
          <w:trHeight w:val="180"/>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A93D7F8" w14:textId="77777777" w:rsidR="00C11703" w:rsidRPr="008902F2" w:rsidRDefault="00C11703" w:rsidP="00C11703">
            <w:pPr>
              <w:rPr>
                <w:rFonts w:ascii="Times New Roman" w:hAnsi="Times New Roman"/>
                <w:lang w:val="en-GB"/>
              </w:rPr>
            </w:pPr>
            <w:r w:rsidRPr="008902F2">
              <w:rPr>
                <w:rFonts w:ascii="Times New Roman" w:hAnsi="Times New Roman"/>
                <w:lang w:val="en-GB"/>
              </w:rPr>
              <w:t>Public Procurement Authority / Kızılcahamam Çam Hotel</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4D11869" w14:textId="77777777" w:rsidR="00C11703" w:rsidRPr="008902F2" w:rsidRDefault="00C11703" w:rsidP="00C11703">
            <w:pPr>
              <w:rPr>
                <w:rFonts w:ascii="Times New Roman" w:hAnsi="Times New Roman"/>
                <w:lang w:val="en-GB"/>
              </w:rPr>
            </w:pPr>
            <w:r w:rsidRPr="008902F2">
              <w:rPr>
                <w:rFonts w:ascii="Times New Roman" w:hAnsi="Times New Roman"/>
                <w:lang w:val="en-GB"/>
              </w:rPr>
              <w:t>Public Procurement Legislation Training / Trainer Selin Yang, Trainer Türkan Zehir</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4A273C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 xml:space="preserve">40 </w:t>
            </w:r>
            <w:r w:rsidRPr="008902F2">
              <w:rPr>
                <w:rFonts w:ascii="Times New Roman" w:hAnsi="Times New Roman"/>
                <w:noProof/>
                <w:color w:val="000000" w:themeColor="text1"/>
                <w:lang w:val="en-GB"/>
              </w:rPr>
              <w:t>Authority</w:t>
            </w:r>
            <w:r w:rsidRPr="008902F2" w:rsidDel="00ED055E">
              <w:rPr>
                <w:rFonts w:ascii="Times New Roman" w:hAnsi="Times New Roman"/>
                <w:lang w:val="en-GB"/>
              </w:rPr>
              <w:t xml:space="preserve"> </w:t>
            </w:r>
            <w:r w:rsidRPr="008902F2">
              <w:rPr>
                <w:rFonts w:ascii="Times New Roman" w:hAnsi="Times New Roman"/>
                <w:lang w:val="en-GB"/>
              </w:rPr>
              <w:t>Personnel</w:t>
            </w:r>
          </w:p>
        </w:tc>
      </w:tr>
      <w:tr w:rsidR="00C11703" w:rsidRPr="008902F2" w14:paraId="361FC784"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27E2C80" w14:textId="77777777" w:rsidR="00C11703" w:rsidRPr="008902F2" w:rsidRDefault="00C11703" w:rsidP="00C11703">
            <w:pPr>
              <w:rPr>
                <w:rFonts w:ascii="Times New Roman" w:hAnsi="Times New Roman"/>
                <w:lang w:val="en-GB"/>
              </w:rPr>
            </w:pPr>
            <w:r w:rsidRPr="008902F2">
              <w:rPr>
                <w:rFonts w:ascii="Times New Roman" w:hAnsi="Times New Roman"/>
                <w:lang w:val="en-GB"/>
              </w:rPr>
              <w:t>Capital Unv. Training and Consultancy Services Center</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D7DF19C" w14:textId="77777777" w:rsidR="00C11703" w:rsidRPr="008902F2" w:rsidRDefault="00C11703" w:rsidP="00C11703">
            <w:pPr>
              <w:rPr>
                <w:rFonts w:ascii="Times New Roman" w:hAnsi="Times New Roman"/>
                <w:lang w:val="en-GB"/>
              </w:rPr>
            </w:pPr>
            <w:r w:rsidRPr="008902F2">
              <w:rPr>
                <w:rFonts w:ascii="Times New Roman" w:hAnsi="Times New Roman"/>
                <w:lang w:val="en-GB"/>
              </w:rPr>
              <w:t>Basic Accounting and Financial Statement Analysis - Project Finance</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3AAAF9C"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 xml:space="preserve">20 </w:t>
            </w:r>
            <w:r w:rsidRPr="008902F2">
              <w:rPr>
                <w:rFonts w:ascii="Times New Roman" w:hAnsi="Times New Roman"/>
                <w:noProof/>
                <w:color w:val="000000" w:themeColor="text1"/>
                <w:lang w:val="en-GB"/>
              </w:rPr>
              <w:t>Authority</w:t>
            </w:r>
            <w:r w:rsidRPr="008902F2" w:rsidDel="00ED055E">
              <w:rPr>
                <w:rFonts w:ascii="Times New Roman" w:hAnsi="Times New Roman"/>
                <w:lang w:val="en-GB"/>
              </w:rPr>
              <w:t xml:space="preserve"> </w:t>
            </w:r>
            <w:r w:rsidRPr="008902F2">
              <w:rPr>
                <w:rFonts w:ascii="Times New Roman" w:hAnsi="Times New Roman"/>
                <w:lang w:val="en-GB"/>
              </w:rPr>
              <w:t>Personnel</w:t>
            </w:r>
          </w:p>
        </w:tc>
      </w:tr>
      <w:tr w:rsidR="00C11703" w:rsidRPr="008902F2" w14:paraId="439A5E00"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C35F69B" w14:textId="77777777" w:rsidR="00C11703" w:rsidRPr="008902F2" w:rsidRDefault="00C11703" w:rsidP="00C11703">
            <w:pPr>
              <w:rPr>
                <w:rFonts w:ascii="Times New Roman" w:hAnsi="Times New Roman"/>
                <w:lang w:val="en-GB"/>
              </w:rPr>
            </w:pPr>
            <w:r w:rsidRPr="008902F2">
              <w:rPr>
                <w:rFonts w:ascii="Times New Roman" w:hAnsi="Times New Roman"/>
                <w:lang w:val="en-GB"/>
              </w:rPr>
              <w:t>ITU - Mindset Education Consultancy Org. Speed. ve Tic. Ltd. Sti</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D42887A" w14:textId="77777777" w:rsidR="00C11703" w:rsidRPr="008902F2" w:rsidRDefault="00C11703" w:rsidP="00C11703">
            <w:pPr>
              <w:rPr>
                <w:rFonts w:ascii="Times New Roman" w:hAnsi="Times New Roman"/>
                <w:lang w:val="en-GB"/>
              </w:rPr>
            </w:pPr>
            <w:r w:rsidRPr="008902F2">
              <w:rPr>
                <w:rFonts w:ascii="Times New Roman" w:hAnsi="Times New Roman"/>
                <w:lang w:val="en-GB"/>
              </w:rPr>
              <w:t>Big Data and Business Analytics Specialization Certificate Program</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C7A8703"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 Staff</w:t>
            </w:r>
          </w:p>
        </w:tc>
      </w:tr>
      <w:tr w:rsidR="00C11703" w:rsidRPr="008902F2" w14:paraId="65F166C3"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414ECA9" w14:textId="77777777" w:rsidR="00C11703" w:rsidRPr="008902F2" w:rsidRDefault="00C11703" w:rsidP="00C11703">
            <w:pPr>
              <w:rPr>
                <w:rFonts w:ascii="Times New Roman" w:hAnsi="Times New Roman"/>
                <w:lang w:val="en-GB"/>
              </w:rPr>
            </w:pPr>
            <w:r w:rsidRPr="008902F2">
              <w:rPr>
                <w:rFonts w:ascii="Times New Roman" w:hAnsi="Times New Roman"/>
                <w:lang w:val="en-GB"/>
              </w:rPr>
              <w:t>Digital Vizyon IT and Computer Consulting Services Tic. LLC</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1C7CDE4" w14:textId="77777777" w:rsidR="00C11703" w:rsidRPr="008902F2" w:rsidRDefault="00C11703" w:rsidP="00C11703">
            <w:pPr>
              <w:rPr>
                <w:rFonts w:ascii="Times New Roman" w:hAnsi="Times New Roman"/>
                <w:lang w:val="en-GB"/>
              </w:rPr>
            </w:pPr>
            <w:r w:rsidRPr="008902F2">
              <w:rPr>
                <w:rFonts w:ascii="Times New Roman" w:hAnsi="Times New Roman"/>
                <w:lang w:val="en-GB"/>
              </w:rPr>
              <w:t>HTML, CSS and Java Script Training</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93243AC"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5</w:t>
            </w:r>
          </w:p>
          <w:p w14:paraId="485AFEE5"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Authority Personnel</w:t>
            </w:r>
          </w:p>
        </w:tc>
      </w:tr>
      <w:tr w:rsidR="00C11703" w:rsidRPr="008902F2" w14:paraId="2999AB3B"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900434B" w14:textId="77777777" w:rsidR="00C11703" w:rsidRPr="008902F2" w:rsidRDefault="00C11703" w:rsidP="00C11703">
            <w:pPr>
              <w:rPr>
                <w:rFonts w:ascii="Times New Roman" w:hAnsi="Times New Roman"/>
                <w:lang w:val="en-GB"/>
              </w:rPr>
            </w:pPr>
            <w:r w:rsidRPr="008902F2">
              <w:rPr>
                <w:rFonts w:ascii="Times New Roman" w:hAnsi="Times New Roman"/>
                <w:lang w:val="en-GB"/>
              </w:rPr>
              <w:t>Presidential Human Resources Office (CBİKO)</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A228923" w14:textId="77777777" w:rsidR="00C11703" w:rsidRPr="008902F2" w:rsidRDefault="00C11703" w:rsidP="00C11703">
            <w:pPr>
              <w:rPr>
                <w:rFonts w:ascii="Times New Roman" w:hAnsi="Times New Roman"/>
                <w:lang w:val="en-GB"/>
              </w:rPr>
            </w:pPr>
            <w:r w:rsidRPr="008902F2">
              <w:rPr>
                <w:rFonts w:ascii="Times New Roman" w:hAnsi="Times New Roman"/>
                <w:lang w:val="en-GB"/>
              </w:rPr>
              <w:t>National Internship Mobilization - Summer Internship</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9F3C4FA" w14:textId="74761D1C" w:rsidR="00C11703" w:rsidRPr="008902F2" w:rsidRDefault="00C11703" w:rsidP="00AE16BB">
            <w:pPr>
              <w:jc w:val="center"/>
              <w:rPr>
                <w:rFonts w:ascii="Times New Roman" w:hAnsi="Times New Roman"/>
                <w:lang w:val="en-GB"/>
              </w:rPr>
            </w:pPr>
            <w:r w:rsidRPr="008902F2">
              <w:rPr>
                <w:rFonts w:ascii="Times New Roman" w:hAnsi="Times New Roman"/>
                <w:lang w:val="en-GB"/>
              </w:rPr>
              <w:t>45</w:t>
            </w:r>
          </w:p>
          <w:p w14:paraId="57D88CAD"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University Students</w:t>
            </w:r>
          </w:p>
        </w:tc>
      </w:tr>
      <w:tr w:rsidR="00C11703" w:rsidRPr="008902F2" w14:paraId="08D6D874"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74ABCDF" w14:textId="77777777" w:rsidR="00C11703" w:rsidRPr="008902F2" w:rsidRDefault="00C11703" w:rsidP="00C11703">
            <w:pPr>
              <w:rPr>
                <w:rFonts w:ascii="Times New Roman" w:hAnsi="Times New Roman"/>
                <w:lang w:val="en-GB"/>
              </w:rPr>
            </w:pPr>
            <w:r w:rsidRPr="008902F2">
              <w:rPr>
                <w:rFonts w:ascii="Times New Roman" w:hAnsi="Times New Roman"/>
                <w:lang w:val="en-GB"/>
              </w:rPr>
              <w:t>TBD Kamu-Bib'25-Bimy'29 Integrated Event</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93C6099" w14:textId="77777777" w:rsidR="00C11703" w:rsidRPr="008902F2" w:rsidRDefault="00C11703" w:rsidP="00C11703">
            <w:pPr>
              <w:rPr>
                <w:rFonts w:ascii="Times New Roman" w:hAnsi="Times New Roman"/>
                <w:lang w:val="en-GB"/>
              </w:rPr>
            </w:pPr>
            <w:r w:rsidRPr="008902F2">
              <w:rPr>
                <w:rFonts w:ascii="Times New Roman" w:hAnsi="Times New Roman"/>
                <w:lang w:val="en-GB"/>
              </w:rPr>
              <w:t>Tbd Kamu-Bib'25-Bimy'29 Integrated Event</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C52A026"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6 Staff</w:t>
            </w:r>
          </w:p>
        </w:tc>
      </w:tr>
      <w:tr w:rsidR="00C11703" w:rsidRPr="008902F2" w14:paraId="74C93A44"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53A9D5A" w14:textId="77777777" w:rsidR="00C11703" w:rsidRPr="008902F2" w:rsidRDefault="00C11703" w:rsidP="00C11703">
            <w:pPr>
              <w:rPr>
                <w:rFonts w:ascii="Times New Roman" w:hAnsi="Times New Roman"/>
                <w:lang w:val="en-GB"/>
              </w:rPr>
            </w:pPr>
            <w:r w:rsidRPr="008902F2">
              <w:rPr>
                <w:rFonts w:ascii="Times New Roman" w:hAnsi="Times New Roman"/>
                <w:lang w:val="en-GB"/>
              </w:rPr>
              <w:lastRenderedPageBreak/>
              <w:t>Turkish Standards Institute (TSE)</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4B35CEA" w14:textId="77777777" w:rsidR="00C11703" w:rsidRPr="008902F2" w:rsidRDefault="00C11703" w:rsidP="00C11703">
            <w:pPr>
              <w:rPr>
                <w:rFonts w:ascii="Times New Roman" w:hAnsi="Times New Roman"/>
                <w:lang w:val="en-GB"/>
              </w:rPr>
            </w:pPr>
            <w:r w:rsidRPr="008902F2">
              <w:rPr>
                <w:rFonts w:ascii="Times New Roman" w:hAnsi="Times New Roman"/>
                <w:lang w:val="en-GB"/>
              </w:rPr>
              <w:t>Bgys Basic Training Service Procurement</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00040F9"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1 Staff</w:t>
            </w:r>
          </w:p>
        </w:tc>
      </w:tr>
      <w:tr w:rsidR="00C11703" w:rsidRPr="008902F2" w14:paraId="6793D11B"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6CD2A2D" w14:textId="77777777" w:rsidR="00C11703" w:rsidRPr="008902F2" w:rsidRDefault="00C11703" w:rsidP="00C11703">
            <w:pPr>
              <w:rPr>
                <w:rFonts w:ascii="Times New Roman" w:hAnsi="Times New Roman"/>
                <w:lang w:val="en-GB"/>
              </w:rPr>
            </w:pPr>
            <w:r w:rsidRPr="008902F2">
              <w:rPr>
                <w:rFonts w:ascii="Times New Roman" w:hAnsi="Times New Roman"/>
                <w:lang w:val="en-GB"/>
              </w:rPr>
              <w:t>Cyberwisesiber Security Trade Joint Stock Company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7D7FAB4" w14:textId="77777777" w:rsidR="00C11703" w:rsidRPr="008902F2" w:rsidRDefault="00C11703" w:rsidP="00C11703">
            <w:pPr>
              <w:rPr>
                <w:rFonts w:ascii="Times New Roman" w:hAnsi="Times New Roman"/>
                <w:lang w:val="en-GB"/>
              </w:rPr>
            </w:pPr>
            <w:r w:rsidRPr="008902F2">
              <w:rPr>
                <w:rFonts w:ascii="Times New Roman" w:hAnsi="Times New Roman"/>
                <w:lang w:val="en-GB"/>
              </w:rPr>
              <w:t>Software Source Code Analysis And Training Service Procurement</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3B9BCFB" w14:textId="249E41A5" w:rsidR="00C11703" w:rsidRPr="008902F2" w:rsidRDefault="00C11703" w:rsidP="00AE16BB">
            <w:pPr>
              <w:jc w:val="center"/>
              <w:rPr>
                <w:rFonts w:ascii="Times New Roman" w:hAnsi="Times New Roman"/>
                <w:lang w:val="en-GB"/>
              </w:rPr>
            </w:pPr>
            <w:r w:rsidRPr="008902F2">
              <w:rPr>
                <w:rFonts w:ascii="Times New Roman" w:hAnsi="Times New Roman"/>
                <w:lang w:val="en-GB"/>
              </w:rPr>
              <w:t xml:space="preserve">Staff of Information </w:t>
            </w:r>
            <w:r w:rsidR="00AF69EA" w:rsidRPr="008902F2">
              <w:rPr>
                <w:rFonts w:ascii="Times New Roman" w:hAnsi="Times New Roman"/>
                <w:lang w:val="en-GB"/>
              </w:rPr>
              <w:t>Technologies Department</w:t>
            </w:r>
          </w:p>
        </w:tc>
      </w:tr>
      <w:tr w:rsidR="00C11703" w:rsidRPr="008902F2" w14:paraId="754C19F7"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CC9F68A" w14:textId="77777777" w:rsidR="00C11703" w:rsidRPr="008902F2" w:rsidRDefault="00C11703" w:rsidP="00C11703">
            <w:pPr>
              <w:rPr>
                <w:rFonts w:ascii="Times New Roman" w:hAnsi="Times New Roman"/>
                <w:lang w:val="en-GB"/>
              </w:rPr>
            </w:pPr>
            <w:r w:rsidRPr="008902F2">
              <w:rPr>
                <w:rFonts w:ascii="Times New Roman" w:hAnsi="Times New Roman"/>
                <w:lang w:val="en-GB"/>
              </w:rPr>
              <w:t>Personal Data Protection Authority Presidency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B03DE07" w14:textId="77777777" w:rsidR="00C11703" w:rsidRPr="008902F2" w:rsidRDefault="00C11703" w:rsidP="00C11703">
            <w:pPr>
              <w:rPr>
                <w:rFonts w:ascii="Times New Roman" w:hAnsi="Times New Roman"/>
                <w:lang w:val="en-GB"/>
              </w:rPr>
            </w:pPr>
            <w:r w:rsidRPr="008902F2">
              <w:rPr>
                <w:rFonts w:ascii="Times New Roman" w:hAnsi="Times New Roman"/>
                <w:lang w:val="en-GB"/>
              </w:rPr>
              <w:t>About the Personal Data Protection Law.</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E69A0D6"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52 Staff</w:t>
            </w:r>
          </w:p>
        </w:tc>
      </w:tr>
      <w:tr w:rsidR="00C11703" w:rsidRPr="008902F2" w14:paraId="066110FA"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38D0BF9"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and Natural Resources Ministry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5111105" w14:textId="77777777" w:rsidR="00C11703" w:rsidRPr="008902F2" w:rsidRDefault="00C11703" w:rsidP="00C11703">
            <w:pPr>
              <w:rPr>
                <w:rFonts w:ascii="Times New Roman" w:hAnsi="Times New Roman"/>
                <w:lang w:val="en-GB"/>
              </w:rPr>
            </w:pPr>
            <w:r w:rsidRPr="008902F2">
              <w:rPr>
                <w:rFonts w:ascii="Times New Roman" w:hAnsi="Times New Roman"/>
                <w:lang w:val="en-GB"/>
              </w:rPr>
              <w:t>ETK Assistant Specialists Special Study and Training Plan</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AC6C430"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20 Ministry Assistant Specialist</w:t>
            </w:r>
          </w:p>
        </w:tc>
      </w:tr>
      <w:tr w:rsidR="00C11703" w:rsidRPr="008902F2" w14:paraId="2A469EA0"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4D4E863"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and Natural Resources Ministry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6E40632" w14:textId="77777777" w:rsidR="00C11703" w:rsidRPr="008902F2" w:rsidRDefault="00C11703" w:rsidP="00C11703">
            <w:pPr>
              <w:rPr>
                <w:rFonts w:ascii="Times New Roman" w:hAnsi="Times New Roman"/>
                <w:lang w:val="en-GB"/>
              </w:rPr>
            </w:pPr>
            <w:r w:rsidRPr="008902F2">
              <w:rPr>
                <w:rFonts w:ascii="Times New Roman" w:hAnsi="Times New Roman"/>
                <w:lang w:val="en-GB"/>
              </w:rPr>
              <w:t>About Energy Efficiency Training.</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4CE52AD"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74 Staff</w:t>
            </w:r>
          </w:p>
        </w:tc>
      </w:tr>
      <w:tr w:rsidR="00C11703" w:rsidRPr="008902F2" w14:paraId="7B7E9BE8"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24029A0" w14:textId="77777777" w:rsidR="00C11703" w:rsidRPr="008902F2" w:rsidRDefault="00C11703" w:rsidP="00C11703">
            <w:pPr>
              <w:rPr>
                <w:rFonts w:ascii="Times New Roman" w:hAnsi="Times New Roman"/>
                <w:lang w:val="en-GB"/>
              </w:rPr>
            </w:pPr>
            <w:r w:rsidRPr="008902F2">
              <w:rPr>
                <w:rFonts w:ascii="Times New Roman" w:hAnsi="Times New Roman"/>
                <w:lang w:val="en-GB"/>
              </w:rPr>
              <w:t>Institution Promotion Training</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289E699"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Market Regulatory Authority</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F603EA5" w14:textId="44598A24" w:rsidR="00C11703" w:rsidRPr="008902F2" w:rsidRDefault="00C11703" w:rsidP="00AE16BB">
            <w:pPr>
              <w:jc w:val="center"/>
              <w:rPr>
                <w:rFonts w:ascii="Times New Roman" w:hAnsi="Times New Roman"/>
                <w:lang w:val="en-GB"/>
              </w:rPr>
            </w:pPr>
            <w:r w:rsidRPr="008902F2">
              <w:rPr>
                <w:rFonts w:ascii="Times New Roman" w:hAnsi="Times New Roman"/>
                <w:lang w:val="en-GB"/>
              </w:rPr>
              <w:t>28</w:t>
            </w:r>
          </w:p>
          <w:p w14:paraId="4A500939" w14:textId="77777777" w:rsidR="00C11703" w:rsidRPr="008902F2" w:rsidRDefault="00C11703" w:rsidP="00AE16BB">
            <w:pPr>
              <w:jc w:val="center"/>
              <w:rPr>
                <w:rFonts w:ascii="Times New Roman" w:hAnsi="Times New Roman"/>
                <w:lang w:val="en-GB"/>
              </w:rPr>
            </w:pPr>
            <w:r w:rsidRPr="008902F2">
              <w:rPr>
                <w:rFonts w:ascii="Times New Roman" w:hAnsi="Times New Roman"/>
                <w:lang w:val="en-GB"/>
              </w:rPr>
              <w:t>University Students</w:t>
            </w:r>
          </w:p>
        </w:tc>
      </w:tr>
      <w:tr w:rsidR="00C11703" w:rsidRPr="008902F2" w14:paraId="06962AA5"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3300912" w14:textId="77777777" w:rsidR="00C11703" w:rsidRPr="008902F2" w:rsidRDefault="00C11703" w:rsidP="00C11703">
            <w:pPr>
              <w:rPr>
                <w:rFonts w:ascii="Times New Roman" w:hAnsi="Times New Roman"/>
                <w:lang w:val="en-GB"/>
              </w:rPr>
            </w:pPr>
            <w:r w:rsidRPr="008902F2">
              <w:rPr>
                <w:rFonts w:ascii="Times New Roman" w:hAnsi="Times New Roman"/>
                <w:lang w:val="en-GB"/>
              </w:rPr>
              <w:t>Turkish Human Rights and Equality Institution Presidency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4D8BFB2" w14:textId="77777777" w:rsidR="00C11703" w:rsidRPr="008902F2" w:rsidRDefault="00C11703" w:rsidP="00C11703">
            <w:pPr>
              <w:rPr>
                <w:rFonts w:ascii="Times New Roman" w:hAnsi="Times New Roman"/>
                <w:lang w:val="en-GB"/>
              </w:rPr>
            </w:pPr>
            <w:r w:rsidRPr="008902F2">
              <w:rPr>
                <w:rFonts w:ascii="Times New Roman" w:hAnsi="Times New Roman"/>
                <w:lang w:val="en-GB"/>
              </w:rPr>
              <w:t>Climate Change and the Right to Food Symposium</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A3EE66F" w14:textId="3A1572E7" w:rsidR="00C11703" w:rsidRPr="008902F2" w:rsidRDefault="00C11703" w:rsidP="00AE16BB">
            <w:pPr>
              <w:jc w:val="center"/>
              <w:rPr>
                <w:rFonts w:ascii="Times New Roman" w:hAnsi="Times New Roman"/>
                <w:lang w:val="en-GB"/>
              </w:rPr>
            </w:pPr>
            <w:r w:rsidRPr="008902F2">
              <w:rPr>
                <w:rFonts w:ascii="Times New Roman" w:hAnsi="Times New Roman"/>
                <w:lang w:val="en-GB"/>
              </w:rPr>
              <w:t>2</w:t>
            </w:r>
          </w:p>
          <w:p w14:paraId="4A1AF0D6" w14:textId="77777777"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tc>
      </w:tr>
      <w:tr w:rsidR="00C11703" w:rsidRPr="008902F2" w14:paraId="7A98A8D7"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9EEBACE" w14:textId="77777777" w:rsidR="00C11703" w:rsidRPr="008902F2" w:rsidRDefault="00C11703" w:rsidP="00C11703">
            <w:pPr>
              <w:rPr>
                <w:rFonts w:ascii="Times New Roman" w:hAnsi="Times New Roman"/>
                <w:lang w:val="en-GB"/>
              </w:rPr>
            </w:pPr>
            <w:r w:rsidRPr="008902F2">
              <w:rPr>
                <w:rFonts w:ascii="Times New Roman" w:hAnsi="Times New Roman"/>
                <w:lang w:val="en-GB"/>
              </w:rPr>
              <w:t>Enerjisa Production and Sabancı University Collaboration</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68159E2" w14:textId="77777777" w:rsidR="00C11703" w:rsidRPr="008902F2" w:rsidRDefault="00C11703" w:rsidP="00C11703">
            <w:pPr>
              <w:rPr>
                <w:rFonts w:ascii="Times New Roman" w:hAnsi="Times New Roman"/>
                <w:lang w:val="en-GB"/>
              </w:rPr>
            </w:pPr>
            <w:r w:rsidRPr="008902F2">
              <w:rPr>
                <w:rFonts w:ascii="Times New Roman" w:hAnsi="Times New Roman"/>
                <w:lang w:val="en-GB"/>
              </w:rPr>
              <w:t>Power MBA Training Program</w:t>
            </w:r>
          </w:p>
        </w:tc>
        <w:tc>
          <w:tcPr>
            <w:tcW w:w="2124"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B622645" w14:textId="63E5CA01" w:rsidR="00C11703" w:rsidRPr="008902F2" w:rsidRDefault="00C11703" w:rsidP="00AE16BB">
            <w:pPr>
              <w:jc w:val="center"/>
              <w:rPr>
                <w:rFonts w:ascii="Times New Roman" w:hAnsi="Times New Roman"/>
                <w:lang w:val="en-GB"/>
              </w:rPr>
            </w:pPr>
            <w:r w:rsidRPr="008902F2">
              <w:rPr>
                <w:rFonts w:ascii="Times New Roman" w:hAnsi="Times New Roman"/>
                <w:lang w:val="en-GB"/>
              </w:rPr>
              <w:t>5</w:t>
            </w:r>
          </w:p>
          <w:p w14:paraId="4F62DF83" w14:textId="77777777"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p w14:paraId="1F257225" w14:textId="77777777" w:rsidR="00C11703" w:rsidRPr="008902F2" w:rsidRDefault="00C11703" w:rsidP="00AE16BB">
            <w:pPr>
              <w:jc w:val="center"/>
              <w:rPr>
                <w:rFonts w:ascii="Times New Roman" w:hAnsi="Times New Roman"/>
                <w:lang w:val="en-GB"/>
              </w:rPr>
            </w:pPr>
          </w:p>
        </w:tc>
      </w:tr>
      <w:tr w:rsidR="00C11703" w:rsidRPr="008902F2" w14:paraId="25725614" w14:textId="77777777" w:rsidTr="00C11703">
        <w:trPr>
          <w:trHeight w:val="49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D92312C" w14:textId="77777777" w:rsidR="00C11703" w:rsidRPr="008902F2" w:rsidRDefault="00C11703" w:rsidP="00C11703">
            <w:pPr>
              <w:rPr>
                <w:rFonts w:ascii="Times New Roman" w:hAnsi="Times New Roman"/>
                <w:lang w:val="en-GB"/>
              </w:rPr>
            </w:pPr>
            <w:r w:rsidRPr="008902F2">
              <w:rPr>
                <w:rFonts w:ascii="Times New Roman" w:hAnsi="Times New Roman"/>
                <w:lang w:val="en-GB"/>
              </w:rPr>
              <w:t>Enerjisa Production and Sabancı University Collaboration</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C754291" w14:textId="77777777" w:rsidR="00C11703" w:rsidRPr="008902F2" w:rsidRDefault="00C11703" w:rsidP="00C11703">
            <w:pPr>
              <w:rPr>
                <w:rFonts w:ascii="Times New Roman" w:hAnsi="Times New Roman"/>
                <w:lang w:val="en-GB"/>
              </w:rPr>
            </w:pPr>
            <w:r w:rsidRPr="008902F2">
              <w:rPr>
                <w:rFonts w:ascii="Times New Roman" w:hAnsi="Times New Roman"/>
                <w:lang w:val="en-GB"/>
              </w:rPr>
              <w:t>Power MBA Training Program</w:t>
            </w:r>
          </w:p>
        </w:tc>
        <w:tc>
          <w:tcPr>
            <w:tcW w:w="2124" w:type="dxa"/>
            <w:vMerge/>
            <w:vAlign w:val="center"/>
          </w:tcPr>
          <w:p w14:paraId="3987AFDC" w14:textId="77777777" w:rsidR="00C11703" w:rsidRPr="008902F2" w:rsidRDefault="00C11703" w:rsidP="00AE16BB">
            <w:pPr>
              <w:jc w:val="center"/>
              <w:rPr>
                <w:rFonts w:ascii="Times New Roman" w:hAnsi="Times New Roman"/>
                <w:lang w:val="en-GB"/>
              </w:rPr>
            </w:pPr>
          </w:p>
        </w:tc>
      </w:tr>
      <w:tr w:rsidR="00C11703" w:rsidRPr="008902F2" w14:paraId="1B8137DF"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E5CF7DC" w14:textId="77777777" w:rsidR="00C11703" w:rsidRPr="008902F2" w:rsidRDefault="00C11703" w:rsidP="00C11703">
            <w:pPr>
              <w:rPr>
                <w:rFonts w:ascii="Times New Roman" w:hAnsi="Times New Roman"/>
                <w:lang w:val="en-GB"/>
              </w:rPr>
            </w:pPr>
            <w:r w:rsidRPr="008902F2">
              <w:rPr>
                <w:rFonts w:ascii="Times New Roman" w:hAnsi="Times New Roman"/>
                <w:lang w:val="en-GB"/>
              </w:rPr>
              <w:t>National Expert (SNE) and National Expert in Professional Education (NEPT)</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F9D8E69" w14:textId="77777777" w:rsidR="00C11703" w:rsidRPr="008902F2" w:rsidRDefault="00C11703" w:rsidP="00C11703">
            <w:pPr>
              <w:rPr>
                <w:rFonts w:ascii="Times New Roman" w:hAnsi="Times New Roman"/>
                <w:lang w:val="en-GB"/>
              </w:rPr>
            </w:pPr>
            <w:r w:rsidRPr="008902F2">
              <w:rPr>
                <w:rFonts w:ascii="Times New Roman" w:hAnsi="Times New Roman"/>
                <w:lang w:val="en-GB"/>
              </w:rPr>
              <w:t>National Expert (NEPT)</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A6D23AB" w14:textId="01836A26" w:rsidR="00C11703" w:rsidRPr="008902F2" w:rsidRDefault="00C11703" w:rsidP="00AE16BB">
            <w:pPr>
              <w:jc w:val="center"/>
              <w:rPr>
                <w:rFonts w:ascii="Times New Roman" w:hAnsi="Times New Roman"/>
                <w:lang w:val="en-GB"/>
              </w:rPr>
            </w:pPr>
            <w:r w:rsidRPr="008902F2">
              <w:rPr>
                <w:rFonts w:ascii="Times New Roman" w:hAnsi="Times New Roman"/>
                <w:lang w:val="en-GB"/>
              </w:rPr>
              <w:t>1</w:t>
            </w:r>
          </w:p>
          <w:p w14:paraId="67FE2292" w14:textId="3AD76623"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tc>
      </w:tr>
      <w:tr w:rsidR="00C11703" w:rsidRPr="008902F2" w14:paraId="03AB92C4"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7493104" w14:textId="77777777" w:rsidR="00C11703" w:rsidRPr="008902F2" w:rsidRDefault="00C11703" w:rsidP="00C11703">
            <w:pPr>
              <w:rPr>
                <w:rFonts w:ascii="Times New Roman" w:hAnsi="Times New Roman"/>
                <w:lang w:val="en-GB"/>
              </w:rPr>
            </w:pPr>
            <w:r w:rsidRPr="008902F2">
              <w:rPr>
                <w:rFonts w:ascii="Times New Roman" w:hAnsi="Times New Roman"/>
                <w:lang w:val="en-GB"/>
              </w:rPr>
              <w:t>Presidency of Communications Department of Public Diplomacy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DEA3979" w14:textId="77777777" w:rsidR="00C11703" w:rsidRPr="008902F2" w:rsidRDefault="00C11703" w:rsidP="00C11703">
            <w:pPr>
              <w:rPr>
                <w:rFonts w:ascii="Times New Roman" w:hAnsi="Times New Roman"/>
                <w:lang w:val="en-GB"/>
              </w:rPr>
            </w:pPr>
            <w:r w:rsidRPr="008902F2">
              <w:rPr>
                <w:rFonts w:ascii="Times New Roman" w:hAnsi="Times New Roman"/>
                <w:lang w:val="en-GB"/>
              </w:rPr>
              <w:t>"The Events of 1915 from the Perspective of International Law and History"</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DABBAAF" w14:textId="298BE8DB" w:rsidR="00C11703" w:rsidRPr="008902F2" w:rsidRDefault="00C11703" w:rsidP="00AE16BB">
            <w:pPr>
              <w:jc w:val="center"/>
              <w:rPr>
                <w:rFonts w:ascii="Times New Roman" w:hAnsi="Times New Roman"/>
                <w:lang w:val="en-GB"/>
              </w:rPr>
            </w:pPr>
            <w:r w:rsidRPr="008902F2">
              <w:rPr>
                <w:rFonts w:ascii="Times New Roman" w:hAnsi="Times New Roman"/>
                <w:lang w:val="en-GB"/>
              </w:rPr>
              <w:t>2</w:t>
            </w:r>
          </w:p>
          <w:p w14:paraId="4025C2B6" w14:textId="7770E41C"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tc>
      </w:tr>
      <w:tr w:rsidR="00C11703" w:rsidRPr="008902F2" w14:paraId="7B7651CD"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82A2A17"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Market Regulatory Authority</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49D99BC" w14:textId="77777777" w:rsidR="00C11703" w:rsidRPr="008902F2" w:rsidRDefault="00C11703" w:rsidP="00C11703">
            <w:pPr>
              <w:rPr>
                <w:rFonts w:ascii="Times New Roman" w:hAnsi="Times New Roman"/>
                <w:lang w:val="en-GB"/>
              </w:rPr>
            </w:pPr>
            <w:r w:rsidRPr="008902F2">
              <w:rPr>
                <w:rFonts w:ascii="Times New Roman" w:hAnsi="Times New Roman"/>
                <w:lang w:val="en-GB"/>
              </w:rPr>
              <w:t>2022 Basic and Preparatory Education Program</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D1F91EC" w14:textId="40EC079C" w:rsidR="00C11703" w:rsidRPr="008902F2" w:rsidRDefault="00C11703" w:rsidP="00AE16BB">
            <w:pPr>
              <w:jc w:val="center"/>
              <w:rPr>
                <w:rFonts w:ascii="Times New Roman" w:hAnsi="Times New Roman"/>
                <w:lang w:val="en-GB"/>
              </w:rPr>
            </w:pPr>
            <w:r w:rsidRPr="008902F2">
              <w:rPr>
                <w:rFonts w:ascii="Times New Roman" w:hAnsi="Times New Roman"/>
                <w:lang w:val="en-GB"/>
              </w:rPr>
              <w:t>39</w:t>
            </w:r>
          </w:p>
          <w:p w14:paraId="5F2DCF4B" w14:textId="77777777"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tc>
      </w:tr>
      <w:tr w:rsidR="00C11703" w:rsidRPr="008902F2" w14:paraId="1DABEEF1"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52D1259" w14:textId="77777777" w:rsidR="00C11703" w:rsidRPr="008902F2" w:rsidRDefault="00C11703" w:rsidP="00C11703">
            <w:pPr>
              <w:rPr>
                <w:rFonts w:ascii="Times New Roman" w:hAnsi="Times New Roman"/>
                <w:lang w:val="en-GB"/>
              </w:rPr>
            </w:pPr>
            <w:r w:rsidRPr="008902F2">
              <w:rPr>
                <w:rFonts w:ascii="Times New Roman" w:hAnsi="Times New Roman"/>
                <w:lang w:val="en-GB"/>
              </w:rPr>
              <w:t>Turkish Standardization Institute</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D2590F6" w14:textId="77777777" w:rsidR="00C11703" w:rsidRPr="008902F2" w:rsidRDefault="00C11703" w:rsidP="00C11703">
            <w:pPr>
              <w:rPr>
                <w:rFonts w:ascii="Times New Roman" w:hAnsi="Times New Roman"/>
                <w:lang w:val="en-GB"/>
              </w:rPr>
            </w:pPr>
            <w:r w:rsidRPr="008902F2">
              <w:rPr>
                <w:rFonts w:ascii="Times New Roman" w:hAnsi="Times New Roman"/>
                <w:lang w:val="en-GB"/>
              </w:rPr>
              <w:t>50001 Energy Management System Certificate</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53702CA" w14:textId="39ECD073" w:rsidR="00C11703" w:rsidRPr="008902F2" w:rsidRDefault="00C11703" w:rsidP="00AE16BB">
            <w:pPr>
              <w:jc w:val="center"/>
              <w:rPr>
                <w:rFonts w:ascii="Times New Roman" w:hAnsi="Times New Roman"/>
                <w:lang w:val="en-GB"/>
              </w:rPr>
            </w:pPr>
            <w:r w:rsidRPr="008902F2">
              <w:rPr>
                <w:rFonts w:ascii="Times New Roman" w:hAnsi="Times New Roman"/>
                <w:lang w:val="en-GB"/>
              </w:rPr>
              <w:t>1</w:t>
            </w:r>
          </w:p>
          <w:p w14:paraId="7A72B58D" w14:textId="77777777" w:rsidR="00C11703" w:rsidRPr="008902F2" w:rsidRDefault="00C11703" w:rsidP="00AE16BB">
            <w:pPr>
              <w:jc w:val="center"/>
              <w:rPr>
                <w:rFonts w:ascii="Times New Roman" w:hAnsi="Times New Roman"/>
                <w:lang w:val="en-GB"/>
              </w:rPr>
            </w:pPr>
            <w:r w:rsidRPr="008902F2">
              <w:rPr>
                <w:rFonts w:ascii="Times New Roman" w:hAnsi="Times New Roman"/>
                <w:noProof/>
                <w:color w:val="000000" w:themeColor="text1"/>
                <w:lang w:val="en-GB"/>
              </w:rPr>
              <w:t>Authority</w:t>
            </w:r>
            <w:r w:rsidRPr="008902F2">
              <w:rPr>
                <w:rFonts w:ascii="Times New Roman" w:hAnsi="Times New Roman"/>
                <w:lang w:val="en-GB"/>
              </w:rPr>
              <w:t xml:space="preserve"> Personnel</w:t>
            </w:r>
          </w:p>
        </w:tc>
      </w:tr>
      <w:tr w:rsidR="00C11703" w:rsidRPr="008902F2" w14:paraId="176723B7"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7FA4BD2" w14:textId="77777777" w:rsidR="00C11703" w:rsidRPr="008902F2" w:rsidRDefault="00C11703" w:rsidP="00C11703">
            <w:pPr>
              <w:rPr>
                <w:rFonts w:ascii="Times New Roman" w:hAnsi="Times New Roman"/>
                <w:lang w:val="en-GB"/>
              </w:rPr>
            </w:pPr>
            <w:r w:rsidRPr="008902F2">
              <w:rPr>
                <w:rFonts w:ascii="Times New Roman" w:hAnsi="Times New Roman"/>
                <w:lang w:val="en-GB"/>
              </w:rPr>
              <w:t>Profelis Bilişim ve Danışmanlık Tic. and San. Ltd. Sti.</w:t>
            </w:r>
          </w:p>
        </w:tc>
        <w:tc>
          <w:tcPr>
            <w:tcW w:w="411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83BA0F1" w14:textId="77777777" w:rsidR="00C11703" w:rsidRPr="008902F2" w:rsidRDefault="00C11703" w:rsidP="00C11703">
            <w:pPr>
              <w:rPr>
                <w:rFonts w:ascii="Times New Roman" w:hAnsi="Times New Roman"/>
                <w:lang w:val="en-GB"/>
              </w:rPr>
            </w:pPr>
            <w:r w:rsidRPr="008902F2">
              <w:rPr>
                <w:rFonts w:ascii="Times New Roman" w:hAnsi="Times New Roman"/>
                <w:lang w:val="en-GB"/>
              </w:rPr>
              <w:t>PostgreSQL Database Training Basic PostgreSQL Training, PostgreSQL System Administrator Training, PostgreSQL Advanced System Administrator Training</w:t>
            </w:r>
          </w:p>
        </w:tc>
        <w:tc>
          <w:tcPr>
            <w:tcW w:w="212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299F55F" w14:textId="77777777" w:rsidR="00C11703" w:rsidRPr="008902F2" w:rsidRDefault="00C11703" w:rsidP="00C11703">
            <w:pPr>
              <w:rPr>
                <w:rFonts w:ascii="Times New Roman" w:hAnsi="Times New Roman"/>
                <w:lang w:val="en-GB"/>
              </w:rPr>
            </w:pPr>
            <w:r w:rsidRPr="008902F2">
              <w:rPr>
                <w:rFonts w:ascii="Times New Roman" w:hAnsi="Times New Roman"/>
                <w:lang w:val="en-GB"/>
              </w:rPr>
              <w:t xml:space="preserve">Staff of Information Technologies  </w:t>
            </w:r>
          </w:p>
        </w:tc>
      </w:tr>
      <w:tr w:rsidR="00C11703" w:rsidRPr="008902F2" w14:paraId="6CCCB1F6" w14:textId="77777777" w:rsidTr="00C11703">
        <w:trPr>
          <w:trHeight w:val="15"/>
        </w:trPr>
        <w:tc>
          <w:tcPr>
            <w:tcW w:w="367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AD1F407" w14:textId="77777777" w:rsidR="00C11703" w:rsidRPr="008902F2" w:rsidRDefault="00C11703" w:rsidP="00C11703">
            <w:pPr>
              <w:rPr>
                <w:rFonts w:ascii="Times New Roman" w:hAnsi="Times New Roman"/>
                <w:lang w:val="en-GB"/>
              </w:rPr>
            </w:pPr>
            <w:r w:rsidRPr="008902F2">
              <w:rPr>
                <w:rFonts w:ascii="Times New Roman" w:hAnsi="Times New Roman"/>
                <w:b/>
                <w:bCs/>
                <w:lang w:val="en-GB"/>
              </w:rPr>
              <w:lastRenderedPageBreak/>
              <w:t>Total Cost</w:t>
            </w:r>
          </w:p>
        </w:tc>
        <w:tc>
          <w:tcPr>
            <w:tcW w:w="6237"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138B9480" w14:textId="77777777" w:rsidR="00C11703" w:rsidRPr="008902F2" w:rsidRDefault="00C11703" w:rsidP="00C11703">
            <w:pPr>
              <w:jc w:val="center"/>
              <w:rPr>
                <w:rFonts w:ascii="Times New Roman" w:hAnsi="Times New Roman"/>
                <w:lang w:val="en-GB"/>
              </w:rPr>
            </w:pPr>
            <w:r w:rsidRPr="008902F2">
              <w:rPr>
                <w:rFonts w:ascii="Times New Roman" w:hAnsi="Times New Roman"/>
                <w:b/>
                <w:bCs/>
                <w:lang w:val="en-GB"/>
              </w:rPr>
              <w:t>665.110,562 TL</w:t>
            </w:r>
          </w:p>
        </w:tc>
      </w:tr>
    </w:tbl>
    <w:p w14:paraId="03D424CE" w14:textId="77777777" w:rsidR="00C11703" w:rsidRPr="008902F2" w:rsidRDefault="00C11703" w:rsidP="00C11703">
      <w:pPr>
        <w:spacing w:after="0" w:line="269" w:lineRule="auto"/>
        <w:rPr>
          <w:rFonts w:ascii="Times New Roman" w:hAnsi="Times New Roman"/>
          <w:noProof/>
          <w:color w:val="000000" w:themeColor="text1"/>
          <w:sz w:val="20"/>
          <w:szCs w:val="20"/>
          <w:lang w:val="en-GB"/>
        </w:rPr>
      </w:pPr>
      <w:r w:rsidRPr="008902F2">
        <w:rPr>
          <w:rFonts w:ascii="Times New Roman" w:hAnsi="Times New Roman"/>
          <w:noProof/>
          <w:color w:val="000000" w:themeColor="text1"/>
          <w:sz w:val="20"/>
          <w:szCs w:val="20"/>
          <w:lang w:val="en-GB"/>
        </w:rPr>
        <w:t>* The "Candidate Civil Service Basic Training" program for new personnel was conducted online.</w:t>
      </w:r>
    </w:p>
    <w:p w14:paraId="7C949ED1" w14:textId="02001BB3" w:rsidR="00C11703" w:rsidRPr="008902F2" w:rsidRDefault="00C11703" w:rsidP="00420211">
      <w:pPr>
        <w:pStyle w:val="Balk3"/>
        <w:rPr>
          <w:rFonts w:ascii="Times New Roman" w:hAnsi="Times New Roman" w:cs="Times New Roman"/>
          <w:noProof/>
          <w:lang w:val="en-GB"/>
        </w:rPr>
      </w:pPr>
      <w:bookmarkStart w:id="215" w:name="_Toc143113497"/>
      <w:r w:rsidRPr="008902F2">
        <w:rPr>
          <w:rFonts w:ascii="Times New Roman" w:hAnsi="Times New Roman" w:cs="Times New Roman"/>
          <w:noProof/>
          <w:lang w:val="en-GB"/>
        </w:rPr>
        <w:t>13.2.2. Other Educational Activities</w:t>
      </w:r>
      <w:bookmarkEnd w:id="215"/>
    </w:p>
    <w:p w14:paraId="6C9DA9AA"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Every year, within the framework of the relevant legislation, the Authority sends a certain number of its personnel to short-term trainings to increase knowledge and good manners, and to long-term trainings to do postgraduate studies, taking into account the criteria of service years and foreign language. In addition, in order to be able to follow the developments in the world energy market more closely, the personnel of the Authority are encouraged to attend trainings aimed at increasing the level of foreign language knowledge. Information on the studies carried out in this context is given in the tables below.</w:t>
      </w:r>
    </w:p>
    <w:p w14:paraId="7782D4C4" w14:textId="77777777" w:rsidR="00C11703" w:rsidRPr="008902F2" w:rsidRDefault="00C11703" w:rsidP="00C11703">
      <w:pPr>
        <w:spacing w:after="0"/>
        <w:rPr>
          <w:rFonts w:ascii="Times New Roman" w:hAnsi="Times New Roman"/>
          <w:noProof/>
          <w:color w:val="000000" w:themeColor="text1"/>
          <w:lang w:val="en-GB"/>
        </w:rPr>
      </w:pPr>
    </w:p>
    <w:p w14:paraId="712966B3"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13.8: Overseas Education Activities in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75"/>
        <w:gridCol w:w="4530"/>
        <w:gridCol w:w="1380"/>
      </w:tblGrid>
      <w:tr w:rsidR="00C11703" w:rsidRPr="008902F2" w14:paraId="20550CF0" w14:textId="77777777" w:rsidTr="00C11703">
        <w:trPr>
          <w:trHeight w:val="390"/>
        </w:trPr>
        <w:tc>
          <w:tcPr>
            <w:tcW w:w="39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5C55D8D6"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Category of Education</w:t>
            </w:r>
          </w:p>
        </w:tc>
        <w:tc>
          <w:tcPr>
            <w:tcW w:w="45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646C74AA"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Name of Education</w:t>
            </w:r>
          </w:p>
        </w:tc>
        <w:tc>
          <w:tcPr>
            <w:tcW w:w="1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shd w:val="clear" w:color="auto" w:fill="6E9ECA"/>
            <w:tcMar>
              <w:left w:w="105" w:type="dxa"/>
              <w:right w:w="105" w:type="dxa"/>
            </w:tcMar>
            <w:vAlign w:val="center"/>
          </w:tcPr>
          <w:p w14:paraId="2FC47F51"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Beneficiaries</w:t>
            </w:r>
          </w:p>
        </w:tc>
      </w:tr>
      <w:tr w:rsidR="00C11703" w:rsidRPr="008902F2" w14:paraId="2238D4E3" w14:textId="77777777" w:rsidTr="00C11703">
        <w:trPr>
          <w:trHeight w:val="390"/>
        </w:trPr>
        <w:tc>
          <w:tcPr>
            <w:tcW w:w="39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9DE03BD" w14:textId="77777777" w:rsidR="00C11703" w:rsidRPr="008902F2" w:rsidRDefault="00C11703" w:rsidP="00C11703">
            <w:pPr>
              <w:rPr>
                <w:rFonts w:ascii="Times New Roman" w:hAnsi="Times New Roman"/>
                <w:lang w:val="en-GB"/>
              </w:rPr>
            </w:pPr>
            <w:r w:rsidRPr="008902F2">
              <w:rPr>
                <w:rFonts w:ascii="Times New Roman" w:hAnsi="Times New Roman"/>
                <w:lang w:val="en-GB"/>
              </w:rPr>
              <w:t>ERRA</w:t>
            </w:r>
          </w:p>
        </w:tc>
        <w:tc>
          <w:tcPr>
            <w:tcW w:w="453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5425E79" w14:textId="77777777" w:rsidR="00C11703" w:rsidRPr="008902F2" w:rsidRDefault="00C11703" w:rsidP="00C11703">
            <w:pPr>
              <w:rPr>
                <w:rFonts w:ascii="Times New Roman" w:hAnsi="Times New Roman"/>
                <w:lang w:val="en-GB"/>
              </w:rPr>
            </w:pPr>
            <w:r w:rsidRPr="008902F2">
              <w:rPr>
                <w:rFonts w:ascii="Times New Roman" w:hAnsi="Times New Roman"/>
                <w:lang w:val="en-GB"/>
              </w:rPr>
              <w:t>Introduction to Energy Regulation</w:t>
            </w:r>
          </w:p>
        </w:tc>
        <w:tc>
          <w:tcPr>
            <w:tcW w:w="1380"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6E2F28B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15</w:t>
            </w:r>
          </w:p>
        </w:tc>
      </w:tr>
      <w:tr w:rsidR="00C11703" w:rsidRPr="008902F2" w14:paraId="4BD67A67" w14:textId="77777777" w:rsidTr="00C11703">
        <w:trPr>
          <w:trHeight w:val="195"/>
        </w:trPr>
        <w:tc>
          <w:tcPr>
            <w:tcW w:w="3975"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94BC022" w14:textId="77777777" w:rsidR="00C11703" w:rsidRPr="008902F2" w:rsidRDefault="00C11703" w:rsidP="00C11703">
            <w:pPr>
              <w:rPr>
                <w:rFonts w:ascii="Times New Roman" w:hAnsi="Times New Roman"/>
                <w:lang w:val="en-GB"/>
              </w:rPr>
            </w:pPr>
            <w:r w:rsidRPr="008902F2">
              <w:rPr>
                <w:rFonts w:ascii="Times New Roman" w:hAnsi="Times New Roman"/>
                <w:lang w:val="en-GB"/>
              </w:rPr>
              <w:t>European Union Jean Monnet Scholarship Program</w:t>
            </w:r>
          </w:p>
        </w:tc>
        <w:tc>
          <w:tcPr>
            <w:tcW w:w="4530" w:type="dxa"/>
            <w:tcBorders>
              <w:top w:val="single" w:sz="6" w:space="0" w:color="D9D9D9" w:themeColor="background1" w:themeShade="D9"/>
              <w:left w:val="single" w:sz="6" w:space="0" w:color="D9D9D9" w:themeColor="background1" w:themeShade="D9"/>
              <w:bottom w:val="single" w:sz="6" w:space="0" w:color="auto"/>
              <w:right w:val="single" w:sz="6" w:space="0" w:color="D9D9D9" w:themeColor="background1" w:themeShade="D9"/>
            </w:tcBorders>
            <w:tcMar>
              <w:left w:w="105" w:type="dxa"/>
              <w:right w:w="105" w:type="dxa"/>
            </w:tcMar>
          </w:tcPr>
          <w:p w14:paraId="6A16D6FA"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Law</w:t>
            </w:r>
          </w:p>
        </w:tc>
        <w:tc>
          <w:tcPr>
            <w:tcW w:w="1380" w:type="dxa"/>
            <w:vMerge w:val="restart"/>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09423421"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3</w:t>
            </w:r>
          </w:p>
        </w:tc>
      </w:tr>
      <w:tr w:rsidR="00C11703" w:rsidRPr="008902F2" w14:paraId="39E050AF" w14:textId="77777777" w:rsidTr="00C11703">
        <w:trPr>
          <w:trHeight w:val="300"/>
        </w:trPr>
        <w:tc>
          <w:tcPr>
            <w:tcW w:w="3975" w:type="dxa"/>
            <w:vMerge/>
            <w:vAlign w:val="center"/>
          </w:tcPr>
          <w:p w14:paraId="7E22A5E5" w14:textId="77777777" w:rsidR="00C11703" w:rsidRPr="008902F2" w:rsidRDefault="00C11703" w:rsidP="00C11703">
            <w:pPr>
              <w:rPr>
                <w:rFonts w:ascii="Times New Roman" w:hAnsi="Times New Roman"/>
                <w:lang w:val="en-GB"/>
              </w:rPr>
            </w:pPr>
          </w:p>
        </w:tc>
        <w:tc>
          <w:tcPr>
            <w:tcW w:w="4530" w:type="dxa"/>
            <w:tcBorders>
              <w:top w:val="single" w:sz="6" w:space="0" w:color="auto"/>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243324A" w14:textId="77777777" w:rsidR="00C11703" w:rsidRPr="008902F2" w:rsidRDefault="00C11703" w:rsidP="00C11703">
            <w:pPr>
              <w:rPr>
                <w:rFonts w:ascii="Times New Roman" w:hAnsi="Times New Roman"/>
                <w:lang w:val="en-GB"/>
              </w:rPr>
            </w:pPr>
            <w:r w:rsidRPr="008902F2">
              <w:rPr>
                <w:rFonts w:ascii="Times New Roman" w:hAnsi="Times New Roman"/>
                <w:lang w:val="en-GB"/>
              </w:rPr>
              <w:t>Energy and Climate Policies</w:t>
            </w:r>
          </w:p>
        </w:tc>
        <w:tc>
          <w:tcPr>
            <w:tcW w:w="1380" w:type="dxa"/>
            <w:vMerge/>
            <w:vAlign w:val="center"/>
          </w:tcPr>
          <w:p w14:paraId="36ECEA2B" w14:textId="77777777" w:rsidR="00C11703" w:rsidRPr="008902F2" w:rsidRDefault="00C11703" w:rsidP="00C11703">
            <w:pPr>
              <w:rPr>
                <w:rFonts w:ascii="Times New Roman" w:hAnsi="Times New Roman"/>
                <w:lang w:val="en-GB"/>
              </w:rPr>
            </w:pPr>
          </w:p>
        </w:tc>
      </w:tr>
      <w:tr w:rsidR="00C11703" w:rsidRPr="008902F2" w14:paraId="222667A0" w14:textId="77777777" w:rsidTr="00C11703">
        <w:trPr>
          <w:trHeight w:val="390"/>
        </w:trPr>
        <w:tc>
          <w:tcPr>
            <w:tcW w:w="397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6D8413FA" w14:textId="77777777" w:rsidR="00C11703" w:rsidRPr="008902F2" w:rsidRDefault="00C11703" w:rsidP="00C11703">
            <w:pPr>
              <w:rPr>
                <w:rFonts w:ascii="Times New Roman" w:hAnsi="Times New Roman"/>
                <w:lang w:val="en-GB"/>
              </w:rPr>
            </w:pPr>
            <w:r w:rsidRPr="008902F2">
              <w:rPr>
                <w:rFonts w:ascii="Times New Roman" w:hAnsi="Times New Roman"/>
                <w:b/>
                <w:bCs/>
                <w:lang w:val="en-GB"/>
              </w:rPr>
              <w:t>Total Cost</w:t>
            </w:r>
          </w:p>
        </w:tc>
        <w:tc>
          <w:tcPr>
            <w:tcW w:w="5910" w:type="dxa"/>
            <w:gridSpan w:val="2"/>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vAlign w:val="center"/>
          </w:tcPr>
          <w:p w14:paraId="7EFF45D1" w14:textId="77777777" w:rsidR="00C11703" w:rsidRPr="008902F2" w:rsidRDefault="00C11703" w:rsidP="00C11703">
            <w:pPr>
              <w:jc w:val="center"/>
              <w:rPr>
                <w:rFonts w:ascii="Times New Roman" w:hAnsi="Times New Roman"/>
                <w:lang w:val="en-GB"/>
              </w:rPr>
            </w:pPr>
            <w:r w:rsidRPr="008902F2">
              <w:rPr>
                <w:rFonts w:ascii="Times New Roman" w:hAnsi="Times New Roman"/>
                <w:b/>
                <w:bCs/>
                <w:lang w:val="en-GB"/>
              </w:rPr>
              <w:t>272.788,80 TL</w:t>
            </w:r>
          </w:p>
        </w:tc>
      </w:tr>
    </w:tbl>
    <w:p w14:paraId="366232FA" w14:textId="77777777" w:rsidR="00C11703" w:rsidRPr="008902F2" w:rsidRDefault="00C11703" w:rsidP="00C11703">
      <w:pPr>
        <w:rPr>
          <w:rFonts w:ascii="Times New Roman" w:hAnsi="Times New Roman"/>
          <w:noProof/>
          <w:lang w:val="en-GB"/>
        </w:rPr>
      </w:pPr>
    </w:p>
    <w:p w14:paraId="704A7018" w14:textId="77777777" w:rsidR="00C11703" w:rsidRPr="008902F2" w:rsidRDefault="00C11703" w:rsidP="00420211">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13.9: Foreign Language Education Activities Taken in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55"/>
        <w:gridCol w:w="2310"/>
        <w:gridCol w:w="2430"/>
      </w:tblGrid>
      <w:tr w:rsidR="00C11703" w:rsidRPr="008902F2" w14:paraId="0DCF1C68"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72BB294C"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color w:val="FFFFFF" w:themeColor="background1"/>
                <w:lang w:val="en-GB"/>
              </w:rPr>
              <w:t>Educational Institution or Organization</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112C4E0F"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color w:val="FFFFFF" w:themeColor="background1"/>
                <w:lang w:val="en-GB"/>
              </w:rPr>
              <w:t>Name of Education</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6BBB5C41"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color w:val="FFFFFF" w:themeColor="background1"/>
                <w:lang w:val="en-GB"/>
              </w:rPr>
              <w:t>Number of Attendees</w:t>
            </w:r>
          </w:p>
        </w:tc>
      </w:tr>
      <w:tr w:rsidR="00C11703" w:rsidRPr="008902F2" w14:paraId="5871F246" w14:textId="77777777" w:rsidTr="00C11703">
        <w:trPr>
          <w:trHeight w:val="300"/>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D817FBF" w14:textId="77777777" w:rsidR="00C11703" w:rsidRPr="008902F2" w:rsidRDefault="00C11703" w:rsidP="00C11703">
            <w:pPr>
              <w:rPr>
                <w:rFonts w:ascii="Times New Roman" w:hAnsi="Times New Roman"/>
                <w:lang w:val="en-GB"/>
              </w:rPr>
            </w:pPr>
            <w:r w:rsidRPr="008902F2">
              <w:rPr>
                <w:rFonts w:ascii="Times New Roman" w:hAnsi="Times New Roman"/>
                <w:lang w:val="en-GB"/>
              </w:rPr>
              <w:t>Ankara Language Academy Consultancy</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C0EA48B"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68CB4063"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3</w:t>
            </w:r>
          </w:p>
        </w:tc>
      </w:tr>
      <w:tr w:rsidR="00C11703" w:rsidRPr="008902F2" w14:paraId="3850BB0E"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6685F3E" w14:textId="77777777" w:rsidR="00C11703" w:rsidRPr="008902F2" w:rsidRDefault="00C11703" w:rsidP="00C11703">
            <w:pPr>
              <w:rPr>
                <w:rFonts w:ascii="Times New Roman" w:hAnsi="Times New Roman"/>
                <w:lang w:val="en-GB"/>
              </w:rPr>
            </w:pPr>
            <w:r w:rsidRPr="008902F2">
              <w:rPr>
                <w:rFonts w:ascii="Times New Roman" w:hAnsi="Times New Roman"/>
                <w:lang w:val="en-GB"/>
              </w:rPr>
              <w:t>Advanced English Center Foreign Language Course</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D1A9203"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4F60315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24A00462"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C24DEA2" w14:textId="77777777" w:rsidR="00C11703" w:rsidRPr="008902F2" w:rsidRDefault="00C11703" w:rsidP="00C11703">
            <w:pPr>
              <w:rPr>
                <w:rFonts w:ascii="Times New Roman" w:hAnsi="Times New Roman"/>
                <w:lang w:val="en-GB"/>
              </w:rPr>
            </w:pPr>
            <w:r w:rsidRPr="008902F2">
              <w:rPr>
                <w:rFonts w:ascii="Times New Roman" w:hAnsi="Times New Roman"/>
                <w:lang w:val="en-GB"/>
              </w:rPr>
              <w:t>Private Just For Speaking (JFS) Foreign Language Course</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D7D9875"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564EB5C4"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461DF79A"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9D4F7D3" w14:textId="77777777" w:rsidR="00C11703" w:rsidRPr="008902F2" w:rsidRDefault="00C11703" w:rsidP="00C11703">
            <w:pPr>
              <w:rPr>
                <w:rFonts w:ascii="Times New Roman" w:hAnsi="Times New Roman"/>
                <w:lang w:val="en-GB"/>
              </w:rPr>
            </w:pPr>
            <w:r w:rsidRPr="008902F2">
              <w:rPr>
                <w:rFonts w:ascii="Times New Roman" w:hAnsi="Times New Roman"/>
                <w:lang w:val="en-GB"/>
              </w:rPr>
              <w:t>Colorful Ideas Informatics and Education (</w:t>
            </w:r>
            <w:hyperlink>
              <w:r w:rsidRPr="008902F2">
                <w:rPr>
                  <w:rFonts w:ascii="Times New Roman" w:hAnsi="Times New Roman"/>
                  <w:color w:val="0000FF" w:themeColor="hyperlink"/>
                  <w:u w:val="single"/>
                  <w:lang w:val="en-GB"/>
                </w:rPr>
                <w:t>www.konusarakogren.com</w:t>
              </w:r>
            </w:hyperlink>
            <w:r w:rsidRPr="008902F2">
              <w:rPr>
                <w:rFonts w:ascii="Times New Roman" w:hAnsi="Times New Roman"/>
                <w:lang w:val="en-GB"/>
              </w:rPr>
              <w:t>)</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A34136B"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6AD9F1CB"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59D37DA5"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6B0965B" w14:textId="77777777" w:rsidR="00C11703" w:rsidRPr="008902F2" w:rsidRDefault="00C11703" w:rsidP="00C11703">
            <w:pPr>
              <w:rPr>
                <w:rFonts w:ascii="Times New Roman" w:hAnsi="Times New Roman"/>
                <w:lang w:val="en-GB"/>
              </w:rPr>
            </w:pPr>
            <w:r w:rsidRPr="008902F2">
              <w:rPr>
                <w:rFonts w:ascii="Times New Roman" w:hAnsi="Times New Roman"/>
                <w:lang w:val="en-GB"/>
              </w:rPr>
              <w:t>Suat Gürcan Rıdvan Gürbüz Fashion Language Foreign Language Course</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F84D882"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6672B696"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5EF3E1E2"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1880506" w14:textId="77777777" w:rsidR="00C11703" w:rsidRPr="008902F2" w:rsidRDefault="00C11703" w:rsidP="00C11703">
            <w:pPr>
              <w:rPr>
                <w:rFonts w:ascii="Times New Roman" w:hAnsi="Times New Roman"/>
                <w:lang w:val="en-GB"/>
              </w:rPr>
            </w:pPr>
            <w:r w:rsidRPr="008902F2">
              <w:rPr>
                <w:rFonts w:ascii="Times New Roman" w:hAnsi="Times New Roman"/>
                <w:lang w:val="en-GB"/>
              </w:rPr>
              <w:t>Wall Street English Foreign Language Course</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A358819"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2B32DE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2</w:t>
            </w:r>
          </w:p>
        </w:tc>
      </w:tr>
      <w:tr w:rsidR="00C11703" w:rsidRPr="008902F2" w14:paraId="47C316ED" w14:textId="77777777" w:rsidTr="00C11703">
        <w:trPr>
          <w:trHeight w:val="22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D2D9084" w14:textId="77777777" w:rsidR="00C11703" w:rsidRPr="008902F2" w:rsidRDefault="00C11703" w:rsidP="00C11703">
            <w:pPr>
              <w:rPr>
                <w:rFonts w:ascii="Times New Roman" w:hAnsi="Times New Roman"/>
                <w:lang w:val="en-GB"/>
              </w:rPr>
            </w:pPr>
            <w:r w:rsidRPr="008902F2">
              <w:rPr>
                <w:rFonts w:ascii="Times New Roman" w:hAnsi="Times New Roman"/>
                <w:lang w:val="en-GB"/>
              </w:rPr>
              <w:lastRenderedPageBreak/>
              <w:t>TAC Foreign Language Course</w:t>
            </w:r>
          </w:p>
        </w:tc>
        <w:tc>
          <w:tcPr>
            <w:tcW w:w="231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80DE3A1" w14:textId="77777777" w:rsidR="00C11703" w:rsidRPr="008902F2" w:rsidRDefault="00C11703" w:rsidP="00C11703">
            <w:pPr>
              <w:rPr>
                <w:rFonts w:ascii="Times New Roman" w:hAnsi="Times New Roman"/>
                <w:lang w:val="en-GB"/>
              </w:rPr>
            </w:pPr>
            <w:r w:rsidRPr="008902F2">
              <w:rPr>
                <w:rFonts w:ascii="Times New Roman" w:hAnsi="Times New Roman"/>
                <w:lang w:val="en-GB"/>
              </w:rPr>
              <w:t>English course</w:t>
            </w:r>
          </w:p>
        </w:tc>
        <w:tc>
          <w:tcPr>
            <w:tcW w:w="243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7E282DC"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5F507C9F" w14:textId="77777777" w:rsidTr="00C11703">
        <w:trPr>
          <w:trHeight w:val="195"/>
        </w:trPr>
        <w:tc>
          <w:tcPr>
            <w:tcW w:w="41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253563F" w14:textId="77777777" w:rsidR="00C11703" w:rsidRPr="008902F2" w:rsidRDefault="00C11703" w:rsidP="00C11703">
            <w:pPr>
              <w:rPr>
                <w:rFonts w:ascii="Times New Roman" w:hAnsi="Times New Roman"/>
                <w:lang w:val="en-GB"/>
              </w:rPr>
            </w:pPr>
            <w:r w:rsidRPr="008902F2">
              <w:rPr>
                <w:rFonts w:ascii="Times New Roman" w:hAnsi="Times New Roman"/>
                <w:b/>
                <w:bCs/>
                <w:lang w:val="en-GB"/>
              </w:rPr>
              <w:t>Total Cost</w:t>
            </w:r>
          </w:p>
        </w:tc>
        <w:tc>
          <w:tcPr>
            <w:tcW w:w="4740" w:type="dxa"/>
            <w:gridSpan w:val="2"/>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22061AF" w14:textId="77777777" w:rsidR="00C11703" w:rsidRPr="008902F2" w:rsidRDefault="00C11703" w:rsidP="00C11703">
            <w:pPr>
              <w:jc w:val="center"/>
              <w:rPr>
                <w:rFonts w:ascii="Times New Roman" w:hAnsi="Times New Roman"/>
                <w:lang w:val="en-GB"/>
              </w:rPr>
            </w:pPr>
            <w:r w:rsidRPr="008902F2">
              <w:rPr>
                <w:rFonts w:ascii="Times New Roman" w:hAnsi="Times New Roman"/>
                <w:b/>
                <w:bCs/>
                <w:lang w:val="en-GB"/>
              </w:rPr>
              <w:t>30.437,5 TL</w:t>
            </w:r>
          </w:p>
        </w:tc>
      </w:tr>
    </w:tbl>
    <w:p w14:paraId="2DC9B7F4" w14:textId="77777777" w:rsidR="00C11703" w:rsidRPr="008902F2" w:rsidRDefault="00C11703" w:rsidP="00C11703">
      <w:pPr>
        <w:rPr>
          <w:rFonts w:ascii="Times New Roman" w:hAnsi="Times New Roman"/>
          <w:noProof/>
          <w:color w:val="000000" w:themeColor="text1"/>
          <w:lang w:val="en-GB"/>
        </w:rPr>
      </w:pPr>
    </w:p>
    <w:p w14:paraId="2EA2DD77"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Students from different departments of universities do internship at the Institution. In this context, the number of people who did internship at the Institution in 2022 and their internship periods are given in the table below.</w:t>
      </w:r>
    </w:p>
    <w:p w14:paraId="3916DF32" w14:textId="77777777" w:rsidR="00C11703" w:rsidRPr="008902F2" w:rsidRDefault="00C11703" w:rsidP="00C11703">
      <w:pPr>
        <w:keepNext/>
        <w:keepLines/>
        <w:spacing w:before="200" w:after="0"/>
        <w:jc w:val="center"/>
        <w:rPr>
          <w:rFonts w:ascii="Times New Roman" w:hAnsi="Times New Roman"/>
          <w:noProof/>
          <w:color w:val="243F60"/>
          <w:lang w:val="en-GB"/>
        </w:rPr>
      </w:pPr>
    </w:p>
    <w:p w14:paraId="3D7D4726" w14:textId="77777777" w:rsidR="00C11703" w:rsidRPr="008902F2" w:rsidRDefault="00C11703" w:rsidP="00960D2C">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Table 13.10: Information of Persons Served Internship at the Authority in 2022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65"/>
        <w:gridCol w:w="1785"/>
      </w:tblGrid>
      <w:tr w:rsidR="00C11703" w:rsidRPr="008902F2" w14:paraId="1C8CC4E4" w14:textId="77777777" w:rsidTr="00C11703">
        <w:trPr>
          <w:trHeight w:val="225"/>
        </w:trPr>
        <w:tc>
          <w:tcPr>
            <w:tcW w:w="3165" w:type="dxa"/>
            <w:vMerge w:val="restar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vAlign w:val="center"/>
          </w:tcPr>
          <w:p w14:paraId="0A1F494F" w14:textId="77777777" w:rsidR="00C11703" w:rsidRPr="008902F2" w:rsidRDefault="00C11703" w:rsidP="00C11703">
            <w:pPr>
              <w:rPr>
                <w:rFonts w:ascii="Times New Roman" w:hAnsi="Times New Roman"/>
                <w:color w:val="FFFFFF" w:themeColor="background1"/>
                <w:lang w:val="en-GB"/>
              </w:rPr>
            </w:pPr>
            <w:r w:rsidRPr="008902F2">
              <w:rPr>
                <w:rFonts w:ascii="Times New Roman" w:hAnsi="Times New Roman"/>
                <w:b/>
                <w:bCs/>
                <w:color w:val="FFFFFF" w:themeColor="background1"/>
                <w:lang w:val="en-GB"/>
              </w:rPr>
              <w:t xml:space="preserve">Name of the University </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tcPr>
          <w:p w14:paraId="6D4C20A1"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Number of Interns</w:t>
            </w:r>
          </w:p>
        </w:tc>
      </w:tr>
      <w:tr w:rsidR="00C11703" w:rsidRPr="008902F2" w14:paraId="20523C4E" w14:textId="77777777" w:rsidTr="00C11703">
        <w:trPr>
          <w:trHeight w:val="225"/>
        </w:trPr>
        <w:tc>
          <w:tcPr>
            <w:tcW w:w="3165" w:type="dxa"/>
            <w:vMerge/>
            <w:vAlign w:val="center"/>
          </w:tcPr>
          <w:p w14:paraId="5F6A10CE" w14:textId="77777777" w:rsidR="00C11703" w:rsidRPr="008902F2" w:rsidRDefault="00C11703" w:rsidP="00C11703">
            <w:pPr>
              <w:rPr>
                <w:rFonts w:ascii="Times New Roman" w:hAnsi="Times New Roman"/>
                <w:lang w:val="en-GB"/>
              </w:rPr>
            </w:pP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6E9ECA"/>
            <w:tcMar>
              <w:left w:w="105" w:type="dxa"/>
              <w:right w:w="105" w:type="dxa"/>
            </w:tcMar>
            <w:vAlign w:val="center"/>
          </w:tcPr>
          <w:p w14:paraId="03138E99" w14:textId="77777777" w:rsidR="00C11703" w:rsidRPr="008902F2" w:rsidRDefault="00C11703" w:rsidP="00C11703">
            <w:pPr>
              <w:jc w:val="center"/>
              <w:rPr>
                <w:rFonts w:ascii="Times New Roman" w:hAnsi="Times New Roman"/>
                <w:color w:val="FFFFFF" w:themeColor="background1"/>
                <w:lang w:val="en-GB"/>
              </w:rPr>
            </w:pPr>
            <w:r w:rsidRPr="008902F2">
              <w:rPr>
                <w:rFonts w:ascii="Times New Roman" w:hAnsi="Times New Roman"/>
                <w:b/>
                <w:bCs/>
                <w:color w:val="FFFFFF" w:themeColor="background1"/>
                <w:lang w:val="en-GB"/>
              </w:rPr>
              <w:t>Mandatory Internship</w:t>
            </w:r>
          </w:p>
        </w:tc>
      </w:tr>
      <w:tr w:rsidR="00C11703" w:rsidRPr="008902F2" w14:paraId="32796D63"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DE04313" w14:textId="77777777" w:rsidR="00C11703" w:rsidRPr="008902F2" w:rsidRDefault="00C11703" w:rsidP="00C11703">
            <w:pPr>
              <w:rPr>
                <w:rFonts w:ascii="Times New Roman" w:hAnsi="Times New Roman"/>
                <w:lang w:val="en-GB"/>
              </w:rPr>
            </w:pPr>
            <w:r w:rsidRPr="008902F2">
              <w:rPr>
                <w:rFonts w:ascii="Times New Roman" w:hAnsi="Times New Roman"/>
                <w:lang w:val="en-GB"/>
              </w:rPr>
              <w:t>Ankara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6F79E5FF"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5</w:t>
            </w:r>
          </w:p>
        </w:tc>
      </w:tr>
      <w:tr w:rsidR="00C11703" w:rsidRPr="008902F2" w14:paraId="3836D3B2"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7662B47" w14:textId="77777777" w:rsidR="00C11703" w:rsidRPr="008902F2" w:rsidRDefault="00C11703" w:rsidP="00C11703">
            <w:pPr>
              <w:rPr>
                <w:rFonts w:ascii="Times New Roman" w:hAnsi="Times New Roman"/>
                <w:lang w:val="en-GB"/>
              </w:rPr>
            </w:pPr>
            <w:r w:rsidRPr="008902F2">
              <w:rPr>
                <w:rFonts w:ascii="Times New Roman" w:hAnsi="Times New Roman"/>
                <w:lang w:val="en-GB"/>
              </w:rPr>
              <w:t>Ankara Haci Bayram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5974B77"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6125AA94"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A6427BC" w14:textId="77777777" w:rsidR="00C11703" w:rsidRPr="008902F2" w:rsidRDefault="00C11703" w:rsidP="00C11703">
            <w:pPr>
              <w:rPr>
                <w:rFonts w:ascii="Times New Roman" w:hAnsi="Times New Roman"/>
                <w:lang w:val="en-GB"/>
              </w:rPr>
            </w:pPr>
            <w:r w:rsidRPr="008902F2">
              <w:rPr>
                <w:rFonts w:ascii="Times New Roman" w:hAnsi="Times New Roman"/>
                <w:lang w:val="en-GB"/>
              </w:rPr>
              <w:t>Bilkent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5F55297E"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1570B1CA"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D0DC781" w14:textId="77777777" w:rsidR="00C11703" w:rsidRPr="008902F2" w:rsidRDefault="00C11703" w:rsidP="00C11703">
            <w:pPr>
              <w:rPr>
                <w:rFonts w:ascii="Times New Roman" w:hAnsi="Times New Roman"/>
                <w:lang w:val="en-GB"/>
              </w:rPr>
            </w:pPr>
            <w:r w:rsidRPr="008902F2">
              <w:rPr>
                <w:rFonts w:ascii="Times New Roman" w:hAnsi="Times New Roman"/>
                <w:lang w:val="en-GB"/>
              </w:rPr>
              <w:t>Cankaya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14AB949B"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40F0BC87"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F613DB2" w14:textId="77777777" w:rsidR="00C11703" w:rsidRPr="008902F2" w:rsidRDefault="00C11703" w:rsidP="00C11703">
            <w:pPr>
              <w:rPr>
                <w:rFonts w:ascii="Times New Roman" w:hAnsi="Times New Roman"/>
                <w:lang w:val="en-GB"/>
              </w:rPr>
            </w:pPr>
            <w:r w:rsidRPr="008902F2">
              <w:rPr>
                <w:rFonts w:ascii="Times New Roman" w:hAnsi="Times New Roman"/>
                <w:lang w:val="en-GB"/>
              </w:rPr>
              <w:t>Cukurova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08888B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5DB4B506"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E7D52CB" w14:textId="77777777" w:rsidR="00C11703" w:rsidRPr="008902F2" w:rsidRDefault="00C11703" w:rsidP="00C11703">
            <w:pPr>
              <w:rPr>
                <w:rFonts w:ascii="Times New Roman" w:hAnsi="Times New Roman"/>
                <w:lang w:val="en-GB"/>
              </w:rPr>
            </w:pPr>
            <w:r w:rsidRPr="008902F2">
              <w:rPr>
                <w:rFonts w:ascii="Times New Roman" w:hAnsi="Times New Roman"/>
                <w:lang w:val="en-GB"/>
              </w:rPr>
              <w:t>Gazi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58DE2816"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10</w:t>
            </w:r>
          </w:p>
        </w:tc>
      </w:tr>
      <w:tr w:rsidR="00C11703" w:rsidRPr="008902F2" w14:paraId="51B01C4D"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89189A2" w14:textId="77777777" w:rsidR="00C11703" w:rsidRPr="008902F2" w:rsidRDefault="00C11703" w:rsidP="00C11703">
            <w:pPr>
              <w:rPr>
                <w:rFonts w:ascii="Times New Roman" w:hAnsi="Times New Roman"/>
                <w:lang w:val="en-GB"/>
              </w:rPr>
            </w:pPr>
            <w:r w:rsidRPr="008902F2">
              <w:rPr>
                <w:rFonts w:ascii="Times New Roman" w:hAnsi="Times New Roman"/>
                <w:lang w:val="en-GB"/>
              </w:rPr>
              <w:t>Hacettepe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0259FF9F"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2</w:t>
            </w:r>
          </w:p>
        </w:tc>
      </w:tr>
      <w:tr w:rsidR="00C11703" w:rsidRPr="008902F2" w14:paraId="59E4E986"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C3A8FE3" w14:textId="77777777" w:rsidR="00C11703" w:rsidRPr="008902F2" w:rsidRDefault="00C11703" w:rsidP="00C11703">
            <w:pPr>
              <w:rPr>
                <w:rFonts w:ascii="Times New Roman" w:hAnsi="Times New Roman"/>
                <w:lang w:val="en-GB"/>
              </w:rPr>
            </w:pPr>
            <w:r w:rsidRPr="008902F2">
              <w:rPr>
                <w:rFonts w:ascii="Times New Roman" w:hAnsi="Times New Roman"/>
                <w:lang w:val="en-GB"/>
              </w:rPr>
              <w:t>Eskisehir Osman Gazi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1DAEE71C"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62710229"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3DDF970A" w14:textId="77777777" w:rsidR="00C11703" w:rsidRPr="008902F2" w:rsidRDefault="00C11703" w:rsidP="00C11703">
            <w:pPr>
              <w:rPr>
                <w:rFonts w:ascii="Times New Roman" w:hAnsi="Times New Roman"/>
                <w:lang w:val="en-GB"/>
              </w:rPr>
            </w:pPr>
            <w:r w:rsidRPr="008902F2">
              <w:rPr>
                <w:rFonts w:ascii="Times New Roman" w:hAnsi="Times New Roman"/>
                <w:lang w:val="en-GB"/>
              </w:rPr>
              <w:t>Firat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45B240E9"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29D97BBD"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46CBEBB" w14:textId="77777777" w:rsidR="00C11703" w:rsidRPr="008902F2" w:rsidRDefault="00C11703" w:rsidP="00C11703">
            <w:pPr>
              <w:rPr>
                <w:rFonts w:ascii="Times New Roman" w:hAnsi="Times New Roman"/>
                <w:lang w:val="en-GB"/>
              </w:rPr>
            </w:pPr>
            <w:r w:rsidRPr="008902F2">
              <w:rPr>
                <w:rFonts w:ascii="Times New Roman" w:hAnsi="Times New Roman"/>
                <w:lang w:val="en-GB"/>
              </w:rPr>
              <w:t>Karadeniz Technical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ADDCB9F"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47B05D75"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76CC792" w14:textId="77777777" w:rsidR="00C11703" w:rsidRPr="008902F2" w:rsidRDefault="00C11703" w:rsidP="00C11703">
            <w:pPr>
              <w:rPr>
                <w:rFonts w:ascii="Times New Roman" w:hAnsi="Times New Roman"/>
                <w:lang w:val="en-GB"/>
              </w:rPr>
            </w:pPr>
            <w:r w:rsidRPr="008902F2">
              <w:rPr>
                <w:rFonts w:ascii="Times New Roman" w:hAnsi="Times New Roman"/>
                <w:lang w:val="en-GB"/>
              </w:rPr>
              <w:t>Kirikkale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4330F193"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3</w:t>
            </w:r>
          </w:p>
        </w:tc>
      </w:tr>
      <w:tr w:rsidR="00C11703" w:rsidRPr="008902F2" w14:paraId="7513A563"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3FE2F2A" w14:textId="77777777" w:rsidR="00C11703" w:rsidRPr="008902F2" w:rsidRDefault="00C11703" w:rsidP="00C11703">
            <w:pPr>
              <w:rPr>
                <w:rFonts w:ascii="Times New Roman" w:hAnsi="Times New Roman"/>
                <w:lang w:val="en-GB"/>
              </w:rPr>
            </w:pPr>
            <w:r w:rsidRPr="008902F2">
              <w:rPr>
                <w:rFonts w:ascii="Times New Roman" w:hAnsi="Times New Roman"/>
                <w:lang w:val="en-GB"/>
              </w:rPr>
              <w:t>KTO Karatay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59643A0B"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01B0E994"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DBCCEAA" w14:textId="77777777" w:rsidR="00C11703" w:rsidRPr="008902F2" w:rsidRDefault="00C11703" w:rsidP="00C11703">
            <w:pPr>
              <w:rPr>
                <w:rFonts w:ascii="Times New Roman" w:hAnsi="Times New Roman"/>
                <w:lang w:val="en-GB"/>
              </w:rPr>
            </w:pPr>
            <w:r w:rsidRPr="008902F2">
              <w:rPr>
                <w:rFonts w:ascii="Times New Roman" w:hAnsi="Times New Roman"/>
                <w:lang w:val="en-GB"/>
              </w:rPr>
              <w:t>Sivas Cumhuriyet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1F510170"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2</w:t>
            </w:r>
          </w:p>
        </w:tc>
      </w:tr>
      <w:tr w:rsidR="00C11703" w:rsidRPr="008902F2" w14:paraId="5030FCE7"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AFD759B" w14:textId="77777777" w:rsidR="00C11703" w:rsidRPr="008902F2" w:rsidRDefault="00C11703" w:rsidP="00C11703">
            <w:pPr>
              <w:rPr>
                <w:rFonts w:ascii="Times New Roman" w:hAnsi="Times New Roman"/>
                <w:lang w:val="en-GB"/>
              </w:rPr>
            </w:pPr>
            <w:r w:rsidRPr="008902F2">
              <w:rPr>
                <w:rFonts w:ascii="Times New Roman" w:hAnsi="Times New Roman"/>
                <w:lang w:val="en-GB"/>
              </w:rPr>
              <w:t>TOBB ETU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6895A6E8"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13ED3DA1"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26315F8" w14:textId="77777777" w:rsidR="00C11703" w:rsidRPr="008902F2" w:rsidRDefault="00C11703" w:rsidP="00C11703">
            <w:pPr>
              <w:rPr>
                <w:rFonts w:ascii="Times New Roman" w:hAnsi="Times New Roman"/>
                <w:lang w:val="en-GB"/>
              </w:rPr>
            </w:pPr>
            <w:r w:rsidRPr="008902F2">
              <w:rPr>
                <w:rFonts w:ascii="Times New Roman" w:hAnsi="Times New Roman"/>
                <w:lang w:val="en-GB"/>
              </w:rPr>
              <w:t>Ankara Yildirim Beyazit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E4E7BB9"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10</w:t>
            </w:r>
          </w:p>
        </w:tc>
      </w:tr>
      <w:tr w:rsidR="00C11703" w:rsidRPr="008902F2" w14:paraId="1127664F"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F6216AB" w14:textId="77777777" w:rsidR="00C11703" w:rsidRPr="008902F2" w:rsidRDefault="00C11703" w:rsidP="00C11703">
            <w:pPr>
              <w:rPr>
                <w:rFonts w:ascii="Times New Roman" w:hAnsi="Times New Roman"/>
                <w:lang w:val="en-GB"/>
              </w:rPr>
            </w:pPr>
            <w:r w:rsidRPr="008902F2">
              <w:rPr>
                <w:rFonts w:ascii="Times New Roman" w:hAnsi="Times New Roman"/>
                <w:lang w:val="en-GB"/>
              </w:rPr>
              <w:t>Yozgat Bozok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410C550B"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1</w:t>
            </w:r>
          </w:p>
        </w:tc>
      </w:tr>
      <w:tr w:rsidR="00C11703" w:rsidRPr="008902F2" w14:paraId="38BE2E95"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F8C99F9" w14:textId="77777777" w:rsidR="00C11703" w:rsidRPr="008902F2" w:rsidRDefault="00C11703" w:rsidP="00C11703">
            <w:pPr>
              <w:rPr>
                <w:rFonts w:ascii="Times New Roman" w:hAnsi="Times New Roman"/>
                <w:lang w:val="en-GB"/>
              </w:rPr>
            </w:pPr>
            <w:r w:rsidRPr="008902F2">
              <w:rPr>
                <w:rFonts w:ascii="Times New Roman" w:hAnsi="Times New Roman"/>
                <w:lang w:val="en-GB"/>
              </w:rPr>
              <w:t>Ankara Atılım University</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3FFBC4EA" w14:textId="77777777" w:rsidR="00C11703" w:rsidRPr="008902F2" w:rsidRDefault="00C11703" w:rsidP="00C11703">
            <w:pPr>
              <w:jc w:val="center"/>
              <w:rPr>
                <w:rFonts w:ascii="Times New Roman" w:hAnsi="Times New Roman"/>
                <w:lang w:val="en-GB"/>
              </w:rPr>
            </w:pPr>
            <w:r w:rsidRPr="008902F2">
              <w:rPr>
                <w:rFonts w:ascii="Times New Roman" w:hAnsi="Times New Roman"/>
                <w:lang w:val="en-GB"/>
              </w:rPr>
              <w:t>3</w:t>
            </w:r>
          </w:p>
        </w:tc>
      </w:tr>
      <w:tr w:rsidR="00C11703" w:rsidRPr="008902F2" w14:paraId="4772287F" w14:textId="77777777" w:rsidTr="00C11703">
        <w:trPr>
          <w:trHeight w:val="225"/>
        </w:trPr>
        <w:tc>
          <w:tcPr>
            <w:tcW w:w="31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30DE158" w14:textId="77777777" w:rsidR="00C11703" w:rsidRPr="008902F2" w:rsidRDefault="00C11703" w:rsidP="00C11703">
            <w:pPr>
              <w:rPr>
                <w:rFonts w:ascii="Times New Roman" w:hAnsi="Times New Roman"/>
                <w:lang w:val="en-GB"/>
              </w:rPr>
            </w:pPr>
            <w:r w:rsidRPr="008902F2">
              <w:rPr>
                <w:rFonts w:ascii="Times New Roman" w:hAnsi="Times New Roman"/>
                <w:b/>
                <w:bCs/>
                <w:lang w:val="en-GB"/>
              </w:rPr>
              <w:lastRenderedPageBreak/>
              <w:t>TOTAL</w:t>
            </w:r>
          </w:p>
        </w:tc>
        <w:tc>
          <w:tcPr>
            <w:tcW w:w="17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768AD74A" w14:textId="77777777" w:rsidR="00C11703" w:rsidRPr="008902F2" w:rsidRDefault="00C11703" w:rsidP="00C11703">
            <w:pPr>
              <w:jc w:val="center"/>
              <w:rPr>
                <w:rFonts w:ascii="Times New Roman" w:hAnsi="Times New Roman"/>
                <w:lang w:val="en-GB"/>
              </w:rPr>
            </w:pPr>
            <w:r w:rsidRPr="008902F2">
              <w:rPr>
                <w:rFonts w:ascii="Times New Roman" w:hAnsi="Times New Roman"/>
                <w:b/>
                <w:bCs/>
                <w:lang w:val="en-GB"/>
              </w:rPr>
              <w:t>45</w:t>
            </w:r>
          </w:p>
        </w:tc>
      </w:tr>
    </w:tbl>
    <w:p w14:paraId="0188584C" w14:textId="77777777" w:rsidR="00C11703" w:rsidRPr="008902F2" w:rsidRDefault="00C11703" w:rsidP="00C11703">
      <w:pPr>
        <w:rPr>
          <w:rFonts w:ascii="Times New Roman" w:eastAsia="Times New Roman" w:hAnsi="Times New Roman"/>
          <w:noProof/>
          <w:lang w:val="en-GB"/>
        </w:rPr>
      </w:pPr>
    </w:p>
    <w:p w14:paraId="66B00C03" w14:textId="77777777" w:rsidR="00C11703" w:rsidRPr="008902F2" w:rsidRDefault="00C11703" w:rsidP="00C11703">
      <w:pPr>
        <w:rPr>
          <w:rFonts w:ascii="Times New Roman" w:hAnsi="Times New Roman"/>
          <w:noProof/>
          <w:color w:val="000000" w:themeColor="text1"/>
          <w:lang w:val="en-GB"/>
        </w:rPr>
      </w:pPr>
    </w:p>
    <w:p w14:paraId="0AC9B5F9" w14:textId="11D35825" w:rsidR="00C11703" w:rsidRPr="008902F2" w:rsidRDefault="00C11703" w:rsidP="00420211">
      <w:pPr>
        <w:pStyle w:val="Balk1"/>
        <w:rPr>
          <w:rFonts w:ascii="Times New Roman" w:hAnsi="Times New Roman" w:cs="Times New Roman"/>
          <w:noProof/>
          <w:lang w:val="en-GB"/>
        </w:rPr>
      </w:pPr>
      <w:bookmarkStart w:id="216" w:name="_Toc143113498"/>
      <w:r w:rsidRPr="008902F2">
        <w:rPr>
          <w:rFonts w:ascii="Times New Roman" w:hAnsi="Times New Roman" w:cs="Times New Roman"/>
          <w:noProof/>
          <w:lang w:val="en-GB"/>
        </w:rPr>
        <w:t>14</w:t>
      </w:r>
      <w:r w:rsidR="00420211" w:rsidRPr="008902F2">
        <w:rPr>
          <w:rFonts w:ascii="Times New Roman" w:hAnsi="Times New Roman" w:cs="Times New Roman"/>
          <w:noProof/>
          <w:lang w:val="en-GB"/>
        </w:rPr>
        <w:t xml:space="preserve">. </w:t>
      </w:r>
      <w:r w:rsidRPr="008902F2">
        <w:rPr>
          <w:rFonts w:ascii="Times New Roman" w:hAnsi="Times New Roman" w:cs="Times New Roman"/>
          <w:noProof/>
          <w:lang w:val="en-GB"/>
        </w:rPr>
        <w:t>FINANCIAL INFORMATION</w:t>
      </w:r>
      <w:bookmarkEnd w:id="216"/>
    </w:p>
    <w:p w14:paraId="7756B917"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The income and expenses of the Authority constitute the budget of it. It is essential for the Authority's income to cover its expenses. The surplus of the Authority's income is transferred from its resources to the Ministry of Treasury and Finance of the Republic of Türkiye, to be recorded as a revenue in the general budget, in accordance with Law No. 4628 and Law No. 5018. The transfers made within this scope are shown in Table 14.1.</w:t>
      </w:r>
    </w:p>
    <w:p w14:paraId="5507AAEE" w14:textId="1E0076E0" w:rsidR="00C11703" w:rsidRPr="008902F2" w:rsidRDefault="00C11703" w:rsidP="00960D2C">
      <w:pPr>
        <w:jc w:val="center"/>
        <w:rPr>
          <w:rFonts w:ascii="Times New Roman" w:hAnsi="Times New Roman"/>
          <w:b/>
          <w:bCs/>
          <w:color w:val="000000" w:themeColor="text1"/>
          <w:lang w:val="en-GB"/>
        </w:rPr>
      </w:pPr>
      <w:r w:rsidRPr="008902F2">
        <w:rPr>
          <w:rFonts w:ascii="Times New Roman" w:hAnsi="Times New Roman"/>
          <w:b/>
          <w:bCs/>
          <w:color w:val="000000" w:themeColor="text1"/>
          <w:lang w:val="en-GB"/>
        </w:rPr>
        <w:t>Tabl</w:t>
      </w:r>
      <w:r w:rsidR="00960D2C" w:rsidRPr="008902F2">
        <w:rPr>
          <w:rFonts w:ascii="Times New Roman" w:hAnsi="Times New Roman"/>
          <w:b/>
          <w:bCs/>
          <w:color w:val="000000" w:themeColor="text1"/>
          <w:lang w:val="en-GB"/>
        </w:rPr>
        <w:t>e</w:t>
      </w:r>
      <w:r w:rsidRPr="008902F2">
        <w:rPr>
          <w:rFonts w:ascii="Times New Roman" w:hAnsi="Times New Roman"/>
          <w:b/>
          <w:bCs/>
          <w:color w:val="000000" w:themeColor="text1"/>
          <w:lang w:val="en-GB"/>
        </w:rPr>
        <w:t xml:space="preserve"> 14.1: Budgetary Surplus Transferred to the Ministry of Treasury and Finance Over the Years (TL)</w:t>
      </w:r>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C11703" w:rsidRPr="008902F2" w14:paraId="43EDC60D" w14:textId="77777777" w:rsidTr="00AE16BB">
        <w:trPr>
          <w:trHeight w:val="509"/>
          <w:tblHeader/>
          <w:jc w:val="right"/>
        </w:trPr>
        <w:tc>
          <w:tcPr>
            <w:tcW w:w="1374"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223544CE" w14:textId="77777777" w:rsidR="00C11703" w:rsidRPr="008902F2" w:rsidRDefault="00C11703" w:rsidP="00C11703">
            <w:pPr>
              <w:spacing w:after="0" w:line="240" w:lineRule="auto"/>
              <w:jc w:val="center"/>
              <w:rPr>
                <w:rFonts w:ascii="Times New Roman" w:eastAsia="Times New Roman" w:hAnsi="Times New Roman"/>
                <w:b/>
                <w:bCs/>
                <w:color w:val="FFFFFF" w:themeColor="background1"/>
                <w:sz w:val="24"/>
                <w:szCs w:val="24"/>
                <w:lang w:val="en-GB" w:eastAsia="tr-TR"/>
              </w:rPr>
            </w:pPr>
            <w:r w:rsidRPr="008902F2">
              <w:rPr>
                <w:rFonts w:ascii="Times New Roman" w:eastAsia="Times New Roman" w:hAnsi="Times New Roman"/>
                <w:b/>
                <w:bCs/>
                <w:color w:val="FFFFFF" w:themeColor="background1"/>
                <w:sz w:val="24"/>
                <w:szCs w:val="24"/>
                <w:lang w:val="en-GB" w:eastAsia="tr-TR"/>
              </w:rPr>
              <w:t>Years</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709D4C3A" w14:textId="77777777" w:rsidR="00C11703" w:rsidRPr="008902F2" w:rsidRDefault="00C11703" w:rsidP="00C11703">
            <w:pPr>
              <w:spacing w:after="0" w:line="240" w:lineRule="auto"/>
              <w:jc w:val="center"/>
              <w:rPr>
                <w:rFonts w:ascii="Times New Roman" w:hAnsi="Times New Roman"/>
                <w:b/>
                <w:bCs/>
                <w:color w:val="FFFFFF" w:themeColor="background1"/>
                <w:sz w:val="24"/>
                <w:szCs w:val="24"/>
                <w:lang w:val="en-GB"/>
              </w:rPr>
            </w:pPr>
            <w:r w:rsidRPr="008902F2">
              <w:rPr>
                <w:rFonts w:ascii="Times New Roman" w:hAnsi="Times New Roman"/>
                <w:b/>
                <w:bCs/>
                <w:color w:val="FFFFFF" w:themeColor="background1"/>
                <w:sz w:val="24"/>
                <w:szCs w:val="24"/>
                <w:lang w:val="en-GB"/>
              </w:rPr>
              <w:t>Within the Year (Transferred Every Quarterly Up To The 15th Of The Following Month)</w:t>
            </w:r>
          </w:p>
          <w:p w14:paraId="5D825284" w14:textId="77777777" w:rsidR="00C11703" w:rsidRPr="008902F2" w:rsidRDefault="00C11703" w:rsidP="00C11703">
            <w:pPr>
              <w:spacing w:after="0" w:line="240" w:lineRule="auto"/>
              <w:jc w:val="center"/>
              <w:rPr>
                <w:rFonts w:ascii="Times New Roman" w:eastAsia="Times New Roman" w:hAnsi="Times New Roman"/>
                <w:b/>
                <w:bCs/>
                <w:color w:val="FFFFFF" w:themeColor="background1"/>
                <w:sz w:val="24"/>
                <w:szCs w:val="24"/>
                <w:lang w:val="en-GB" w:eastAsia="tr-TR"/>
              </w:rPr>
            </w:pP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6BA47F1F" w14:textId="77777777" w:rsidR="00C11703" w:rsidRPr="008902F2" w:rsidRDefault="00C11703" w:rsidP="00C11703">
            <w:pPr>
              <w:spacing w:after="0" w:line="240" w:lineRule="auto"/>
              <w:jc w:val="center"/>
              <w:rPr>
                <w:rFonts w:ascii="Times New Roman" w:eastAsia="Times New Roman" w:hAnsi="Times New Roman"/>
                <w:b/>
                <w:bCs/>
                <w:color w:val="FFFFFF" w:themeColor="background1"/>
                <w:sz w:val="24"/>
                <w:szCs w:val="24"/>
                <w:lang w:val="en-GB" w:eastAsia="tr-TR"/>
              </w:rPr>
            </w:pPr>
            <w:r w:rsidRPr="008902F2">
              <w:rPr>
                <w:rFonts w:ascii="Times New Roman" w:hAnsi="Times New Roman"/>
                <w:b/>
                <w:bCs/>
                <w:color w:val="FFFFFF" w:themeColor="background1"/>
                <w:sz w:val="24"/>
                <w:szCs w:val="24"/>
                <w:lang w:val="en-GB"/>
              </w:rPr>
              <w:t>At the End of Year (Transferred to End of March of the Following Year)</w:t>
            </w:r>
          </w:p>
        </w:tc>
        <w:tc>
          <w:tcPr>
            <w:tcW w:w="1232"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20ADBB0E" w14:textId="77777777" w:rsidR="00C11703" w:rsidRPr="008902F2" w:rsidRDefault="00C11703" w:rsidP="00C11703">
            <w:pPr>
              <w:spacing w:after="0" w:line="240" w:lineRule="auto"/>
              <w:jc w:val="center"/>
              <w:rPr>
                <w:rFonts w:ascii="Times New Roman" w:eastAsia="Times New Roman" w:hAnsi="Times New Roman"/>
                <w:b/>
                <w:bCs/>
                <w:color w:val="FFFFFF" w:themeColor="background1"/>
                <w:sz w:val="24"/>
                <w:szCs w:val="24"/>
                <w:lang w:val="en-GB" w:eastAsia="tr-TR"/>
              </w:rPr>
            </w:pPr>
            <w:r w:rsidRPr="008902F2">
              <w:rPr>
                <w:rFonts w:ascii="Times New Roman" w:eastAsia="Times New Roman" w:hAnsi="Times New Roman"/>
                <w:b/>
                <w:bCs/>
                <w:color w:val="FFFFFF" w:themeColor="background1"/>
                <w:sz w:val="24"/>
                <w:szCs w:val="24"/>
                <w:lang w:val="en-GB" w:eastAsia="tr-TR"/>
              </w:rPr>
              <w:t>Total</w:t>
            </w:r>
          </w:p>
        </w:tc>
      </w:tr>
      <w:tr w:rsidR="00C11703" w:rsidRPr="008902F2" w14:paraId="79FCF037" w14:textId="77777777" w:rsidTr="00AE16BB">
        <w:trPr>
          <w:trHeight w:val="509"/>
          <w:tblHeader/>
          <w:jc w:val="right"/>
        </w:trPr>
        <w:tc>
          <w:tcPr>
            <w:tcW w:w="1374" w:type="pct"/>
            <w:vMerge/>
            <w:tcBorders>
              <w:top w:val="single" w:sz="4" w:space="0" w:color="auto"/>
              <w:left w:val="single" w:sz="4" w:space="0" w:color="auto"/>
              <w:bottom w:val="single" w:sz="4" w:space="0" w:color="auto"/>
              <w:right w:val="single" w:sz="4" w:space="0" w:color="auto"/>
            </w:tcBorders>
            <w:vAlign w:val="center"/>
            <w:hideMark/>
          </w:tcPr>
          <w:p w14:paraId="13D3C2E2" w14:textId="77777777" w:rsidR="00C11703" w:rsidRPr="008902F2" w:rsidRDefault="00C11703" w:rsidP="00C11703">
            <w:pPr>
              <w:spacing w:after="0" w:line="240" w:lineRule="auto"/>
              <w:rPr>
                <w:rFonts w:ascii="Times New Roman" w:eastAsia="Times New Roman" w:hAnsi="Times New Roman"/>
                <w:b/>
                <w:bCs/>
                <w:color w:val="FFFFFF"/>
                <w:sz w:val="24"/>
                <w:szCs w:val="24"/>
                <w:lang w:val="en-GB"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3DE809A1" w14:textId="77777777" w:rsidR="00C11703" w:rsidRPr="008902F2" w:rsidRDefault="00C11703" w:rsidP="00C11703">
            <w:pPr>
              <w:spacing w:after="0" w:line="240" w:lineRule="auto"/>
              <w:rPr>
                <w:rFonts w:ascii="Times New Roman" w:eastAsia="Times New Roman" w:hAnsi="Times New Roman"/>
                <w:b/>
                <w:bCs/>
                <w:color w:val="FFFFFF"/>
                <w:sz w:val="24"/>
                <w:szCs w:val="24"/>
                <w:lang w:val="en-GB"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09C641CE" w14:textId="77777777" w:rsidR="00C11703" w:rsidRPr="008902F2" w:rsidRDefault="00C11703" w:rsidP="00C11703">
            <w:pPr>
              <w:spacing w:after="0" w:line="240" w:lineRule="auto"/>
              <w:rPr>
                <w:rFonts w:ascii="Times New Roman" w:eastAsia="Times New Roman" w:hAnsi="Times New Roman"/>
                <w:b/>
                <w:bCs/>
                <w:color w:val="FFFFFF"/>
                <w:sz w:val="24"/>
                <w:szCs w:val="24"/>
                <w:lang w:val="en-GB" w:eastAsia="tr-TR"/>
              </w:rPr>
            </w:pPr>
          </w:p>
        </w:tc>
        <w:tc>
          <w:tcPr>
            <w:tcW w:w="1232" w:type="pct"/>
            <w:vMerge/>
            <w:tcBorders>
              <w:top w:val="single" w:sz="4" w:space="0" w:color="auto"/>
              <w:left w:val="single" w:sz="4" w:space="0" w:color="auto"/>
              <w:bottom w:val="single" w:sz="4" w:space="0" w:color="auto"/>
              <w:right w:val="single" w:sz="4" w:space="0" w:color="auto"/>
            </w:tcBorders>
            <w:vAlign w:val="center"/>
            <w:hideMark/>
          </w:tcPr>
          <w:p w14:paraId="15D726EC" w14:textId="77777777" w:rsidR="00C11703" w:rsidRPr="008902F2" w:rsidRDefault="00C11703" w:rsidP="00C11703">
            <w:pPr>
              <w:spacing w:after="0" w:line="240" w:lineRule="auto"/>
              <w:rPr>
                <w:rFonts w:ascii="Times New Roman" w:eastAsia="Times New Roman" w:hAnsi="Times New Roman"/>
                <w:b/>
                <w:bCs/>
                <w:color w:val="FFFFFF"/>
                <w:sz w:val="24"/>
                <w:szCs w:val="24"/>
                <w:lang w:val="en-GB" w:eastAsia="tr-TR"/>
              </w:rPr>
            </w:pPr>
          </w:p>
        </w:tc>
      </w:tr>
      <w:tr w:rsidR="00C11703" w:rsidRPr="008902F2" w14:paraId="11564FDB"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7986EEE"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E49187"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197" w:type="pct"/>
            <w:tcBorders>
              <w:top w:val="single" w:sz="4" w:space="0" w:color="auto"/>
              <w:left w:val="nil"/>
              <w:bottom w:val="single" w:sz="4" w:space="0" w:color="auto"/>
              <w:right w:val="single" w:sz="4" w:space="0" w:color="auto"/>
            </w:tcBorders>
            <w:shd w:val="clear" w:color="000000" w:fill="FFFFFF"/>
            <w:vAlign w:val="center"/>
            <w:hideMark/>
          </w:tcPr>
          <w:p w14:paraId="34AFC5A1"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22.306,00</w:t>
            </w:r>
          </w:p>
        </w:tc>
        <w:tc>
          <w:tcPr>
            <w:tcW w:w="1232" w:type="pct"/>
            <w:tcBorders>
              <w:top w:val="single" w:sz="4" w:space="0" w:color="auto"/>
              <w:left w:val="nil"/>
              <w:bottom w:val="single" w:sz="4" w:space="0" w:color="auto"/>
              <w:right w:val="single" w:sz="4" w:space="0" w:color="auto"/>
            </w:tcBorders>
            <w:shd w:val="clear" w:color="000000" w:fill="FFFFFF"/>
            <w:vAlign w:val="center"/>
            <w:hideMark/>
          </w:tcPr>
          <w:p w14:paraId="563D864E"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22.306,00</w:t>
            </w:r>
          </w:p>
        </w:tc>
      </w:tr>
      <w:tr w:rsidR="00C11703" w:rsidRPr="008902F2" w14:paraId="353F991A"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7423F27"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2002</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037D96A9"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197" w:type="pct"/>
            <w:tcBorders>
              <w:top w:val="nil"/>
              <w:left w:val="nil"/>
              <w:bottom w:val="single" w:sz="4" w:space="0" w:color="auto"/>
              <w:right w:val="single" w:sz="4" w:space="0" w:color="auto"/>
            </w:tcBorders>
            <w:shd w:val="clear" w:color="auto" w:fill="auto"/>
            <w:vAlign w:val="center"/>
            <w:hideMark/>
          </w:tcPr>
          <w:p w14:paraId="04097C8F"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232" w:type="pct"/>
            <w:tcBorders>
              <w:top w:val="nil"/>
              <w:left w:val="nil"/>
              <w:bottom w:val="single" w:sz="4" w:space="0" w:color="auto"/>
              <w:right w:val="single" w:sz="4" w:space="0" w:color="auto"/>
            </w:tcBorders>
            <w:shd w:val="clear" w:color="auto" w:fill="auto"/>
            <w:vAlign w:val="center"/>
            <w:hideMark/>
          </w:tcPr>
          <w:p w14:paraId="7AFC1F09"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0,00</w:t>
            </w:r>
          </w:p>
        </w:tc>
      </w:tr>
      <w:tr w:rsidR="00C11703" w:rsidRPr="008902F2" w14:paraId="46AE98F9"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3E14599"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2003</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5437DF8A"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197" w:type="pct"/>
            <w:tcBorders>
              <w:top w:val="nil"/>
              <w:left w:val="nil"/>
              <w:bottom w:val="single" w:sz="4" w:space="0" w:color="auto"/>
              <w:right w:val="single" w:sz="4" w:space="0" w:color="auto"/>
            </w:tcBorders>
            <w:shd w:val="clear" w:color="000000" w:fill="FFFFFF"/>
            <w:vAlign w:val="center"/>
            <w:hideMark/>
          </w:tcPr>
          <w:p w14:paraId="7E878C9E"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17.992.437,17</w:t>
            </w:r>
          </w:p>
        </w:tc>
        <w:tc>
          <w:tcPr>
            <w:tcW w:w="1232" w:type="pct"/>
            <w:tcBorders>
              <w:top w:val="nil"/>
              <w:left w:val="nil"/>
              <w:bottom w:val="single" w:sz="4" w:space="0" w:color="auto"/>
              <w:right w:val="single" w:sz="4" w:space="0" w:color="auto"/>
            </w:tcBorders>
            <w:shd w:val="clear" w:color="000000" w:fill="FFFFFF"/>
            <w:vAlign w:val="center"/>
            <w:hideMark/>
          </w:tcPr>
          <w:p w14:paraId="312A8149"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17.992.437,17</w:t>
            </w:r>
          </w:p>
        </w:tc>
      </w:tr>
      <w:tr w:rsidR="00C11703" w:rsidRPr="008902F2" w14:paraId="5FCA4737"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32F5EED"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2004</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3B59751A"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197" w:type="pct"/>
            <w:tcBorders>
              <w:top w:val="nil"/>
              <w:left w:val="nil"/>
              <w:bottom w:val="single" w:sz="4" w:space="0" w:color="auto"/>
              <w:right w:val="single" w:sz="4" w:space="0" w:color="auto"/>
            </w:tcBorders>
            <w:shd w:val="clear" w:color="000000" w:fill="FFFFFF"/>
            <w:vAlign w:val="center"/>
            <w:hideMark/>
          </w:tcPr>
          <w:p w14:paraId="71EE3977"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39.891.979,98</w:t>
            </w:r>
          </w:p>
        </w:tc>
        <w:tc>
          <w:tcPr>
            <w:tcW w:w="1232" w:type="pct"/>
            <w:tcBorders>
              <w:top w:val="nil"/>
              <w:left w:val="nil"/>
              <w:bottom w:val="single" w:sz="4" w:space="0" w:color="auto"/>
              <w:right w:val="single" w:sz="4" w:space="0" w:color="auto"/>
            </w:tcBorders>
            <w:shd w:val="clear" w:color="000000" w:fill="FFFFFF"/>
            <w:vAlign w:val="center"/>
            <w:hideMark/>
          </w:tcPr>
          <w:p w14:paraId="5B1F6DF5"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39.891.979,98</w:t>
            </w:r>
          </w:p>
        </w:tc>
      </w:tr>
      <w:tr w:rsidR="00C11703" w:rsidRPr="008902F2" w14:paraId="15EC2F31"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E1AE271"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2005</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186E049C"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0,00</w:t>
            </w:r>
          </w:p>
        </w:tc>
        <w:tc>
          <w:tcPr>
            <w:tcW w:w="1197" w:type="pct"/>
            <w:tcBorders>
              <w:top w:val="nil"/>
              <w:left w:val="nil"/>
              <w:bottom w:val="single" w:sz="4" w:space="0" w:color="auto"/>
              <w:right w:val="single" w:sz="4" w:space="0" w:color="auto"/>
            </w:tcBorders>
            <w:shd w:val="clear" w:color="000000" w:fill="FFFFFF"/>
            <w:vAlign w:val="center"/>
            <w:hideMark/>
          </w:tcPr>
          <w:p w14:paraId="4FB39C61"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91.351.575,70</w:t>
            </w:r>
          </w:p>
        </w:tc>
        <w:tc>
          <w:tcPr>
            <w:tcW w:w="1232" w:type="pct"/>
            <w:tcBorders>
              <w:top w:val="nil"/>
              <w:left w:val="nil"/>
              <w:bottom w:val="single" w:sz="4" w:space="0" w:color="auto"/>
              <w:right w:val="single" w:sz="4" w:space="0" w:color="auto"/>
            </w:tcBorders>
            <w:shd w:val="clear" w:color="000000" w:fill="FFFFFF"/>
            <w:vAlign w:val="center"/>
            <w:hideMark/>
          </w:tcPr>
          <w:p w14:paraId="3883088F"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91.351.575,70</w:t>
            </w:r>
          </w:p>
        </w:tc>
      </w:tr>
      <w:tr w:rsidR="00C11703" w:rsidRPr="008902F2" w14:paraId="1E3673C3"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0DB2B17"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1310E55A"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118.872.511,00</w:t>
            </w:r>
          </w:p>
        </w:tc>
        <w:tc>
          <w:tcPr>
            <w:tcW w:w="1197" w:type="pct"/>
            <w:tcBorders>
              <w:top w:val="nil"/>
              <w:left w:val="nil"/>
              <w:bottom w:val="single" w:sz="4" w:space="0" w:color="auto"/>
              <w:right w:val="single" w:sz="4" w:space="0" w:color="auto"/>
            </w:tcBorders>
            <w:shd w:val="clear" w:color="000000" w:fill="FFFFFF"/>
            <w:vAlign w:val="center"/>
            <w:hideMark/>
          </w:tcPr>
          <w:p w14:paraId="0A3B78ED"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10.213.361,85</w:t>
            </w:r>
          </w:p>
        </w:tc>
        <w:tc>
          <w:tcPr>
            <w:tcW w:w="1232" w:type="pct"/>
            <w:tcBorders>
              <w:top w:val="nil"/>
              <w:left w:val="nil"/>
              <w:bottom w:val="single" w:sz="4" w:space="0" w:color="auto"/>
              <w:right w:val="single" w:sz="4" w:space="0" w:color="auto"/>
            </w:tcBorders>
            <w:shd w:val="clear" w:color="000000" w:fill="FFFFFF"/>
            <w:vAlign w:val="center"/>
            <w:hideMark/>
          </w:tcPr>
          <w:p w14:paraId="269ADDA9"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129.085.872,85</w:t>
            </w:r>
          </w:p>
        </w:tc>
      </w:tr>
      <w:tr w:rsidR="00C11703" w:rsidRPr="008902F2" w14:paraId="1837BA83"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A03D1BD"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F920797"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26.316.184,86</w:t>
            </w:r>
          </w:p>
        </w:tc>
        <w:tc>
          <w:tcPr>
            <w:tcW w:w="1197" w:type="pct"/>
            <w:tcBorders>
              <w:top w:val="nil"/>
              <w:left w:val="nil"/>
              <w:bottom w:val="single" w:sz="4" w:space="0" w:color="auto"/>
              <w:right w:val="single" w:sz="4" w:space="0" w:color="auto"/>
            </w:tcBorders>
            <w:shd w:val="clear" w:color="000000" w:fill="FFFFFF"/>
            <w:vAlign w:val="center"/>
            <w:hideMark/>
          </w:tcPr>
          <w:p w14:paraId="503A1414"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43.563.569,34</w:t>
            </w:r>
          </w:p>
        </w:tc>
        <w:tc>
          <w:tcPr>
            <w:tcW w:w="1232" w:type="pct"/>
            <w:tcBorders>
              <w:top w:val="nil"/>
              <w:left w:val="nil"/>
              <w:bottom w:val="single" w:sz="4" w:space="0" w:color="auto"/>
              <w:right w:val="single" w:sz="4" w:space="0" w:color="auto"/>
            </w:tcBorders>
            <w:shd w:val="clear" w:color="000000" w:fill="FFFFFF"/>
            <w:vAlign w:val="center"/>
            <w:hideMark/>
          </w:tcPr>
          <w:p w14:paraId="5F213694"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69.879.754,20</w:t>
            </w:r>
          </w:p>
        </w:tc>
      </w:tr>
      <w:tr w:rsidR="00C11703" w:rsidRPr="008902F2" w14:paraId="784B0465"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CFAF8E6"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332B6A12"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6.500.000,00</w:t>
            </w:r>
          </w:p>
        </w:tc>
        <w:tc>
          <w:tcPr>
            <w:tcW w:w="1197" w:type="pct"/>
            <w:tcBorders>
              <w:top w:val="nil"/>
              <w:left w:val="nil"/>
              <w:bottom w:val="single" w:sz="4" w:space="0" w:color="auto"/>
              <w:right w:val="single" w:sz="4" w:space="0" w:color="auto"/>
            </w:tcBorders>
            <w:shd w:val="clear" w:color="000000" w:fill="FFFFFF"/>
            <w:vAlign w:val="center"/>
            <w:hideMark/>
          </w:tcPr>
          <w:p w14:paraId="2390F834"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27.507.108,75</w:t>
            </w:r>
          </w:p>
        </w:tc>
        <w:tc>
          <w:tcPr>
            <w:tcW w:w="1232" w:type="pct"/>
            <w:tcBorders>
              <w:top w:val="nil"/>
              <w:left w:val="nil"/>
              <w:bottom w:val="single" w:sz="4" w:space="0" w:color="auto"/>
              <w:right w:val="single" w:sz="4" w:space="0" w:color="auto"/>
            </w:tcBorders>
            <w:shd w:val="clear" w:color="000000" w:fill="FFFFFF"/>
            <w:vAlign w:val="center"/>
            <w:hideMark/>
          </w:tcPr>
          <w:p w14:paraId="0B8E9732"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34.007.108,75</w:t>
            </w:r>
          </w:p>
        </w:tc>
      </w:tr>
      <w:tr w:rsidR="00C11703" w:rsidRPr="008902F2" w14:paraId="65EFA2E3"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0F48F79"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2009</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71310DAA"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10.000.000,00</w:t>
            </w:r>
          </w:p>
        </w:tc>
        <w:tc>
          <w:tcPr>
            <w:tcW w:w="1197" w:type="pct"/>
            <w:tcBorders>
              <w:top w:val="nil"/>
              <w:left w:val="nil"/>
              <w:bottom w:val="single" w:sz="4" w:space="0" w:color="auto"/>
              <w:right w:val="single" w:sz="4" w:space="0" w:color="auto"/>
            </w:tcBorders>
            <w:shd w:val="clear" w:color="000000" w:fill="FFFFFF"/>
            <w:vAlign w:val="center"/>
            <w:hideMark/>
          </w:tcPr>
          <w:p w14:paraId="01E62494"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25.560.370,79</w:t>
            </w:r>
          </w:p>
        </w:tc>
        <w:tc>
          <w:tcPr>
            <w:tcW w:w="1232" w:type="pct"/>
            <w:tcBorders>
              <w:top w:val="nil"/>
              <w:left w:val="nil"/>
              <w:bottom w:val="single" w:sz="4" w:space="0" w:color="auto"/>
              <w:right w:val="single" w:sz="4" w:space="0" w:color="auto"/>
            </w:tcBorders>
            <w:shd w:val="clear" w:color="000000" w:fill="FFFFFF"/>
            <w:vAlign w:val="center"/>
            <w:hideMark/>
          </w:tcPr>
          <w:p w14:paraId="7515F1F1"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35.560.370,79</w:t>
            </w:r>
          </w:p>
        </w:tc>
      </w:tr>
      <w:tr w:rsidR="00C11703" w:rsidRPr="008902F2" w14:paraId="15627228"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548C471"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2010</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3A5050F"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18.000.000,00</w:t>
            </w:r>
          </w:p>
        </w:tc>
        <w:tc>
          <w:tcPr>
            <w:tcW w:w="1197" w:type="pct"/>
            <w:tcBorders>
              <w:top w:val="nil"/>
              <w:left w:val="nil"/>
              <w:bottom w:val="single" w:sz="4" w:space="0" w:color="auto"/>
              <w:right w:val="single" w:sz="4" w:space="0" w:color="auto"/>
            </w:tcBorders>
            <w:shd w:val="clear" w:color="000000" w:fill="FFFFFF"/>
            <w:vAlign w:val="center"/>
            <w:hideMark/>
          </w:tcPr>
          <w:p w14:paraId="2CBFDA68"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47.907.651,22</w:t>
            </w:r>
          </w:p>
        </w:tc>
        <w:tc>
          <w:tcPr>
            <w:tcW w:w="1232" w:type="pct"/>
            <w:tcBorders>
              <w:top w:val="nil"/>
              <w:left w:val="nil"/>
              <w:bottom w:val="single" w:sz="4" w:space="0" w:color="auto"/>
              <w:right w:val="single" w:sz="4" w:space="0" w:color="auto"/>
            </w:tcBorders>
            <w:shd w:val="clear" w:color="000000" w:fill="FFFFFF"/>
            <w:vAlign w:val="center"/>
            <w:hideMark/>
          </w:tcPr>
          <w:p w14:paraId="572A85F8"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65.907.651,22</w:t>
            </w:r>
          </w:p>
        </w:tc>
      </w:tr>
      <w:tr w:rsidR="00C11703" w:rsidRPr="008902F2" w14:paraId="034671AC"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CC2340E"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2011</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15400E3"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27.500.000,00</w:t>
            </w:r>
          </w:p>
        </w:tc>
        <w:tc>
          <w:tcPr>
            <w:tcW w:w="1197" w:type="pct"/>
            <w:tcBorders>
              <w:top w:val="nil"/>
              <w:left w:val="nil"/>
              <w:bottom w:val="single" w:sz="4" w:space="0" w:color="auto"/>
              <w:right w:val="single" w:sz="4" w:space="0" w:color="auto"/>
            </w:tcBorders>
            <w:shd w:val="clear" w:color="000000" w:fill="FFFFFF"/>
            <w:vAlign w:val="center"/>
            <w:hideMark/>
          </w:tcPr>
          <w:p w14:paraId="4EB2CB6C"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27.474.743,68</w:t>
            </w:r>
          </w:p>
        </w:tc>
        <w:tc>
          <w:tcPr>
            <w:tcW w:w="1232" w:type="pct"/>
            <w:tcBorders>
              <w:top w:val="nil"/>
              <w:left w:val="nil"/>
              <w:bottom w:val="single" w:sz="4" w:space="0" w:color="auto"/>
              <w:right w:val="single" w:sz="4" w:space="0" w:color="auto"/>
            </w:tcBorders>
            <w:shd w:val="clear" w:color="000000" w:fill="FFFFFF"/>
            <w:vAlign w:val="center"/>
            <w:hideMark/>
          </w:tcPr>
          <w:p w14:paraId="3C32C899"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54.974.743,68</w:t>
            </w:r>
          </w:p>
        </w:tc>
      </w:tr>
      <w:tr w:rsidR="00C11703" w:rsidRPr="008902F2" w14:paraId="01393F9F"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0839007"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2012</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12392D65"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42.500.000,00</w:t>
            </w:r>
          </w:p>
        </w:tc>
        <w:tc>
          <w:tcPr>
            <w:tcW w:w="1197" w:type="pct"/>
            <w:tcBorders>
              <w:top w:val="nil"/>
              <w:left w:val="nil"/>
              <w:bottom w:val="single" w:sz="4" w:space="0" w:color="auto"/>
              <w:right w:val="single" w:sz="4" w:space="0" w:color="auto"/>
            </w:tcBorders>
            <w:shd w:val="clear" w:color="000000" w:fill="FFFFFF"/>
            <w:vAlign w:val="center"/>
            <w:hideMark/>
          </w:tcPr>
          <w:p w14:paraId="368F45CC"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40.174.832,05</w:t>
            </w:r>
          </w:p>
        </w:tc>
        <w:tc>
          <w:tcPr>
            <w:tcW w:w="1232" w:type="pct"/>
            <w:tcBorders>
              <w:top w:val="nil"/>
              <w:left w:val="nil"/>
              <w:bottom w:val="single" w:sz="4" w:space="0" w:color="auto"/>
              <w:right w:val="single" w:sz="4" w:space="0" w:color="auto"/>
            </w:tcBorders>
            <w:shd w:val="clear" w:color="000000" w:fill="FFFFFF"/>
            <w:vAlign w:val="center"/>
            <w:hideMark/>
          </w:tcPr>
          <w:p w14:paraId="31756F3D"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82.674.832,05</w:t>
            </w:r>
          </w:p>
        </w:tc>
      </w:tr>
      <w:tr w:rsidR="00C11703" w:rsidRPr="008902F2" w14:paraId="2773CDF7"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C4A5CAE"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2013</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1BD22F3E"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51.370.000,00</w:t>
            </w:r>
          </w:p>
        </w:tc>
        <w:tc>
          <w:tcPr>
            <w:tcW w:w="1197" w:type="pct"/>
            <w:tcBorders>
              <w:top w:val="nil"/>
              <w:left w:val="nil"/>
              <w:bottom w:val="single" w:sz="4" w:space="0" w:color="auto"/>
              <w:right w:val="single" w:sz="4" w:space="0" w:color="auto"/>
            </w:tcBorders>
            <w:shd w:val="clear" w:color="000000" w:fill="FFFFFF"/>
            <w:vAlign w:val="center"/>
            <w:hideMark/>
          </w:tcPr>
          <w:p w14:paraId="696B2D0F"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46.559.157,90</w:t>
            </w:r>
          </w:p>
        </w:tc>
        <w:tc>
          <w:tcPr>
            <w:tcW w:w="1232" w:type="pct"/>
            <w:tcBorders>
              <w:top w:val="nil"/>
              <w:left w:val="nil"/>
              <w:bottom w:val="single" w:sz="4" w:space="0" w:color="auto"/>
              <w:right w:val="single" w:sz="4" w:space="0" w:color="auto"/>
            </w:tcBorders>
            <w:shd w:val="clear" w:color="000000" w:fill="FFFFFF"/>
            <w:vAlign w:val="center"/>
            <w:hideMark/>
          </w:tcPr>
          <w:p w14:paraId="4FAC7E3D"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97.929.157,90</w:t>
            </w:r>
          </w:p>
        </w:tc>
      </w:tr>
      <w:tr w:rsidR="00C11703" w:rsidRPr="008902F2" w14:paraId="3C992B90"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0B15479"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2014</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E027455"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27.933.000,00</w:t>
            </w:r>
          </w:p>
        </w:tc>
        <w:tc>
          <w:tcPr>
            <w:tcW w:w="1197" w:type="pct"/>
            <w:tcBorders>
              <w:top w:val="nil"/>
              <w:left w:val="nil"/>
              <w:bottom w:val="single" w:sz="4" w:space="0" w:color="auto"/>
              <w:right w:val="single" w:sz="4" w:space="0" w:color="auto"/>
            </w:tcBorders>
            <w:shd w:val="clear" w:color="000000" w:fill="FFFFFF"/>
            <w:vAlign w:val="center"/>
            <w:hideMark/>
          </w:tcPr>
          <w:p w14:paraId="4F35BA91"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15.266.784,26</w:t>
            </w:r>
          </w:p>
        </w:tc>
        <w:tc>
          <w:tcPr>
            <w:tcW w:w="1232" w:type="pct"/>
            <w:tcBorders>
              <w:top w:val="nil"/>
              <w:left w:val="nil"/>
              <w:bottom w:val="single" w:sz="4" w:space="0" w:color="auto"/>
              <w:right w:val="single" w:sz="4" w:space="0" w:color="auto"/>
            </w:tcBorders>
            <w:shd w:val="clear" w:color="000000" w:fill="FFFFFF"/>
            <w:vAlign w:val="center"/>
            <w:hideMark/>
          </w:tcPr>
          <w:p w14:paraId="5B4336C6"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43.199.784,26</w:t>
            </w:r>
          </w:p>
        </w:tc>
      </w:tr>
      <w:tr w:rsidR="00C11703" w:rsidRPr="008902F2" w14:paraId="2BD7ECA8"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B2900C9"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2015</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F10182E"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47.480.000,00</w:t>
            </w:r>
          </w:p>
        </w:tc>
        <w:tc>
          <w:tcPr>
            <w:tcW w:w="1197" w:type="pct"/>
            <w:tcBorders>
              <w:top w:val="nil"/>
              <w:left w:val="nil"/>
              <w:bottom w:val="single" w:sz="4" w:space="0" w:color="auto"/>
              <w:right w:val="single" w:sz="4" w:space="0" w:color="auto"/>
            </w:tcBorders>
            <w:shd w:val="clear" w:color="000000" w:fill="FFFFFF"/>
            <w:vAlign w:val="center"/>
            <w:hideMark/>
          </w:tcPr>
          <w:p w14:paraId="377C6B89"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15.928.305,88</w:t>
            </w:r>
          </w:p>
        </w:tc>
        <w:tc>
          <w:tcPr>
            <w:tcW w:w="1232" w:type="pct"/>
            <w:tcBorders>
              <w:top w:val="nil"/>
              <w:left w:val="nil"/>
              <w:bottom w:val="single" w:sz="4" w:space="0" w:color="auto"/>
              <w:right w:val="single" w:sz="4" w:space="0" w:color="auto"/>
            </w:tcBorders>
            <w:shd w:val="clear" w:color="000000" w:fill="FFFFFF"/>
            <w:vAlign w:val="center"/>
            <w:hideMark/>
          </w:tcPr>
          <w:p w14:paraId="3B3643E8"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63.408.305,88</w:t>
            </w:r>
          </w:p>
        </w:tc>
      </w:tr>
      <w:tr w:rsidR="00C11703" w:rsidRPr="008902F2" w14:paraId="113B355B"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59EA68D"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2682793"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36.500.000,00</w:t>
            </w:r>
          </w:p>
        </w:tc>
        <w:tc>
          <w:tcPr>
            <w:tcW w:w="1197" w:type="pct"/>
            <w:tcBorders>
              <w:top w:val="nil"/>
              <w:left w:val="nil"/>
              <w:bottom w:val="single" w:sz="4" w:space="0" w:color="auto"/>
              <w:right w:val="single" w:sz="4" w:space="0" w:color="auto"/>
            </w:tcBorders>
            <w:shd w:val="clear" w:color="000000" w:fill="FFFFFF"/>
            <w:vAlign w:val="center"/>
            <w:hideMark/>
          </w:tcPr>
          <w:p w14:paraId="70C2D64A"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29.518.976,87</w:t>
            </w:r>
          </w:p>
        </w:tc>
        <w:tc>
          <w:tcPr>
            <w:tcW w:w="1232" w:type="pct"/>
            <w:tcBorders>
              <w:top w:val="nil"/>
              <w:left w:val="nil"/>
              <w:bottom w:val="single" w:sz="4" w:space="0" w:color="auto"/>
              <w:right w:val="single" w:sz="4" w:space="0" w:color="auto"/>
            </w:tcBorders>
            <w:shd w:val="clear" w:color="000000" w:fill="FFFFFF"/>
            <w:vAlign w:val="center"/>
            <w:hideMark/>
          </w:tcPr>
          <w:p w14:paraId="7DA3D54F"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66.018.976,87</w:t>
            </w:r>
          </w:p>
        </w:tc>
      </w:tr>
      <w:tr w:rsidR="00C11703" w:rsidRPr="008902F2" w14:paraId="5D4A4E69"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77AAF10"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289ACBD6"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18.896.300,00</w:t>
            </w:r>
          </w:p>
        </w:tc>
        <w:tc>
          <w:tcPr>
            <w:tcW w:w="1197" w:type="pct"/>
            <w:tcBorders>
              <w:top w:val="nil"/>
              <w:left w:val="nil"/>
              <w:bottom w:val="single" w:sz="4" w:space="0" w:color="auto"/>
              <w:right w:val="single" w:sz="4" w:space="0" w:color="auto"/>
            </w:tcBorders>
            <w:shd w:val="clear" w:color="000000" w:fill="FFFFFF"/>
            <w:vAlign w:val="center"/>
            <w:hideMark/>
          </w:tcPr>
          <w:p w14:paraId="558A8E1C"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34.157.312,38</w:t>
            </w:r>
          </w:p>
        </w:tc>
        <w:tc>
          <w:tcPr>
            <w:tcW w:w="1232" w:type="pct"/>
            <w:tcBorders>
              <w:top w:val="nil"/>
              <w:left w:val="nil"/>
              <w:bottom w:val="single" w:sz="4" w:space="0" w:color="auto"/>
              <w:right w:val="single" w:sz="4" w:space="0" w:color="auto"/>
            </w:tcBorders>
            <w:shd w:val="clear" w:color="000000" w:fill="FFFFFF"/>
            <w:vAlign w:val="center"/>
            <w:hideMark/>
          </w:tcPr>
          <w:p w14:paraId="3F7A98F2"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53.053.612,38</w:t>
            </w:r>
          </w:p>
        </w:tc>
      </w:tr>
      <w:tr w:rsidR="00C11703" w:rsidRPr="008902F2" w14:paraId="65353797"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6AEEB76"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2018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7F8BD51F"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47.485.800,00</w:t>
            </w:r>
          </w:p>
        </w:tc>
        <w:tc>
          <w:tcPr>
            <w:tcW w:w="1197" w:type="pct"/>
            <w:tcBorders>
              <w:top w:val="nil"/>
              <w:left w:val="nil"/>
              <w:bottom w:val="single" w:sz="4" w:space="0" w:color="auto"/>
              <w:right w:val="single" w:sz="4" w:space="0" w:color="auto"/>
            </w:tcBorders>
            <w:shd w:val="clear" w:color="000000" w:fill="FFFFFF"/>
            <w:vAlign w:val="center"/>
            <w:hideMark/>
          </w:tcPr>
          <w:p w14:paraId="327BFC80" w14:textId="77777777" w:rsidR="00C11703" w:rsidRPr="008902F2" w:rsidRDefault="00C11703" w:rsidP="00C11703">
            <w:pPr>
              <w:spacing w:after="0" w:line="240" w:lineRule="auto"/>
              <w:jc w:val="right"/>
              <w:rPr>
                <w:rFonts w:ascii="Times New Roman" w:eastAsia="Times New Roman" w:hAnsi="Times New Roman"/>
                <w:color w:val="000000"/>
                <w:lang w:val="en-GB" w:eastAsia="tr-TR"/>
              </w:rPr>
            </w:pPr>
            <w:r w:rsidRPr="008902F2">
              <w:rPr>
                <w:rFonts w:ascii="Times New Roman" w:hAnsi="Times New Roman"/>
                <w:color w:val="000000"/>
                <w:lang w:val="en-GB"/>
              </w:rPr>
              <w:t>49.604.977,77</w:t>
            </w:r>
          </w:p>
        </w:tc>
        <w:tc>
          <w:tcPr>
            <w:tcW w:w="1232" w:type="pct"/>
            <w:tcBorders>
              <w:top w:val="nil"/>
              <w:left w:val="nil"/>
              <w:bottom w:val="single" w:sz="4" w:space="0" w:color="auto"/>
              <w:right w:val="single" w:sz="4" w:space="0" w:color="auto"/>
            </w:tcBorders>
            <w:shd w:val="clear" w:color="000000" w:fill="FFFFFF"/>
            <w:vAlign w:val="center"/>
            <w:hideMark/>
          </w:tcPr>
          <w:p w14:paraId="59928640" w14:textId="77777777" w:rsidR="00C11703" w:rsidRPr="008902F2" w:rsidRDefault="00C11703" w:rsidP="00C11703">
            <w:pPr>
              <w:spacing w:after="0" w:line="240" w:lineRule="auto"/>
              <w:jc w:val="right"/>
              <w:rPr>
                <w:rFonts w:ascii="Times New Roman" w:eastAsia="Times New Roman" w:hAnsi="Times New Roman"/>
                <w:b/>
                <w:bCs/>
                <w:color w:val="000000"/>
                <w:lang w:val="en-GB" w:eastAsia="tr-TR"/>
              </w:rPr>
            </w:pPr>
            <w:r w:rsidRPr="008902F2">
              <w:rPr>
                <w:rFonts w:ascii="Times New Roman" w:hAnsi="Times New Roman"/>
                <w:b/>
                <w:color w:val="000000"/>
                <w:lang w:val="en-GB"/>
              </w:rPr>
              <w:t>97.090.777,77</w:t>
            </w:r>
          </w:p>
        </w:tc>
      </w:tr>
      <w:tr w:rsidR="00C11703" w:rsidRPr="008902F2" w14:paraId="05A017B5"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45A27CBD" w14:textId="77777777" w:rsidR="00C11703" w:rsidRPr="008902F2" w:rsidRDefault="00C11703" w:rsidP="00C11703">
            <w:pPr>
              <w:spacing w:after="0" w:line="240" w:lineRule="auto"/>
              <w:jc w:val="center"/>
              <w:rPr>
                <w:rFonts w:ascii="Times New Roman" w:eastAsia="Times New Roman" w:hAnsi="Times New Roman"/>
                <w:b/>
                <w:bCs/>
                <w:color w:val="000000" w:themeColor="text1"/>
                <w:lang w:val="en-GB" w:eastAsia="tr-TR"/>
              </w:rPr>
            </w:pPr>
            <w:r w:rsidRPr="008902F2">
              <w:rPr>
                <w:rFonts w:ascii="Times New Roman" w:eastAsia="Times New Roman" w:hAnsi="Times New Roman"/>
                <w:b/>
                <w:bCs/>
                <w:color w:val="000000" w:themeColor="text1"/>
                <w:lang w:val="en-GB" w:eastAsia="tr-TR"/>
              </w:rPr>
              <w:t>2019</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0598332F"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26.003.160,00</w:t>
            </w:r>
          </w:p>
        </w:tc>
        <w:tc>
          <w:tcPr>
            <w:tcW w:w="1197" w:type="pct"/>
            <w:tcBorders>
              <w:top w:val="nil"/>
              <w:left w:val="nil"/>
              <w:bottom w:val="single" w:sz="4" w:space="0" w:color="auto"/>
              <w:right w:val="single" w:sz="4" w:space="0" w:color="auto"/>
            </w:tcBorders>
            <w:shd w:val="clear" w:color="000000" w:fill="FFFFFF"/>
            <w:vAlign w:val="center"/>
          </w:tcPr>
          <w:p w14:paraId="3AF0415B"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48.027.983,78</w:t>
            </w:r>
          </w:p>
        </w:tc>
        <w:tc>
          <w:tcPr>
            <w:tcW w:w="1232" w:type="pct"/>
            <w:tcBorders>
              <w:top w:val="nil"/>
              <w:left w:val="nil"/>
              <w:bottom w:val="single" w:sz="4" w:space="0" w:color="auto"/>
              <w:right w:val="single" w:sz="4" w:space="0" w:color="auto"/>
            </w:tcBorders>
            <w:shd w:val="clear" w:color="000000" w:fill="FFFFFF"/>
            <w:vAlign w:val="center"/>
          </w:tcPr>
          <w:p w14:paraId="2E080B23"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color w:val="000000"/>
                <w:lang w:val="en-GB"/>
              </w:rPr>
              <w:t>74.031.143,78</w:t>
            </w:r>
          </w:p>
        </w:tc>
      </w:tr>
      <w:tr w:rsidR="00C11703" w:rsidRPr="008902F2" w14:paraId="452E9147"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69BA33FF" w14:textId="77777777" w:rsidR="00C11703" w:rsidRPr="008902F2" w:rsidRDefault="00C11703" w:rsidP="00C11703">
            <w:pPr>
              <w:spacing w:after="0" w:line="240" w:lineRule="auto"/>
              <w:jc w:val="center"/>
              <w:rPr>
                <w:rFonts w:ascii="Times New Roman" w:eastAsia="Times New Roman" w:hAnsi="Times New Roman"/>
                <w:b/>
                <w:bCs/>
                <w:color w:val="000000" w:themeColor="text1"/>
                <w:lang w:val="en-GB" w:eastAsia="tr-TR"/>
              </w:rPr>
            </w:pPr>
            <w:r w:rsidRPr="008902F2">
              <w:rPr>
                <w:rFonts w:ascii="Times New Roman" w:eastAsia="Times New Roman" w:hAnsi="Times New Roman"/>
                <w:b/>
                <w:bCs/>
                <w:color w:val="000000" w:themeColor="text1"/>
                <w:lang w:val="en-GB" w:eastAsia="tr-TR"/>
              </w:rPr>
              <w:t>2020</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2769B526"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65.500.000,00</w:t>
            </w:r>
          </w:p>
        </w:tc>
        <w:tc>
          <w:tcPr>
            <w:tcW w:w="1197" w:type="pct"/>
            <w:tcBorders>
              <w:top w:val="nil"/>
              <w:left w:val="nil"/>
              <w:bottom w:val="single" w:sz="4" w:space="0" w:color="auto"/>
              <w:right w:val="single" w:sz="4" w:space="0" w:color="auto"/>
            </w:tcBorders>
            <w:shd w:val="clear" w:color="000000" w:fill="FFFFFF"/>
            <w:vAlign w:val="center"/>
          </w:tcPr>
          <w:p w14:paraId="1D5741C8"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126.405.442,93</w:t>
            </w:r>
          </w:p>
        </w:tc>
        <w:tc>
          <w:tcPr>
            <w:tcW w:w="1232" w:type="pct"/>
            <w:tcBorders>
              <w:top w:val="nil"/>
              <w:left w:val="nil"/>
              <w:bottom w:val="single" w:sz="4" w:space="0" w:color="auto"/>
              <w:right w:val="single" w:sz="4" w:space="0" w:color="auto"/>
            </w:tcBorders>
            <w:shd w:val="clear" w:color="000000" w:fill="FFFFFF"/>
            <w:vAlign w:val="center"/>
          </w:tcPr>
          <w:p w14:paraId="37835A5E"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color w:val="000000"/>
                <w:lang w:val="en-GB"/>
              </w:rPr>
              <w:t>191.905.442,93</w:t>
            </w:r>
          </w:p>
        </w:tc>
      </w:tr>
      <w:tr w:rsidR="00C11703" w:rsidRPr="008902F2" w14:paraId="6E5F7017"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2688356C" w14:textId="77777777" w:rsidR="00C11703" w:rsidRPr="008902F2" w:rsidRDefault="00C11703" w:rsidP="00C11703">
            <w:pPr>
              <w:spacing w:after="0" w:line="240" w:lineRule="auto"/>
              <w:jc w:val="center"/>
              <w:rPr>
                <w:rFonts w:ascii="Times New Roman" w:eastAsia="Times New Roman" w:hAnsi="Times New Roman"/>
                <w:b/>
                <w:bCs/>
                <w:color w:val="000000" w:themeColor="text1"/>
                <w:lang w:val="en-GB" w:eastAsia="tr-TR"/>
              </w:rPr>
            </w:pPr>
            <w:r w:rsidRPr="008902F2">
              <w:rPr>
                <w:rFonts w:ascii="Times New Roman" w:eastAsia="Times New Roman" w:hAnsi="Times New Roman"/>
                <w:b/>
                <w:bCs/>
                <w:color w:val="000000" w:themeColor="text1"/>
                <w:lang w:val="en-GB" w:eastAsia="tr-TR"/>
              </w:rPr>
              <w:lastRenderedPageBreak/>
              <w:t>2021</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527647E6"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98.000.000,00</w:t>
            </w:r>
          </w:p>
        </w:tc>
        <w:tc>
          <w:tcPr>
            <w:tcW w:w="1197" w:type="pct"/>
            <w:tcBorders>
              <w:top w:val="nil"/>
              <w:left w:val="nil"/>
              <w:bottom w:val="single" w:sz="4" w:space="0" w:color="auto"/>
              <w:right w:val="single" w:sz="4" w:space="0" w:color="auto"/>
            </w:tcBorders>
            <w:shd w:val="clear" w:color="000000" w:fill="FFFFFF"/>
            <w:vAlign w:val="center"/>
          </w:tcPr>
          <w:p w14:paraId="1EB13054" w14:textId="77777777" w:rsidR="00C11703" w:rsidRPr="008902F2" w:rsidRDefault="00C11703" w:rsidP="00C11703">
            <w:pPr>
              <w:spacing w:after="0" w:line="240" w:lineRule="auto"/>
              <w:jc w:val="right"/>
              <w:rPr>
                <w:rFonts w:ascii="Times New Roman" w:eastAsia="Times New Roman" w:hAnsi="Times New Roman"/>
                <w:color w:val="000000" w:themeColor="text1"/>
                <w:lang w:val="en-GB" w:eastAsia="tr-TR"/>
              </w:rPr>
            </w:pPr>
            <w:r w:rsidRPr="008902F2">
              <w:rPr>
                <w:rFonts w:ascii="Times New Roman" w:hAnsi="Times New Roman"/>
                <w:color w:val="000000"/>
                <w:lang w:val="en-GB"/>
              </w:rPr>
              <w:t>131.246.953,36</w:t>
            </w:r>
          </w:p>
        </w:tc>
        <w:tc>
          <w:tcPr>
            <w:tcW w:w="1232" w:type="pct"/>
            <w:tcBorders>
              <w:top w:val="nil"/>
              <w:left w:val="nil"/>
              <w:bottom w:val="single" w:sz="4" w:space="0" w:color="auto"/>
              <w:right w:val="single" w:sz="4" w:space="0" w:color="auto"/>
            </w:tcBorders>
            <w:shd w:val="clear" w:color="000000" w:fill="FFFFFF"/>
            <w:vAlign w:val="center"/>
          </w:tcPr>
          <w:p w14:paraId="0E97BDF7"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color w:val="000000"/>
                <w:lang w:val="en-GB"/>
              </w:rPr>
              <w:t>229.246.953,36</w:t>
            </w:r>
          </w:p>
        </w:tc>
      </w:tr>
      <w:tr w:rsidR="00C11703" w:rsidRPr="008902F2" w14:paraId="6A9CFAA4"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E5C0782" w14:textId="77777777" w:rsidR="00C11703" w:rsidRPr="008902F2" w:rsidRDefault="00C11703" w:rsidP="00C11703">
            <w:pPr>
              <w:spacing w:after="0" w:line="240" w:lineRule="auto"/>
              <w:jc w:val="center"/>
              <w:rPr>
                <w:rFonts w:ascii="Times New Roman" w:eastAsia="Times New Roman" w:hAnsi="Times New Roman"/>
                <w:b/>
                <w:bCs/>
                <w:color w:val="000000" w:themeColor="text1"/>
                <w:lang w:val="en-GB" w:eastAsia="tr-TR"/>
              </w:rPr>
            </w:pPr>
            <w:r w:rsidRPr="008902F2">
              <w:rPr>
                <w:rFonts w:ascii="Times New Roman" w:eastAsia="Times New Roman" w:hAnsi="Times New Roman"/>
                <w:b/>
                <w:bCs/>
                <w:color w:val="000000" w:themeColor="text1"/>
                <w:lang w:val="en-GB" w:eastAsia="tr-TR"/>
              </w:rPr>
              <w:t>2022</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0B98E876" w14:textId="77777777" w:rsidR="00C11703" w:rsidRPr="008902F2" w:rsidRDefault="00C11703" w:rsidP="00C11703">
            <w:pPr>
              <w:spacing w:after="0" w:line="240" w:lineRule="auto"/>
              <w:jc w:val="right"/>
              <w:rPr>
                <w:rFonts w:ascii="Times New Roman" w:hAnsi="Times New Roman"/>
                <w:color w:val="000000"/>
                <w:lang w:val="en-GB"/>
              </w:rPr>
            </w:pPr>
            <w:r w:rsidRPr="008902F2">
              <w:rPr>
                <w:rFonts w:ascii="Times New Roman" w:hAnsi="Times New Roman"/>
                <w:color w:val="000000"/>
                <w:lang w:val="en-GB"/>
              </w:rPr>
              <w:t>159.000.000,00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041AAF5E" w14:textId="77777777" w:rsidR="00C11703" w:rsidRPr="008902F2" w:rsidRDefault="00C11703" w:rsidP="00C11703">
            <w:pPr>
              <w:spacing w:after="0" w:line="240" w:lineRule="auto"/>
              <w:jc w:val="right"/>
              <w:rPr>
                <w:rFonts w:ascii="Times New Roman" w:hAnsi="Times New Roman"/>
                <w:color w:val="000000"/>
                <w:lang w:val="en-GB"/>
              </w:rPr>
            </w:pPr>
            <w:r w:rsidRPr="008902F2">
              <w:rPr>
                <w:rFonts w:ascii="Times New Roman" w:hAnsi="Times New Roman"/>
                <w:color w:val="000000"/>
                <w:lang w:val="en-GB"/>
              </w:rPr>
              <w:t>310.313.822,27</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0EC65AFB" w14:textId="77777777" w:rsidR="00C11703" w:rsidRPr="008902F2" w:rsidRDefault="00C11703" w:rsidP="00C11703">
            <w:pPr>
              <w:spacing w:after="0" w:line="240" w:lineRule="auto"/>
              <w:jc w:val="right"/>
              <w:rPr>
                <w:rFonts w:ascii="Times New Roman" w:hAnsi="Times New Roman"/>
                <w:b/>
                <w:color w:val="000000"/>
                <w:lang w:val="en-GB"/>
              </w:rPr>
            </w:pPr>
            <w:r w:rsidRPr="008902F2">
              <w:rPr>
                <w:rFonts w:ascii="Times New Roman" w:hAnsi="Times New Roman"/>
                <w:b/>
                <w:color w:val="000000"/>
                <w:lang w:val="en-GB"/>
              </w:rPr>
              <w:t>469.313.822,27</w:t>
            </w:r>
          </w:p>
        </w:tc>
      </w:tr>
      <w:tr w:rsidR="00C11703" w:rsidRPr="008902F2" w14:paraId="53CB9079" w14:textId="77777777" w:rsidTr="00C11703">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3484CE8" w14:textId="77777777" w:rsidR="00C11703" w:rsidRPr="008902F2" w:rsidRDefault="00C11703" w:rsidP="00C11703">
            <w:pPr>
              <w:spacing w:after="0" w:line="240" w:lineRule="auto"/>
              <w:jc w:val="center"/>
              <w:rPr>
                <w:rFonts w:ascii="Times New Roman" w:eastAsia="Times New Roman" w:hAnsi="Times New Roman"/>
                <w:b/>
                <w:bCs/>
                <w:color w:val="000000"/>
                <w:lang w:val="en-GB" w:eastAsia="tr-TR"/>
              </w:rPr>
            </w:pPr>
            <w:r w:rsidRPr="008902F2">
              <w:rPr>
                <w:rFonts w:ascii="Times New Roman" w:eastAsia="Times New Roman" w:hAnsi="Times New Roman"/>
                <w:b/>
                <w:bCs/>
                <w:color w:val="000000" w:themeColor="text1"/>
                <w:lang w:val="en-GB" w:eastAsia="tr-TR"/>
              </w:rPr>
              <w:t>Total</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27BB2644"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bCs/>
                <w:color w:val="000000"/>
                <w:lang w:val="en-GB"/>
              </w:rPr>
              <w:t>827.856.955,86</w:t>
            </w:r>
          </w:p>
        </w:tc>
        <w:tc>
          <w:tcPr>
            <w:tcW w:w="1197" w:type="pct"/>
            <w:tcBorders>
              <w:top w:val="single" w:sz="4" w:space="0" w:color="auto"/>
              <w:left w:val="nil"/>
              <w:bottom w:val="single" w:sz="4" w:space="0" w:color="auto"/>
              <w:right w:val="single" w:sz="4" w:space="0" w:color="auto"/>
            </w:tcBorders>
            <w:shd w:val="clear" w:color="000000" w:fill="FFFFFF"/>
            <w:vAlign w:val="center"/>
          </w:tcPr>
          <w:p w14:paraId="51B7CB34"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bCs/>
                <w:color w:val="000000"/>
                <w:lang w:val="en-GB"/>
              </w:rPr>
              <w:t>1.178.689.653,93</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12FB7531" w14:textId="77777777" w:rsidR="00C11703" w:rsidRPr="008902F2" w:rsidRDefault="00C11703" w:rsidP="00C11703">
            <w:pPr>
              <w:spacing w:after="0" w:line="240" w:lineRule="auto"/>
              <w:jc w:val="right"/>
              <w:rPr>
                <w:rFonts w:ascii="Times New Roman" w:eastAsia="Times New Roman" w:hAnsi="Times New Roman"/>
                <w:b/>
                <w:bCs/>
                <w:color w:val="000000" w:themeColor="text1"/>
                <w:lang w:val="en-GB" w:eastAsia="tr-TR"/>
              </w:rPr>
            </w:pPr>
            <w:r w:rsidRPr="008902F2">
              <w:rPr>
                <w:rFonts w:ascii="Times New Roman" w:hAnsi="Times New Roman"/>
                <w:b/>
                <w:bCs/>
                <w:color w:val="000000"/>
                <w:lang w:val="en-GB"/>
              </w:rPr>
              <w:t>2.006.546.609,79</w:t>
            </w:r>
          </w:p>
        </w:tc>
      </w:tr>
    </w:tbl>
    <w:p w14:paraId="108A95DA" w14:textId="77777777" w:rsidR="00C11703" w:rsidRPr="008902F2" w:rsidRDefault="00C11703" w:rsidP="00420211">
      <w:pPr>
        <w:rPr>
          <w:rFonts w:ascii="Times New Roman" w:hAnsi="Times New Roman"/>
          <w:noProof/>
          <w:lang w:val="en-GB"/>
        </w:rPr>
      </w:pPr>
    </w:p>
    <w:p w14:paraId="2FA37D20" w14:textId="25DB5A88" w:rsidR="00C11703" w:rsidRPr="008902F2" w:rsidRDefault="00C11703" w:rsidP="00420211">
      <w:pPr>
        <w:pStyle w:val="Balk2"/>
        <w:rPr>
          <w:rFonts w:ascii="Times New Roman" w:hAnsi="Times New Roman" w:cs="Times New Roman"/>
          <w:noProof/>
          <w:lang w:val="en-GB"/>
        </w:rPr>
      </w:pPr>
      <w:bookmarkStart w:id="217" w:name="_Toc143113499"/>
      <w:r w:rsidRPr="008902F2">
        <w:rPr>
          <w:rFonts w:ascii="Times New Roman" w:hAnsi="Times New Roman" w:cs="Times New Roman"/>
          <w:noProof/>
          <w:lang w:val="en-GB"/>
        </w:rPr>
        <w:t>14.1</w:t>
      </w:r>
      <w:r w:rsidR="00ED63E2" w:rsidRPr="008902F2">
        <w:rPr>
          <w:rFonts w:ascii="Times New Roman" w:hAnsi="Times New Roman" w:cs="Times New Roman"/>
          <w:noProof/>
          <w:lang w:val="en-GB"/>
        </w:rPr>
        <w:t xml:space="preserve">. </w:t>
      </w:r>
      <w:r w:rsidRPr="008902F2">
        <w:rPr>
          <w:rFonts w:ascii="Times New Roman" w:hAnsi="Times New Roman" w:cs="Times New Roman"/>
          <w:noProof/>
          <w:lang w:val="en-GB"/>
        </w:rPr>
        <w:t>2022 Budget Implementation Results</w:t>
      </w:r>
      <w:bookmarkEnd w:id="217"/>
    </w:p>
    <w:p w14:paraId="2E03FF8E" w14:textId="77777777" w:rsidR="00C11703" w:rsidRPr="008902F2" w:rsidRDefault="00C11703" w:rsidP="00C11703">
      <w:pPr>
        <w:rPr>
          <w:rFonts w:ascii="Times New Roman" w:hAnsi="Times New Roman"/>
          <w:noProof/>
          <w:color w:val="000000" w:themeColor="text1"/>
          <w:lang w:val="en-GB"/>
        </w:rPr>
      </w:pPr>
      <w:r w:rsidRPr="008902F2">
        <w:rPr>
          <w:rFonts w:ascii="Times New Roman" w:hAnsi="Times New Roman"/>
          <w:noProof/>
          <w:color w:val="000000" w:themeColor="text1"/>
          <w:lang w:val="en-GB"/>
        </w:rPr>
        <w:t>The budget of the Authority for the year 2022 was approved in the Grand National Assembly of Türkiye(TBMM) and published in the Official Gazette dated 31.12.2021 with the number 31706 (1st Duplicate), and it entered into force on the date of 01.01.2022.</w:t>
      </w:r>
    </w:p>
    <w:p w14:paraId="6A6FB6A3" w14:textId="55A1BEE5" w:rsidR="00C11703" w:rsidRPr="008902F2" w:rsidRDefault="00C11703" w:rsidP="00420211">
      <w:pPr>
        <w:pStyle w:val="Balk3"/>
        <w:rPr>
          <w:rFonts w:ascii="Times New Roman" w:hAnsi="Times New Roman" w:cs="Times New Roman"/>
          <w:noProof/>
          <w:lang w:val="en-GB"/>
        </w:rPr>
      </w:pPr>
      <w:bookmarkStart w:id="218" w:name="_Toc143113500"/>
      <w:r w:rsidRPr="008902F2">
        <w:rPr>
          <w:rFonts w:ascii="Times New Roman" w:hAnsi="Times New Roman" w:cs="Times New Roman"/>
          <w:noProof/>
          <w:lang w:val="en-GB"/>
        </w:rPr>
        <w:t>14.1.1. Revenue Budget</w:t>
      </w:r>
      <w:bookmarkEnd w:id="218"/>
    </w:p>
    <w:p w14:paraId="5ABE7310" w14:textId="77777777" w:rsidR="00C11703" w:rsidRPr="008902F2" w:rsidRDefault="00C11703" w:rsidP="00C11703">
      <w:pPr>
        <w:tabs>
          <w:tab w:val="left" w:pos="284"/>
          <w:tab w:val="left" w:pos="567"/>
          <w:tab w:val="left" w:pos="709"/>
          <w:tab w:val="left" w:pos="851"/>
        </w:tabs>
        <w:spacing w:after="0"/>
        <w:ind w:left="284"/>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In 2022, the net budget revenues were estimated at 394.052.000,00 TL, and a net budget revenue of 880.142.588,14 TL was obtained. This resulted in a net budget revenue realization rate of 223,36%. The Authority's revenues are composed of the following elements as stated in Article 10 of Law No. 4628:</w:t>
      </w:r>
    </w:p>
    <w:p w14:paraId="57512393" w14:textId="77777777" w:rsidR="00C11703" w:rsidRPr="008902F2" w:rsidRDefault="00C11703" w:rsidP="00C11703">
      <w:pPr>
        <w:tabs>
          <w:tab w:val="left" w:pos="284"/>
          <w:tab w:val="left" w:pos="567"/>
          <w:tab w:val="left" w:pos="709"/>
          <w:tab w:val="left" w:pos="851"/>
        </w:tabs>
        <w:spacing w:after="0"/>
        <w:ind w:left="284"/>
        <w:contextualSpacing/>
        <w:rPr>
          <w:rFonts w:ascii="Times New Roman" w:hAnsi="Times New Roman"/>
          <w:noProof/>
          <w:color w:val="000000" w:themeColor="text1"/>
          <w:lang w:val="en-GB"/>
        </w:rPr>
      </w:pPr>
    </w:p>
    <w:p w14:paraId="5ECE946B" w14:textId="77777777" w:rsidR="00C11703" w:rsidRPr="008902F2" w:rsidRDefault="00C11703" w:rsidP="00C11703">
      <w:pPr>
        <w:tabs>
          <w:tab w:val="left" w:pos="284"/>
          <w:tab w:val="left" w:pos="567"/>
          <w:tab w:val="left" w:pos="709"/>
          <w:tab w:val="left" w:pos="851"/>
        </w:tabs>
        <w:spacing w:after="0"/>
        <w:ind w:left="284"/>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Fees to be collected through licenses (annual license fees in the electricity and natural gas markets; fees for obtaining, renewing, amending, and duplicating licenses in the electricity, natural gas, petroleum, and LPG markets), certificates, approvals, permits, and visa procedures (in the natural gas market),</w:t>
      </w:r>
    </w:p>
    <w:p w14:paraId="3620BACB" w14:textId="77777777" w:rsidR="00C11703" w:rsidRPr="008902F2" w:rsidRDefault="00C11703" w:rsidP="00C11703">
      <w:pPr>
        <w:tabs>
          <w:tab w:val="left" w:pos="284"/>
          <w:tab w:val="left" w:pos="567"/>
          <w:tab w:val="left" w:pos="709"/>
          <w:tab w:val="left" w:pos="851"/>
        </w:tabs>
        <w:spacing w:after="0"/>
        <w:ind w:left="284"/>
        <w:contextualSpacing/>
        <w:rPr>
          <w:rFonts w:ascii="Times New Roman" w:hAnsi="Times New Roman"/>
          <w:noProof/>
          <w:color w:val="000000" w:themeColor="text1"/>
          <w:lang w:val="en-GB"/>
        </w:rPr>
      </w:pPr>
      <w:r w:rsidRPr="008902F2">
        <w:rPr>
          <w:rFonts w:ascii="Times New Roman" w:hAnsi="Times New Roman"/>
          <w:noProof/>
          <w:color w:val="000000" w:themeColor="text1"/>
          <w:lang w:val="en-GB"/>
        </w:rPr>
        <w:t>• Participation fees (in the natural gas, petroleum, and LPG markets).</w:t>
      </w:r>
    </w:p>
    <w:p w14:paraId="20AAC322" w14:textId="77777777" w:rsidR="00C11703" w:rsidRPr="008902F2" w:rsidRDefault="00C11703" w:rsidP="00C11703">
      <w:pPr>
        <w:tabs>
          <w:tab w:val="left" w:pos="284"/>
          <w:tab w:val="left" w:pos="567"/>
          <w:tab w:val="left" w:pos="709"/>
          <w:tab w:val="left" w:pos="851"/>
        </w:tabs>
        <w:spacing w:after="0"/>
        <w:ind w:left="284"/>
        <w:contextualSpacing/>
        <w:rPr>
          <w:rFonts w:ascii="Times New Roman" w:hAnsi="Times New Roman"/>
          <w:noProof/>
          <w:color w:val="000000" w:themeColor="text1"/>
          <w:lang w:val="en-GB"/>
        </w:rPr>
      </w:pPr>
    </w:p>
    <w:p w14:paraId="520CAA78"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In the electricity market, there is no participation fee, whereas in the natural gas market, legal entities that hold licenses and certificates are liable for this fee. In the petroleum market, the liable parties for the participation fee include refiners, processors, distributors, transmission operators, transportation operators, exporters, storage entities, dealers, and natural and legal persons holding a license for mineral oil production. Under their licenses, entities conducting one or more market activities pay the participation fee based on their total net sales.</w:t>
      </w:r>
    </w:p>
    <w:p w14:paraId="4AF4A37F" w14:textId="77777777" w:rsidR="00C11703" w:rsidRPr="008902F2" w:rsidRDefault="00C11703" w:rsidP="00C11703">
      <w:pPr>
        <w:spacing w:after="0"/>
        <w:rPr>
          <w:rFonts w:ascii="Times New Roman" w:hAnsi="Times New Roman"/>
          <w:noProof/>
          <w:color w:val="000000" w:themeColor="text1"/>
          <w:lang w:val="en-GB"/>
        </w:rPr>
      </w:pPr>
    </w:p>
    <w:p w14:paraId="26311A2D"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For the LPG market, the liable parties for the participation fee are refiners, LPG market distributors, and LPG autogas dealership license holders. In the LPG market, license holders conducting one or more market activities pay the participation fee based on their total net sales.</w:t>
      </w:r>
    </w:p>
    <w:p w14:paraId="44C5FE6C" w14:textId="77777777" w:rsidR="00C11703" w:rsidRPr="008902F2" w:rsidRDefault="00C11703" w:rsidP="00C11703">
      <w:pPr>
        <w:spacing w:after="0"/>
        <w:rPr>
          <w:rFonts w:ascii="Times New Roman" w:hAnsi="Times New Roman"/>
          <w:noProof/>
          <w:color w:val="000000" w:themeColor="text1"/>
          <w:lang w:val="en-GB"/>
        </w:rPr>
      </w:pPr>
    </w:p>
    <w:p w14:paraId="7ABE5969"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However, the participation fee for the petroleum and LPG markets is determined by the Board (Energy Market Regulatory Board) as an amount not exceeding one-thousandth of the net sales amount indicated in the annual income statements of the license holders and not exceeding two million US Dollars.</w:t>
      </w:r>
    </w:p>
    <w:p w14:paraId="73790BB9" w14:textId="77777777" w:rsidR="00C11703" w:rsidRPr="008902F2" w:rsidRDefault="00C11703" w:rsidP="00C11703">
      <w:pPr>
        <w:spacing w:after="0"/>
        <w:rPr>
          <w:rFonts w:ascii="Times New Roman" w:hAnsi="Times New Roman"/>
          <w:noProof/>
          <w:color w:val="000000" w:themeColor="text1"/>
          <w:lang w:val="en-GB"/>
        </w:rPr>
      </w:pPr>
    </w:p>
    <w:p w14:paraId="05C3BEB5"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On the other hand,</w:t>
      </w:r>
    </w:p>
    <w:p w14:paraId="4177DB07" w14:textId="77777777" w:rsidR="00C11703" w:rsidRPr="008902F2" w:rsidRDefault="00C11703" w:rsidP="00C11703">
      <w:pPr>
        <w:spacing w:after="0"/>
        <w:rPr>
          <w:rFonts w:ascii="Times New Roman" w:hAnsi="Times New Roman"/>
          <w:noProof/>
          <w:color w:val="000000" w:themeColor="text1"/>
          <w:lang w:val="en-GB"/>
        </w:rPr>
      </w:pPr>
    </w:p>
    <w:p w14:paraId="2E1A7B01" w14:textId="77777777" w:rsidR="00C11703" w:rsidRPr="008902F2" w:rsidRDefault="00C11703" w:rsidP="00C11703">
      <w:pPr>
        <w:spacing w:after="0"/>
        <w:rPr>
          <w:rFonts w:ascii="Times New Roman" w:hAnsi="Times New Roman"/>
          <w:noProof/>
          <w:color w:val="000000" w:themeColor="text1"/>
          <w:lang w:val="en-GB"/>
        </w:rPr>
      </w:pPr>
    </w:p>
    <w:p w14:paraId="48ED9893"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 Transmission additional charges, up to a maximum of one percent of the electricity market transmission tariff,</w:t>
      </w:r>
    </w:p>
    <w:p w14:paraId="5E03169E"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 Twenty-five percent of the administrative fines related to the electricity market imposed by the Authority,</w:t>
      </w:r>
    </w:p>
    <w:p w14:paraId="378795B9"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 Broadcasting revenues and other revenues,</w:t>
      </w:r>
    </w:p>
    <w:p w14:paraId="6787AA61"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lastRenderedPageBreak/>
        <w:t>• Grants provided by international institutions and organizations, subject to public disclosure and used for financing studies, research, and projects related to the development of the market.</w:t>
      </w:r>
    </w:p>
    <w:p w14:paraId="5AA032B7" w14:textId="77777777" w:rsidR="00C11703" w:rsidRPr="008902F2" w:rsidRDefault="00C11703" w:rsidP="00C11703">
      <w:pPr>
        <w:spacing w:after="0"/>
        <w:rPr>
          <w:rFonts w:ascii="Times New Roman" w:hAnsi="Times New Roman"/>
          <w:noProof/>
          <w:color w:val="000000" w:themeColor="text1"/>
          <w:lang w:val="en-GB"/>
        </w:rPr>
      </w:pPr>
    </w:p>
    <w:p w14:paraId="4EC66A66"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 xml:space="preserve">are also the other income items. </w:t>
      </w:r>
    </w:p>
    <w:p w14:paraId="2CECB5AE" w14:textId="77777777" w:rsidR="00C11703" w:rsidRPr="008902F2" w:rsidRDefault="00C11703" w:rsidP="00C11703">
      <w:pPr>
        <w:spacing w:after="0"/>
        <w:rPr>
          <w:rFonts w:ascii="Times New Roman" w:hAnsi="Times New Roman"/>
          <w:noProof/>
          <w:color w:val="000000" w:themeColor="text1"/>
          <w:lang w:val="en-GB"/>
        </w:rPr>
      </w:pPr>
    </w:p>
    <w:p w14:paraId="100299E6"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The amounts applicable to the income items mentioned above for the year 2022 have been determined by the BoardDecisions.</w:t>
      </w:r>
    </w:p>
    <w:p w14:paraId="4ED6BD2F" w14:textId="77777777" w:rsidR="00C11703" w:rsidRPr="008902F2" w:rsidRDefault="00C11703" w:rsidP="00C11703">
      <w:pPr>
        <w:spacing w:after="0"/>
        <w:rPr>
          <w:rFonts w:ascii="Times New Roman" w:hAnsi="Times New Roman"/>
          <w:noProof/>
          <w:color w:val="000000" w:themeColor="text1"/>
          <w:lang w:val="en-GB"/>
        </w:rPr>
      </w:pPr>
    </w:p>
    <w:p w14:paraId="1F24897F" w14:textId="641E82D5" w:rsidR="00C11703" w:rsidRPr="008902F2" w:rsidRDefault="00C11703" w:rsidP="00420211">
      <w:pPr>
        <w:pStyle w:val="Balk3"/>
        <w:rPr>
          <w:rFonts w:ascii="Times New Roman" w:hAnsi="Times New Roman" w:cs="Times New Roman"/>
          <w:noProof/>
          <w:lang w:val="en-GB"/>
        </w:rPr>
      </w:pPr>
      <w:bookmarkStart w:id="219" w:name="_Toc143113501"/>
      <w:r w:rsidRPr="008902F2">
        <w:rPr>
          <w:rFonts w:ascii="Times New Roman" w:hAnsi="Times New Roman" w:cs="Times New Roman"/>
          <w:noProof/>
          <w:lang w:val="en-GB"/>
        </w:rPr>
        <w:t>14.1.2. Expense Budget</w:t>
      </w:r>
      <w:bookmarkEnd w:id="219"/>
    </w:p>
    <w:p w14:paraId="57BB834F" w14:textId="77777777" w:rsidR="00C11703" w:rsidRPr="008902F2" w:rsidRDefault="00C11703" w:rsidP="00C11703">
      <w:pPr>
        <w:spacing w:after="0"/>
        <w:rPr>
          <w:rFonts w:ascii="Times New Roman" w:hAnsi="Times New Roman"/>
          <w:noProof/>
          <w:color w:val="000000" w:themeColor="text1"/>
          <w:lang w:val="en-GB"/>
        </w:rPr>
      </w:pPr>
      <w:r w:rsidRPr="008902F2">
        <w:rPr>
          <w:rFonts w:ascii="Times New Roman" w:hAnsi="Times New Roman"/>
          <w:noProof/>
          <w:color w:val="000000" w:themeColor="text1"/>
          <w:lang w:val="en-GB"/>
        </w:rPr>
        <w:t>The Authority's budget for the expenses in the year 2022 was initially projected at 394.052.000,00 TL, but due to the revisions made throughout the year, this budget increased to 920.277.240,49 TL. Out of the total budget allocation, 867.613.141,43 TL was utilized, and a budget allocation of 52.664.099,06 TL was canceled at the end of the year. Thus, the expense budget realization rate at the end of the year was 94,28%.</w:t>
      </w:r>
    </w:p>
    <w:p w14:paraId="4FA9540D" w14:textId="77777777" w:rsidR="00C11703" w:rsidRPr="008902F2" w:rsidRDefault="00C11703" w:rsidP="00C11703">
      <w:pPr>
        <w:spacing w:after="0"/>
        <w:rPr>
          <w:rFonts w:ascii="Times New Roman" w:hAnsi="Times New Roman"/>
          <w:noProof/>
          <w:color w:val="000000" w:themeColor="text1"/>
          <w:lang w:val="en-GB"/>
        </w:rPr>
      </w:pPr>
    </w:p>
    <w:p w14:paraId="2FA7B204" w14:textId="2E0A5535" w:rsidR="6F691FB8" w:rsidRPr="008902F2" w:rsidRDefault="00C11703" w:rsidP="00C11703">
      <w:pPr>
        <w:rPr>
          <w:rFonts w:ascii="Times New Roman" w:eastAsia="Times New Roman" w:hAnsi="Times New Roman"/>
          <w:noProof/>
        </w:rPr>
        <w:sectPr w:rsidR="6F691FB8" w:rsidRPr="008902F2" w:rsidSect="008F5245">
          <w:footerReference w:type="first" r:id="rId43"/>
          <w:pgSz w:w="11906" w:h="16838"/>
          <w:pgMar w:top="1418" w:right="567" w:bottom="1418" w:left="1418" w:header="709" w:footer="709" w:gutter="0"/>
          <w:cols w:space="708"/>
          <w:docGrid w:linePitch="360"/>
        </w:sectPr>
      </w:pPr>
      <w:r w:rsidRPr="008902F2">
        <w:rPr>
          <w:rFonts w:ascii="Times New Roman" w:hAnsi="Times New Roman"/>
          <w:noProof/>
          <w:color w:val="000000" w:themeColor="text1"/>
          <w:lang w:val="en-GB"/>
        </w:rPr>
        <w:t>In the annex, the activity results table and balance sheet of the Authority for the years 2020-2021-2022 are given comparatively.</w:t>
      </w:r>
    </w:p>
    <w:p w14:paraId="7BC3864E" w14:textId="0759F4B7" w:rsidR="00FD0F04" w:rsidRPr="008902F2" w:rsidRDefault="005D26B0" w:rsidP="00FD0F04">
      <w:pPr>
        <w:keepNext/>
        <w:keepLines/>
        <w:spacing w:before="480" w:after="0"/>
        <w:ind w:right="-7"/>
        <w:outlineLvl w:val="0"/>
        <w:rPr>
          <w:rFonts w:ascii="Times New Roman" w:eastAsiaTheme="majorEastAsia" w:hAnsi="Times New Roman"/>
          <w:bCs/>
          <w:color w:val="365F91" w:themeColor="accent1" w:themeShade="BF"/>
          <w:sz w:val="12"/>
          <w:szCs w:val="12"/>
        </w:rPr>
      </w:pPr>
      <w:bookmarkStart w:id="220" w:name="_Toc143113502"/>
      <w:r w:rsidRPr="008902F2">
        <w:rPr>
          <w:rFonts w:ascii="Times New Roman" w:eastAsiaTheme="majorEastAsia" w:hAnsi="Times New Roman"/>
          <w:b/>
          <w:bCs/>
          <w:color w:val="000000" w:themeColor="text1"/>
        </w:rPr>
        <w:lastRenderedPageBreak/>
        <w:t>ANNEXES</w:t>
      </w:r>
      <w:bookmarkEnd w:id="220"/>
    </w:p>
    <w:p w14:paraId="17044C8F" w14:textId="77777777" w:rsidR="00FD0F04" w:rsidRPr="008902F2" w:rsidRDefault="00FD0F04" w:rsidP="00FD0F04">
      <w:pPr>
        <w:rPr>
          <w:rFonts w:ascii="Times New Roman" w:hAnsi="Times New Roman"/>
          <w:b/>
          <w:sz w:val="18"/>
          <w:szCs w:val="18"/>
        </w:rPr>
      </w:pPr>
      <w:r w:rsidRPr="008902F2">
        <w:rPr>
          <w:rFonts w:ascii="Times New Roman" w:hAnsi="Times New Roman"/>
          <w:b/>
          <w:sz w:val="18"/>
          <w:szCs w:val="18"/>
        </w:rPr>
        <w:t xml:space="preserve">                                                                                                                    ENERGY MARKET REGULATORY AUTHORITY ACTIVITY RESULTS TABLE (TL)*</w:t>
      </w:r>
    </w:p>
    <w:tbl>
      <w:tblPr>
        <w:tblW w:w="5144" w:type="pct"/>
        <w:tblInd w:w="-616" w:type="dxa"/>
        <w:tblCellMar>
          <w:left w:w="70" w:type="dxa"/>
          <w:right w:w="70" w:type="dxa"/>
        </w:tblCellMar>
        <w:tblLook w:val="04A0" w:firstRow="1" w:lastRow="0" w:firstColumn="1" w:lastColumn="0" w:noHBand="0" w:noVBand="1"/>
      </w:tblPr>
      <w:tblGrid>
        <w:gridCol w:w="368"/>
        <w:gridCol w:w="286"/>
        <w:gridCol w:w="290"/>
        <w:gridCol w:w="322"/>
        <w:gridCol w:w="3525"/>
        <w:gridCol w:w="260"/>
        <w:gridCol w:w="871"/>
        <w:gridCol w:w="299"/>
        <w:gridCol w:w="832"/>
        <w:gridCol w:w="296"/>
        <w:gridCol w:w="835"/>
        <w:gridCol w:w="146"/>
        <w:gridCol w:w="420"/>
        <w:gridCol w:w="312"/>
        <w:gridCol w:w="312"/>
        <w:gridCol w:w="85"/>
        <w:gridCol w:w="229"/>
        <w:gridCol w:w="75"/>
        <w:gridCol w:w="238"/>
        <w:gridCol w:w="69"/>
        <w:gridCol w:w="310"/>
        <w:gridCol w:w="310"/>
        <w:gridCol w:w="2162"/>
        <w:gridCol w:w="630"/>
        <w:gridCol w:w="503"/>
        <w:gridCol w:w="656"/>
        <w:gridCol w:w="526"/>
        <w:gridCol w:w="627"/>
        <w:gridCol w:w="506"/>
        <w:gridCol w:w="26"/>
      </w:tblGrid>
      <w:tr w:rsidR="005D26B0" w:rsidRPr="008902F2" w14:paraId="58731D5D" w14:textId="77777777" w:rsidTr="005D26B0">
        <w:trPr>
          <w:trHeight w:val="23"/>
        </w:trPr>
        <w:tc>
          <w:tcPr>
            <w:tcW w:w="113" w:type="pct"/>
            <w:tcBorders>
              <w:top w:val="nil"/>
              <w:left w:val="nil"/>
              <w:bottom w:val="nil"/>
              <w:right w:val="nil"/>
            </w:tcBorders>
            <w:shd w:val="clear" w:color="auto" w:fill="auto"/>
            <w:noWrap/>
            <w:vAlign w:val="bottom"/>
            <w:hideMark/>
          </w:tcPr>
          <w:p w14:paraId="1AF9C4E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77" w:type="pct"/>
            <w:gridSpan w:val="2"/>
            <w:tcBorders>
              <w:top w:val="nil"/>
              <w:left w:val="nil"/>
              <w:bottom w:val="nil"/>
              <w:right w:val="nil"/>
            </w:tcBorders>
            <w:shd w:val="clear" w:color="auto" w:fill="auto"/>
            <w:noWrap/>
            <w:vAlign w:val="bottom"/>
            <w:hideMark/>
          </w:tcPr>
          <w:p w14:paraId="7B044355"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9" w:type="pct"/>
            <w:tcBorders>
              <w:top w:val="nil"/>
              <w:left w:val="nil"/>
              <w:bottom w:val="nil"/>
              <w:right w:val="nil"/>
            </w:tcBorders>
            <w:shd w:val="clear" w:color="auto" w:fill="auto"/>
            <w:noWrap/>
            <w:vAlign w:val="bottom"/>
            <w:hideMark/>
          </w:tcPr>
          <w:p w14:paraId="6D981D85"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1160" w:type="pct"/>
            <w:gridSpan w:val="2"/>
            <w:tcBorders>
              <w:top w:val="nil"/>
              <w:left w:val="nil"/>
              <w:bottom w:val="nil"/>
              <w:right w:val="nil"/>
            </w:tcBorders>
            <w:shd w:val="clear" w:color="auto" w:fill="auto"/>
            <w:noWrap/>
            <w:vAlign w:val="bottom"/>
            <w:hideMark/>
          </w:tcPr>
          <w:p w14:paraId="7FB16B14"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59" w:type="pct"/>
            <w:gridSpan w:val="2"/>
            <w:tcBorders>
              <w:top w:val="nil"/>
              <w:left w:val="nil"/>
              <w:bottom w:val="nil"/>
              <w:right w:val="nil"/>
            </w:tcBorders>
            <w:shd w:val="clear" w:color="auto" w:fill="auto"/>
            <w:noWrap/>
            <w:vAlign w:val="bottom"/>
            <w:hideMark/>
          </w:tcPr>
          <w:p w14:paraId="5465D088"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6" w:type="pct"/>
            <w:gridSpan w:val="2"/>
            <w:tcBorders>
              <w:top w:val="nil"/>
              <w:left w:val="nil"/>
              <w:bottom w:val="nil"/>
              <w:right w:val="nil"/>
            </w:tcBorders>
            <w:shd w:val="clear" w:color="auto" w:fill="auto"/>
            <w:noWrap/>
            <w:vAlign w:val="bottom"/>
            <w:hideMark/>
          </w:tcPr>
          <w:p w14:paraId="60FDCB65"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425" w:type="pct"/>
            <w:gridSpan w:val="3"/>
            <w:tcBorders>
              <w:top w:val="nil"/>
              <w:left w:val="nil"/>
              <w:bottom w:val="nil"/>
              <w:right w:val="nil"/>
            </w:tcBorders>
            <w:shd w:val="clear" w:color="auto" w:fill="auto"/>
            <w:noWrap/>
            <w:vAlign w:val="bottom"/>
            <w:hideMark/>
          </w:tcPr>
          <w:p w14:paraId="0370C14E"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17B4781F"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122" w:type="pct"/>
            <w:gridSpan w:val="2"/>
            <w:tcBorders>
              <w:top w:val="nil"/>
              <w:left w:val="nil"/>
              <w:bottom w:val="nil"/>
              <w:right w:val="nil"/>
            </w:tcBorders>
            <w:shd w:val="clear" w:color="auto" w:fill="auto"/>
            <w:noWrap/>
            <w:vAlign w:val="bottom"/>
            <w:hideMark/>
          </w:tcPr>
          <w:p w14:paraId="01710C3E"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3" w:type="pct"/>
            <w:gridSpan w:val="2"/>
            <w:tcBorders>
              <w:top w:val="nil"/>
              <w:left w:val="nil"/>
              <w:bottom w:val="nil"/>
              <w:right w:val="nil"/>
            </w:tcBorders>
            <w:shd w:val="clear" w:color="auto" w:fill="auto"/>
            <w:noWrap/>
            <w:vAlign w:val="bottom"/>
            <w:hideMark/>
          </w:tcPr>
          <w:p w14:paraId="68EF44DE"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4" w:type="pct"/>
            <w:gridSpan w:val="2"/>
            <w:tcBorders>
              <w:top w:val="nil"/>
              <w:left w:val="nil"/>
              <w:bottom w:val="nil"/>
              <w:right w:val="nil"/>
            </w:tcBorders>
            <w:shd w:val="clear" w:color="auto" w:fill="auto"/>
            <w:noWrap/>
            <w:vAlign w:val="bottom"/>
            <w:hideMark/>
          </w:tcPr>
          <w:p w14:paraId="3E31E825"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5" w:type="pct"/>
            <w:tcBorders>
              <w:top w:val="nil"/>
              <w:left w:val="nil"/>
              <w:bottom w:val="nil"/>
              <w:right w:val="nil"/>
            </w:tcBorders>
            <w:shd w:val="clear" w:color="auto" w:fill="auto"/>
            <w:noWrap/>
            <w:vAlign w:val="bottom"/>
            <w:hideMark/>
          </w:tcPr>
          <w:p w14:paraId="1BA39D2C"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5" w:type="pct"/>
            <w:tcBorders>
              <w:top w:val="nil"/>
              <w:left w:val="nil"/>
              <w:bottom w:val="nil"/>
              <w:right w:val="nil"/>
            </w:tcBorders>
            <w:shd w:val="clear" w:color="auto" w:fill="auto"/>
            <w:noWrap/>
            <w:vAlign w:val="bottom"/>
            <w:hideMark/>
          </w:tcPr>
          <w:p w14:paraId="6ED170A1"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855" w:type="pct"/>
            <w:gridSpan w:val="2"/>
            <w:tcBorders>
              <w:top w:val="nil"/>
              <w:left w:val="nil"/>
              <w:bottom w:val="nil"/>
              <w:right w:val="nil"/>
            </w:tcBorders>
            <w:shd w:val="clear" w:color="auto" w:fill="auto"/>
            <w:noWrap/>
            <w:vAlign w:val="bottom"/>
            <w:hideMark/>
          </w:tcPr>
          <w:p w14:paraId="73DAD3E9"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55" w:type="pct"/>
            <w:gridSpan w:val="2"/>
            <w:tcBorders>
              <w:top w:val="nil"/>
              <w:left w:val="nil"/>
              <w:bottom w:val="nil"/>
              <w:right w:val="nil"/>
            </w:tcBorders>
            <w:shd w:val="clear" w:color="auto" w:fill="auto"/>
            <w:noWrap/>
            <w:vAlign w:val="bottom"/>
            <w:hideMark/>
          </w:tcPr>
          <w:p w14:paraId="2D008290"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53" w:type="pct"/>
            <w:gridSpan w:val="2"/>
            <w:tcBorders>
              <w:top w:val="nil"/>
              <w:left w:val="nil"/>
              <w:bottom w:val="nil"/>
              <w:right w:val="nil"/>
            </w:tcBorders>
            <w:shd w:val="clear" w:color="auto" w:fill="auto"/>
            <w:noWrap/>
            <w:vAlign w:val="bottom"/>
            <w:hideMark/>
          </w:tcPr>
          <w:p w14:paraId="079D9DF7"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164" w:type="pct"/>
            <w:gridSpan w:val="2"/>
            <w:tcBorders>
              <w:top w:val="nil"/>
              <w:left w:val="nil"/>
              <w:bottom w:val="nil"/>
              <w:right w:val="nil"/>
            </w:tcBorders>
            <w:shd w:val="clear" w:color="auto" w:fill="auto"/>
            <w:noWrap/>
            <w:vAlign w:val="bottom"/>
            <w:hideMark/>
          </w:tcPr>
          <w:p w14:paraId="44C1C36E"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(TL)</w:t>
            </w:r>
          </w:p>
        </w:tc>
      </w:tr>
      <w:tr w:rsidR="00FD0F04" w:rsidRPr="008902F2" w14:paraId="44C26CC4" w14:textId="77777777" w:rsidTr="005D26B0">
        <w:trPr>
          <w:gridAfter w:val="1"/>
          <w:wAfter w:w="8" w:type="pct"/>
          <w:trHeight w:val="23"/>
        </w:trPr>
        <w:tc>
          <w:tcPr>
            <w:tcW w:w="1469" w:type="pct"/>
            <w:gridSpan w:val="5"/>
            <w:tcBorders>
              <w:top w:val="single" w:sz="8" w:space="0" w:color="auto"/>
              <w:left w:val="single" w:sz="8" w:space="0" w:color="auto"/>
              <w:bottom w:val="single" w:sz="8" w:space="0" w:color="auto"/>
              <w:right w:val="nil"/>
            </w:tcBorders>
            <w:shd w:val="clear" w:color="auto" w:fill="auto"/>
            <w:noWrap/>
            <w:vAlign w:val="center"/>
            <w:hideMark/>
          </w:tcPr>
          <w:p w14:paraId="533A60C9"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TYPE OF EXPENSE</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019FDD5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31.12.2020</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6CFBB9D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31.12.2021</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10150F0D"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31.12.2022</w:t>
            </w:r>
          </w:p>
        </w:tc>
        <w:tc>
          <w:tcPr>
            <w:tcW w:w="40" w:type="pct"/>
            <w:tcBorders>
              <w:top w:val="nil"/>
              <w:left w:val="nil"/>
              <w:bottom w:val="nil"/>
              <w:right w:val="nil"/>
            </w:tcBorders>
            <w:shd w:val="clear" w:color="auto" w:fill="auto"/>
            <w:noWrap/>
            <w:vAlign w:val="bottom"/>
            <w:hideMark/>
          </w:tcPr>
          <w:p w14:paraId="12EF2FAE" w14:textId="77777777" w:rsidR="00FD0F04" w:rsidRPr="008902F2" w:rsidRDefault="00FD0F04" w:rsidP="00FD0F04">
            <w:pPr>
              <w:spacing w:after="0" w:line="240" w:lineRule="auto"/>
              <w:jc w:val="center"/>
              <w:rPr>
                <w:rFonts w:ascii="Times New Roman" w:eastAsia="Times New Roman" w:hAnsi="Times New Roman"/>
                <w:b/>
                <w:bCs/>
                <w:sz w:val="14"/>
                <w:szCs w:val="14"/>
                <w:lang w:eastAsia="tr-TR"/>
              </w:rPr>
            </w:pPr>
          </w:p>
        </w:tc>
        <w:tc>
          <w:tcPr>
            <w:tcW w:w="513" w:type="pct"/>
            <w:gridSpan w:val="7"/>
            <w:tcBorders>
              <w:top w:val="single" w:sz="8" w:space="0" w:color="auto"/>
              <w:left w:val="single" w:sz="8" w:space="0" w:color="auto"/>
              <w:bottom w:val="single" w:sz="8" w:space="0" w:color="auto"/>
              <w:right w:val="nil"/>
            </w:tcBorders>
            <w:shd w:val="clear" w:color="auto" w:fill="auto"/>
            <w:noWrap/>
            <w:vAlign w:val="center"/>
            <w:hideMark/>
          </w:tcPr>
          <w:p w14:paraId="7D04E466"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TYPE OF INCOME</w:t>
            </w:r>
          </w:p>
        </w:tc>
        <w:tc>
          <w:tcPr>
            <w:tcW w:w="873" w:type="pct"/>
            <w:gridSpan w:val="4"/>
            <w:tcBorders>
              <w:top w:val="single" w:sz="8" w:space="0" w:color="auto"/>
              <w:left w:val="nil"/>
              <w:bottom w:val="single" w:sz="8" w:space="0" w:color="auto"/>
              <w:right w:val="nil"/>
            </w:tcBorders>
            <w:shd w:val="clear" w:color="auto" w:fill="auto"/>
            <w:noWrap/>
            <w:vAlign w:val="bottom"/>
            <w:hideMark/>
          </w:tcPr>
          <w:p w14:paraId="3FBB141E"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 </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06FF8E81"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31.12.2020</w:t>
            </w:r>
          </w:p>
        </w:tc>
        <w:tc>
          <w:tcPr>
            <w:tcW w:w="362" w:type="pct"/>
            <w:gridSpan w:val="2"/>
            <w:tcBorders>
              <w:top w:val="single" w:sz="8" w:space="0" w:color="auto"/>
              <w:left w:val="nil"/>
              <w:bottom w:val="single" w:sz="8" w:space="0" w:color="auto"/>
              <w:right w:val="single" w:sz="8" w:space="0" w:color="auto"/>
            </w:tcBorders>
            <w:shd w:val="clear" w:color="auto" w:fill="auto"/>
            <w:noWrap/>
            <w:vAlign w:val="center"/>
            <w:hideMark/>
          </w:tcPr>
          <w:p w14:paraId="150AA8E8"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31.12.2021</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hideMark/>
          </w:tcPr>
          <w:p w14:paraId="54FE8F0B"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31.12.2022</w:t>
            </w:r>
          </w:p>
        </w:tc>
      </w:tr>
      <w:tr w:rsidR="00FD0F04" w:rsidRPr="008902F2" w14:paraId="4F276C6B"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71D377E3"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58AB33C1"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01</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3AED495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3C240485"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Personnel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CE41B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85.522.106,32</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FBB52A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102.644.563,64</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05DEC30"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186.565.478,87</w:t>
            </w:r>
          </w:p>
        </w:tc>
        <w:tc>
          <w:tcPr>
            <w:tcW w:w="40" w:type="pct"/>
            <w:tcBorders>
              <w:top w:val="nil"/>
              <w:left w:val="nil"/>
              <w:bottom w:val="nil"/>
              <w:right w:val="nil"/>
            </w:tcBorders>
            <w:shd w:val="clear" w:color="auto" w:fill="auto"/>
            <w:noWrap/>
            <w:vAlign w:val="bottom"/>
            <w:hideMark/>
          </w:tcPr>
          <w:p w14:paraId="5E3AD762"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1265C4D0"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653C1CDA"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4E2BC75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008C116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884755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2C97153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Enterprise and Property Incomes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3B153582"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361.035.018,60</w:t>
            </w:r>
          </w:p>
        </w:tc>
        <w:tc>
          <w:tcPr>
            <w:tcW w:w="362" w:type="pct"/>
            <w:gridSpan w:val="2"/>
            <w:tcBorders>
              <w:top w:val="nil"/>
              <w:left w:val="nil"/>
              <w:bottom w:val="single" w:sz="4" w:space="0" w:color="auto"/>
              <w:right w:val="single" w:sz="8" w:space="0" w:color="auto"/>
            </w:tcBorders>
            <w:shd w:val="clear" w:color="auto" w:fill="auto"/>
            <w:noWrap/>
            <w:vAlign w:val="center"/>
          </w:tcPr>
          <w:p w14:paraId="37B2949B"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408.218.242,29</w:t>
            </w:r>
          </w:p>
        </w:tc>
        <w:tc>
          <w:tcPr>
            <w:tcW w:w="347" w:type="pct"/>
            <w:gridSpan w:val="2"/>
            <w:tcBorders>
              <w:top w:val="nil"/>
              <w:left w:val="nil"/>
              <w:bottom w:val="single" w:sz="4" w:space="0" w:color="auto"/>
              <w:right w:val="single" w:sz="8" w:space="0" w:color="auto"/>
            </w:tcBorders>
            <w:shd w:val="clear" w:color="auto" w:fill="auto"/>
            <w:noWrap/>
            <w:vAlign w:val="center"/>
          </w:tcPr>
          <w:p w14:paraId="58FBCE5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771.423.831,66</w:t>
            </w:r>
          </w:p>
        </w:tc>
      </w:tr>
      <w:tr w:rsidR="00FD0F04" w:rsidRPr="008902F2" w14:paraId="1E0B92FD"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36772109"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133B19C8"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02</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5D58DA6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34BEBB71"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To Social Security Institutions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29AFB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10.880.196,64</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E472599"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12.881.801,31</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2A7A2CCF"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22.170.753,69</w:t>
            </w:r>
          </w:p>
        </w:tc>
        <w:tc>
          <w:tcPr>
            <w:tcW w:w="40" w:type="pct"/>
            <w:tcBorders>
              <w:top w:val="nil"/>
              <w:left w:val="nil"/>
              <w:bottom w:val="nil"/>
              <w:right w:val="nil"/>
            </w:tcBorders>
            <w:shd w:val="clear" w:color="auto" w:fill="auto"/>
            <w:noWrap/>
            <w:vAlign w:val="bottom"/>
            <w:hideMark/>
          </w:tcPr>
          <w:p w14:paraId="2C15CCF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5B64789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3874264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5AED6CA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16EFE7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7A25F2D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1CE26F3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Goods and Services Sales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35D03DC2"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420,00</w:t>
            </w:r>
          </w:p>
        </w:tc>
        <w:tc>
          <w:tcPr>
            <w:tcW w:w="362" w:type="pct"/>
            <w:gridSpan w:val="2"/>
            <w:tcBorders>
              <w:top w:val="nil"/>
              <w:left w:val="nil"/>
              <w:bottom w:val="single" w:sz="4" w:space="0" w:color="auto"/>
              <w:right w:val="single" w:sz="8" w:space="0" w:color="auto"/>
            </w:tcBorders>
            <w:shd w:val="clear" w:color="auto" w:fill="auto"/>
            <w:noWrap/>
            <w:vAlign w:val="center"/>
          </w:tcPr>
          <w:p w14:paraId="10DE1398"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0,00</w:t>
            </w:r>
          </w:p>
        </w:tc>
        <w:tc>
          <w:tcPr>
            <w:tcW w:w="347" w:type="pct"/>
            <w:gridSpan w:val="2"/>
            <w:tcBorders>
              <w:top w:val="nil"/>
              <w:left w:val="nil"/>
              <w:bottom w:val="single" w:sz="4" w:space="0" w:color="auto"/>
              <w:right w:val="single" w:sz="8" w:space="0" w:color="auto"/>
            </w:tcBorders>
            <w:shd w:val="clear" w:color="auto" w:fill="auto"/>
            <w:noWrap/>
            <w:vAlign w:val="center"/>
          </w:tcPr>
          <w:p w14:paraId="32A2791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0,00</w:t>
            </w:r>
          </w:p>
        </w:tc>
      </w:tr>
      <w:tr w:rsidR="00FD0F04" w:rsidRPr="008902F2" w14:paraId="53DDF2AC"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3D12B98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1263F35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1F7B2A2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530CA99A"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Goods and Services Purchase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D362D2"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124.004.943,99</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382DF0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136.837.583,54</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EB2764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197.716.443,82</w:t>
            </w:r>
          </w:p>
        </w:tc>
        <w:tc>
          <w:tcPr>
            <w:tcW w:w="40" w:type="pct"/>
            <w:tcBorders>
              <w:top w:val="nil"/>
              <w:left w:val="nil"/>
              <w:bottom w:val="nil"/>
              <w:right w:val="nil"/>
            </w:tcBorders>
            <w:shd w:val="clear" w:color="auto" w:fill="auto"/>
            <w:noWrap/>
            <w:vAlign w:val="bottom"/>
            <w:hideMark/>
          </w:tcPr>
          <w:p w14:paraId="1F70ECFF"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4A40ACB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2E2E6CD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4611C90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3359B40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35B9FD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hideMark/>
          </w:tcPr>
          <w:p w14:paraId="3D10099F"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hAnsi="Times New Roman"/>
                <w:sz w:val="14"/>
                <w:szCs w:val="14"/>
              </w:rPr>
              <w:t>Permission to Use or Operate Goods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2B4DDEAC"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361.034.598,60</w:t>
            </w:r>
          </w:p>
        </w:tc>
        <w:tc>
          <w:tcPr>
            <w:tcW w:w="362" w:type="pct"/>
            <w:gridSpan w:val="2"/>
            <w:tcBorders>
              <w:top w:val="nil"/>
              <w:left w:val="nil"/>
              <w:bottom w:val="single" w:sz="4" w:space="0" w:color="auto"/>
              <w:right w:val="single" w:sz="8" w:space="0" w:color="auto"/>
            </w:tcBorders>
            <w:shd w:val="clear" w:color="auto" w:fill="auto"/>
            <w:noWrap/>
            <w:vAlign w:val="center"/>
          </w:tcPr>
          <w:p w14:paraId="65643204"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408.156.239,79</w:t>
            </w:r>
          </w:p>
        </w:tc>
        <w:tc>
          <w:tcPr>
            <w:tcW w:w="347" w:type="pct"/>
            <w:gridSpan w:val="2"/>
            <w:tcBorders>
              <w:top w:val="nil"/>
              <w:left w:val="nil"/>
              <w:bottom w:val="single" w:sz="4" w:space="0" w:color="auto"/>
              <w:right w:val="single" w:sz="8" w:space="0" w:color="auto"/>
            </w:tcBorders>
            <w:shd w:val="clear" w:color="auto" w:fill="auto"/>
            <w:noWrap/>
            <w:vAlign w:val="center"/>
          </w:tcPr>
          <w:p w14:paraId="4FDFB2DF"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771.297.284,20</w:t>
            </w:r>
          </w:p>
        </w:tc>
      </w:tr>
      <w:tr w:rsidR="00FD0F04" w:rsidRPr="008902F2" w14:paraId="690E5946"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04B38C4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xml:space="preserve">630 </w:t>
            </w:r>
          </w:p>
        </w:tc>
        <w:tc>
          <w:tcPr>
            <w:tcW w:w="88" w:type="pct"/>
            <w:tcBorders>
              <w:top w:val="nil"/>
              <w:left w:val="nil"/>
              <w:bottom w:val="single" w:sz="4" w:space="0" w:color="auto"/>
              <w:right w:val="nil"/>
            </w:tcBorders>
            <w:shd w:val="clear" w:color="auto" w:fill="auto"/>
            <w:noWrap/>
            <w:vAlign w:val="bottom"/>
            <w:hideMark/>
          </w:tcPr>
          <w:p w14:paraId="7719207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19FF303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1179" w:type="pct"/>
            <w:gridSpan w:val="2"/>
            <w:tcBorders>
              <w:top w:val="nil"/>
              <w:left w:val="nil"/>
              <w:bottom w:val="single" w:sz="4" w:space="0" w:color="auto"/>
              <w:right w:val="nil"/>
            </w:tcBorders>
            <w:shd w:val="clear" w:color="auto" w:fill="auto"/>
            <w:noWrap/>
            <w:hideMark/>
          </w:tcPr>
          <w:p w14:paraId="6DE8EC9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Purchase of Consumption Goods and Materials.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C860ED"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5.114.682,12</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13B2D7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5.230.686,33</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064B8E51"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14.614.136,92</w:t>
            </w:r>
          </w:p>
        </w:tc>
        <w:tc>
          <w:tcPr>
            <w:tcW w:w="40" w:type="pct"/>
            <w:tcBorders>
              <w:top w:val="nil"/>
              <w:left w:val="nil"/>
              <w:bottom w:val="nil"/>
              <w:right w:val="nil"/>
            </w:tcBorders>
            <w:shd w:val="clear" w:color="auto" w:fill="auto"/>
            <w:noWrap/>
            <w:vAlign w:val="bottom"/>
            <w:hideMark/>
          </w:tcPr>
          <w:p w14:paraId="1B9F5E8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4BF9C46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47F12E3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0A87AD2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20BA17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33D3C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10</w:t>
            </w:r>
          </w:p>
        </w:tc>
        <w:tc>
          <w:tcPr>
            <w:tcW w:w="873" w:type="pct"/>
            <w:gridSpan w:val="4"/>
            <w:tcBorders>
              <w:top w:val="nil"/>
              <w:left w:val="nil"/>
              <w:bottom w:val="single" w:sz="4" w:space="0" w:color="auto"/>
              <w:right w:val="nil"/>
            </w:tcBorders>
            <w:shd w:val="clear" w:color="auto" w:fill="auto"/>
            <w:noWrap/>
            <w:hideMark/>
          </w:tcPr>
          <w:p w14:paraId="3F533D2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Electricity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775DB41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61.238.920,15</w:t>
            </w:r>
          </w:p>
        </w:tc>
        <w:tc>
          <w:tcPr>
            <w:tcW w:w="362" w:type="pct"/>
            <w:gridSpan w:val="2"/>
            <w:tcBorders>
              <w:top w:val="nil"/>
              <w:left w:val="nil"/>
              <w:bottom w:val="single" w:sz="4" w:space="0" w:color="auto"/>
              <w:right w:val="single" w:sz="8" w:space="0" w:color="auto"/>
            </w:tcBorders>
            <w:shd w:val="clear" w:color="auto" w:fill="auto"/>
            <w:noWrap/>
            <w:vAlign w:val="center"/>
          </w:tcPr>
          <w:p w14:paraId="60D3D084"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71.307.240,85</w:t>
            </w:r>
          </w:p>
        </w:tc>
        <w:tc>
          <w:tcPr>
            <w:tcW w:w="347" w:type="pct"/>
            <w:gridSpan w:val="2"/>
            <w:tcBorders>
              <w:top w:val="nil"/>
              <w:left w:val="nil"/>
              <w:bottom w:val="single" w:sz="4" w:space="0" w:color="auto"/>
              <w:right w:val="single" w:sz="8" w:space="0" w:color="auto"/>
            </w:tcBorders>
            <w:shd w:val="clear" w:color="auto" w:fill="auto"/>
            <w:noWrap/>
            <w:vAlign w:val="center"/>
          </w:tcPr>
          <w:p w14:paraId="38F34E44"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209.913.246,46</w:t>
            </w:r>
          </w:p>
        </w:tc>
      </w:tr>
      <w:tr w:rsidR="00FD0F04" w:rsidRPr="008902F2" w14:paraId="477A7EE9"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6683B2B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656BD99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758852A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1179" w:type="pct"/>
            <w:gridSpan w:val="2"/>
            <w:tcBorders>
              <w:top w:val="nil"/>
              <w:left w:val="nil"/>
              <w:bottom w:val="single" w:sz="4" w:space="0" w:color="auto"/>
              <w:right w:val="nil"/>
            </w:tcBorders>
            <w:shd w:val="clear" w:color="auto" w:fill="auto"/>
            <w:noWrap/>
            <w:hideMark/>
          </w:tcPr>
          <w:p w14:paraId="09D77264" w14:textId="7050D817" w:rsidR="00FD0F04" w:rsidRPr="008902F2" w:rsidRDefault="006378D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Travel Allowances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4C0FEA"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254.700,59</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660B5694"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713.646,76</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5C054C0C"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3.949.541,55</w:t>
            </w:r>
          </w:p>
        </w:tc>
        <w:tc>
          <w:tcPr>
            <w:tcW w:w="40" w:type="pct"/>
            <w:tcBorders>
              <w:top w:val="nil"/>
              <w:left w:val="nil"/>
              <w:bottom w:val="nil"/>
              <w:right w:val="nil"/>
            </w:tcBorders>
            <w:shd w:val="clear" w:color="auto" w:fill="auto"/>
            <w:noWrap/>
            <w:vAlign w:val="bottom"/>
            <w:hideMark/>
          </w:tcPr>
          <w:p w14:paraId="524351D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7BA8352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7F0CA11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228BD92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A15734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53F4055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11</w:t>
            </w:r>
          </w:p>
        </w:tc>
        <w:tc>
          <w:tcPr>
            <w:tcW w:w="873" w:type="pct"/>
            <w:gridSpan w:val="4"/>
            <w:tcBorders>
              <w:top w:val="nil"/>
              <w:left w:val="nil"/>
              <w:bottom w:val="single" w:sz="4" w:space="0" w:color="auto"/>
              <w:right w:val="nil"/>
            </w:tcBorders>
            <w:shd w:val="clear" w:color="auto" w:fill="auto"/>
            <w:noWrap/>
            <w:hideMark/>
          </w:tcPr>
          <w:p w14:paraId="537CD9C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Natural Gas Market License and Ser.Gel.</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77BC8475"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67.580.050,53</w:t>
            </w:r>
          </w:p>
        </w:tc>
        <w:tc>
          <w:tcPr>
            <w:tcW w:w="362" w:type="pct"/>
            <w:gridSpan w:val="2"/>
            <w:tcBorders>
              <w:top w:val="nil"/>
              <w:left w:val="nil"/>
              <w:bottom w:val="single" w:sz="4" w:space="0" w:color="auto"/>
              <w:right w:val="single" w:sz="8" w:space="0" w:color="auto"/>
            </w:tcBorders>
            <w:shd w:val="clear" w:color="auto" w:fill="auto"/>
            <w:noWrap/>
            <w:vAlign w:val="center"/>
          </w:tcPr>
          <w:p w14:paraId="1632676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79.854.908,21</w:t>
            </w:r>
          </w:p>
        </w:tc>
        <w:tc>
          <w:tcPr>
            <w:tcW w:w="347" w:type="pct"/>
            <w:gridSpan w:val="2"/>
            <w:tcBorders>
              <w:top w:val="nil"/>
              <w:left w:val="nil"/>
              <w:bottom w:val="single" w:sz="4" w:space="0" w:color="auto"/>
              <w:right w:val="single" w:sz="8" w:space="0" w:color="auto"/>
            </w:tcBorders>
            <w:shd w:val="clear" w:color="auto" w:fill="auto"/>
            <w:noWrap/>
            <w:vAlign w:val="center"/>
          </w:tcPr>
          <w:p w14:paraId="26B6A23B"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145.747.404,82</w:t>
            </w:r>
          </w:p>
        </w:tc>
      </w:tr>
      <w:tr w:rsidR="00FD0F04" w:rsidRPr="008902F2" w14:paraId="7951339A"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4163837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21B654E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6AE2F28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04</w:t>
            </w:r>
          </w:p>
        </w:tc>
        <w:tc>
          <w:tcPr>
            <w:tcW w:w="1179" w:type="pct"/>
            <w:gridSpan w:val="2"/>
            <w:tcBorders>
              <w:top w:val="nil"/>
              <w:left w:val="nil"/>
              <w:bottom w:val="single" w:sz="4" w:space="0" w:color="auto"/>
              <w:right w:val="nil"/>
            </w:tcBorders>
            <w:shd w:val="clear" w:color="auto" w:fill="auto"/>
            <w:noWrap/>
            <w:hideMark/>
          </w:tcPr>
          <w:p w14:paraId="1F7E5CF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Duty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C12D65"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1.440.311,17</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06F76857"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2.102.260,30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5C6A939E"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12.030.935,35</w:t>
            </w:r>
          </w:p>
        </w:tc>
        <w:tc>
          <w:tcPr>
            <w:tcW w:w="40" w:type="pct"/>
            <w:tcBorders>
              <w:top w:val="nil"/>
              <w:left w:val="nil"/>
              <w:bottom w:val="nil"/>
              <w:right w:val="nil"/>
            </w:tcBorders>
            <w:shd w:val="clear" w:color="auto" w:fill="auto"/>
            <w:noWrap/>
            <w:vAlign w:val="bottom"/>
            <w:hideMark/>
          </w:tcPr>
          <w:p w14:paraId="7FADEF3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4EBECA2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085E046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19DC7D4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3ABFB33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74A057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12</w:t>
            </w:r>
          </w:p>
        </w:tc>
        <w:tc>
          <w:tcPr>
            <w:tcW w:w="873" w:type="pct"/>
            <w:gridSpan w:val="4"/>
            <w:tcBorders>
              <w:top w:val="nil"/>
              <w:left w:val="nil"/>
              <w:bottom w:val="single" w:sz="4" w:space="0" w:color="auto"/>
              <w:right w:val="nil"/>
            </w:tcBorders>
            <w:shd w:val="clear" w:color="auto" w:fill="auto"/>
            <w:noWrap/>
            <w:hideMark/>
          </w:tcPr>
          <w:p w14:paraId="1DC0759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Petroleum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7B6B965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194.029.818,99</w:t>
            </w:r>
          </w:p>
        </w:tc>
        <w:tc>
          <w:tcPr>
            <w:tcW w:w="362" w:type="pct"/>
            <w:gridSpan w:val="2"/>
            <w:tcBorders>
              <w:top w:val="nil"/>
              <w:left w:val="nil"/>
              <w:bottom w:val="single" w:sz="4" w:space="0" w:color="auto"/>
              <w:right w:val="single" w:sz="8" w:space="0" w:color="auto"/>
            </w:tcBorders>
            <w:shd w:val="clear" w:color="auto" w:fill="auto"/>
            <w:noWrap/>
            <w:vAlign w:val="center"/>
          </w:tcPr>
          <w:p w14:paraId="69727C5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220.158.204,99</w:t>
            </w:r>
          </w:p>
        </w:tc>
        <w:tc>
          <w:tcPr>
            <w:tcW w:w="347" w:type="pct"/>
            <w:gridSpan w:val="2"/>
            <w:tcBorders>
              <w:top w:val="nil"/>
              <w:left w:val="nil"/>
              <w:bottom w:val="single" w:sz="4" w:space="0" w:color="auto"/>
              <w:right w:val="single" w:sz="8" w:space="0" w:color="auto"/>
            </w:tcBorders>
            <w:shd w:val="clear" w:color="auto" w:fill="auto"/>
            <w:noWrap/>
            <w:vAlign w:val="center"/>
          </w:tcPr>
          <w:p w14:paraId="6817EFA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359.501.988,25</w:t>
            </w:r>
          </w:p>
        </w:tc>
      </w:tr>
      <w:tr w:rsidR="00FD0F04" w:rsidRPr="008902F2" w14:paraId="25900693"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3B3590A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10FB64A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175162E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1179" w:type="pct"/>
            <w:gridSpan w:val="2"/>
            <w:tcBorders>
              <w:top w:val="nil"/>
              <w:left w:val="nil"/>
              <w:bottom w:val="single" w:sz="4" w:space="0" w:color="auto"/>
              <w:right w:val="nil"/>
            </w:tcBorders>
            <w:shd w:val="clear" w:color="auto" w:fill="auto"/>
            <w:noWrap/>
            <w:hideMark/>
          </w:tcPr>
          <w:p w14:paraId="284B80D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Service Purchases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9ACB4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116.438.092,99</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474BFA8"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127.188.107,74</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5DE93C50"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165.534.459,82</w:t>
            </w:r>
          </w:p>
        </w:tc>
        <w:tc>
          <w:tcPr>
            <w:tcW w:w="40" w:type="pct"/>
            <w:tcBorders>
              <w:top w:val="nil"/>
              <w:left w:val="nil"/>
              <w:bottom w:val="nil"/>
              <w:right w:val="nil"/>
            </w:tcBorders>
            <w:shd w:val="clear" w:color="auto" w:fill="auto"/>
            <w:noWrap/>
            <w:vAlign w:val="bottom"/>
            <w:hideMark/>
          </w:tcPr>
          <w:p w14:paraId="57BBB05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5667D27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680109A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0ADCF66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59E5D55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136311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13</w:t>
            </w:r>
          </w:p>
        </w:tc>
        <w:tc>
          <w:tcPr>
            <w:tcW w:w="873" w:type="pct"/>
            <w:gridSpan w:val="4"/>
            <w:tcBorders>
              <w:top w:val="nil"/>
              <w:left w:val="nil"/>
              <w:bottom w:val="single" w:sz="4" w:space="0" w:color="auto"/>
              <w:right w:val="nil"/>
            </w:tcBorders>
            <w:shd w:val="clear" w:color="auto" w:fill="auto"/>
            <w:noWrap/>
            <w:hideMark/>
          </w:tcPr>
          <w:p w14:paraId="7706FC7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LPG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620FBC97"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38.185.808,93</w:t>
            </w:r>
          </w:p>
        </w:tc>
        <w:tc>
          <w:tcPr>
            <w:tcW w:w="362" w:type="pct"/>
            <w:gridSpan w:val="2"/>
            <w:tcBorders>
              <w:top w:val="nil"/>
              <w:left w:val="nil"/>
              <w:bottom w:val="single" w:sz="4" w:space="0" w:color="auto"/>
              <w:right w:val="single" w:sz="8" w:space="0" w:color="auto"/>
            </w:tcBorders>
            <w:shd w:val="clear" w:color="auto" w:fill="auto"/>
            <w:noWrap/>
            <w:vAlign w:val="center"/>
          </w:tcPr>
          <w:p w14:paraId="10C2CD97"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36.835.885,74</w:t>
            </w:r>
          </w:p>
        </w:tc>
        <w:tc>
          <w:tcPr>
            <w:tcW w:w="347" w:type="pct"/>
            <w:gridSpan w:val="2"/>
            <w:tcBorders>
              <w:top w:val="nil"/>
              <w:left w:val="nil"/>
              <w:bottom w:val="single" w:sz="4" w:space="0" w:color="auto"/>
              <w:right w:val="single" w:sz="8" w:space="0" w:color="auto"/>
            </w:tcBorders>
            <w:shd w:val="clear" w:color="auto" w:fill="auto"/>
            <w:noWrap/>
            <w:vAlign w:val="center"/>
          </w:tcPr>
          <w:p w14:paraId="1C55E071"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56.134.644,67</w:t>
            </w:r>
          </w:p>
        </w:tc>
      </w:tr>
      <w:tr w:rsidR="00FD0F04" w:rsidRPr="008902F2" w14:paraId="29FFDC02"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2158FFB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6E5789F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2F54AB3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06</w:t>
            </w:r>
          </w:p>
        </w:tc>
        <w:tc>
          <w:tcPr>
            <w:tcW w:w="1179" w:type="pct"/>
            <w:gridSpan w:val="2"/>
            <w:tcBorders>
              <w:top w:val="nil"/>
              <w:left w:val="nil"/>
              <w:bottom w:val="single" w:sz="4" w:space="0" w:color="auto"/>
              <w:right w:val="nil"/>
            </w:tcBorders>
            <w:shd w:val="clear" w:color="auto" w:fill="auto"/>
            <w:noWrap/>
            <w:hideMark/>
          </w:tcPr>
          <w:p w14:paraId="5E381DF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Representation and Promotion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E34CAD"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96.930,57</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001538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153.056,40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DEF25BC"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287.669,31</w:t>
            </w:r>
          </w:p>
        </w:tc>
        <w:tc>
          <w:tcPr>
            <w:tcW w:w="40" w:type="pct"/>
            <w:tcBorders>
              <w:top w:val="nil"/>
              <w:left w:val="nil"/>
              <w:bottom w:val="nil"/>
              <w:right w:val="nil"/>
            </w:tcBorders>
            <w:shd w:val="clear" w:color="auto" w:fill="auto"/>
            <w:noWrap/>
            <w:vAlign w:val="bottom"/>
            <w:hideMark/>
          </w:tcPr>
          <w:p w14:paraId="7A876B2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38266014"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3340C000"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5612869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FC1E00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BBBC3C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1D52B0B1"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Other Income</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08513279"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83.460.657,79</w:t>
            </w:r>
          </w:p>
        </w:tc>
        <w:tc>
          <w:tcPr>
            <w:tcW w:w="362" w:type="pct"/>
            <w:gridSpan w:val="2"/>
            <w:tcBorders>
              <w:top w:val="nil"/>
              <w:left w:val="nil"/>
              <w:bottom w:val="single" w:sz="4" w:space="0" w:color="auto"/>
              <w:right w:val="single" w:sz="8" w:space="0" w:color="auto"/>
            </w:tcBorders>
            <w:shd w:val="clear" w:color="auto" w:fill="auto"/>
            <w:noWrap/>
            <w:vAlign w:val="center"/>
          </w:tcPr>
          <w:p w14:paraId="2E09F9F7"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116.774.408,33</w:t>
            </w:r>
          </w:p>
        </w:tc>
        <w:tc>
          <w:tcPr>
            <w:tcW w:w="347" w:type="pct"/>
            <w:gridSpan w:val="2"/>
            <w:tcBorders>
              <w:top w:val="nil"/>
              <w:left w:val="nil"/>
              <w:bottom w:val="single" w:sz="4" w:space="0" w:color="auto"/>
              <w:right w:val="single" w:sz="8" w:space="0" w:color="auto"/>
            </w:tcBorders>
            <w:shd w:val="clear" w:color="auto" w:fill="auto"/>
            <w:noWrap/>
            <w:vAlign w:val="center"/>
          </w:tcPr>
          <w:p w14:paraId="4FC74070"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136.621.969,89</w:t>
            </w:r>
          </w:p>
        </w:tc>
      </w:tr>
      <w:tr w:rsidR="00FD0F04" w:rsidRPr="008902F2" w14:paraId="76D32547"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57A811F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65C6176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7B7BDE9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07</w:t>
            </w:r>
          </w:p>
        </w:tc>
        <w:tc>
          <w:tcPr>
            <w:tcW w:w="1179" w:type="pct"/>
            <w:gridSpan w:val="2"/>
            <w:tcBorders>
              <w:top w:val="nil"/>
              <w:left w:val="nil"/>
              <w:bottom w:val="single" w:sz="4" w:space="0" w:color="auto"/>
              <w:right w:val="nil"/>
            </w:tcBorders>
            <w:shd w:val="clear" w:color="auto" w:fill="auto"/>
            <w:hideMark/>
          </w:tcPr>
          <w:p w14:paraId="5A175EC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Securities, Real Estate Rights, Maintenance and Repair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9D132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653.972,55</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DF389F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1.143.686,81</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2301A72C"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1.299.520,87</w:t>
            </w:r>
          </w:p>
        </w:tc>
        <w:tc>
          <w:tcPr>
            <w:tcW w:w="40" w:type="pct"/>
            <w:tcBorders>
              <w:top w:val="nil"/>
              <w:left w:val="nil"/>
              <w:bottom w:val="nil"/>
              <w:right w:val="nil"/>
            </w:tcBorders>
            <w:shd w:val="clear" w:color="auto" w:fill="auto"/>
            <w:noWrap/>
            <w:vAlign w:val="bottom"/>
            <w:hideMark/>
          </w:tcPr>
          <w:p w14:paraId="11770AE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1EEA9B3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295219A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4DAFC34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6AE2AAC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4BE21B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5D1FE402"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hAnsi="Times New Roman"/>
                <w:sz w:val="14"/>
                <w:szCs w:val="14"/>
              </w:rPr>
              <w:t>Interest income</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2B7B16F7"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b/>
                <w:bCs/>
                <w:sz w:val="14"/>
                <w:szCs w:val="14"/>
              </w:rPr>
              <w:t>0,00</w:t>
            </w:r>
          </w:p>
        </w:tc>
        <w:tc>
          <w:tcPr>
            <w:tcW w:w="362" w:type="pct"/>
            <w:gridSpan w:val="2"/>
            <w:tcBorders>
              <w:top w:val="nil"/>
              <w:left w:val="nil"/>
              <w:bottom w:val="single" w:sz="4" w:space="0" w:color="auto"/>
              <w:right w:val="single" w:sz="8" w:space="0" w:color="auto"/>
            </w:tcBorders>
            <w:shd w:val="clear" w:color="auto" w:fill="auto"/>
            <w:noWrap/>
            <w:vAlign w:val="center"/>
          </w:tcPr>
          <w:p w14:paraId="2C2CCD56"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b/>
                <w:bCs/>
                <w:sz w:val="14"/>
                <w:szCs w:val="14"/>
              </w:rPr>
              <w:t>0,00</w:t>
            </w:r>
          </w:p>
        </w:tc>
        <w:tc>
          <w:tcPr>
            <w:tcW w:w="347" w:type="pct"/>
            <w:gridSpan w:val="2"/>
            <w:tcBorders>
              <w:top w:val="nil"/>
              <w:left w:val="nil"/>
              <w:bottom w:val="single" w:sz="4" w:space="0" w:color="auto"/>
              <w:right w:val="single" w:sz="8" w:space="0" w:color="auto"/>
            </w:tcBorders>
            <w:shd w:val="clear" w:color="auto" w:fill="auto"/>
            <w:noWrap/>
            <w:vAlign w:val="center"/>
          </w:tcPr>
          <w:p w14:paraId="4DCE1A48"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b/>
                <w:bCs/>
                <w:sz w:val="14"/>
                <w:szCs w:val="14"/>
              </w:rPr>
              <w:t>0,00</w:t>
            </w:r>
          </w:p>
        </w:tc>
      </w:tr>
      <w:tr w:rsidR="00FD0F04" w:rsidRPr="008902F2" w14:paraId="2BFDBB4A"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1D4A0EE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3D2B76E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477E8AB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08</w:t>
            </w:r>
          </w:p>
        </w:tc>
        <w:tc>
          <w:tcPr>
            <w:tcW w:w="1179" w:type="pct"/>
            <w:gridSpan w:val="2"/>
            <w:tcBorders>
              <w:top w:val="nil"/>
              <w:left w:val="nil"/>
              <w:bottom w:val="single" w:sz="4" w:space="0" w:color="auto"/>
              <w:right w:val="nil"/>
            </w:tcBorders>
            <w:shd w:val="clear" w:color="auto" w:fill="auto"/>
            <w:noWrap/>
            <w:hideMark/>
          </w:tcPr>
          <w:p w14:paraId="5C9B4FF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Real Estate Property Maintenance and Repair Ex.</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568766"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6.254,00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0B952C66"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306.139,20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4D4FE72"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0,00</w:t>
            </w:r>
          </w:p>
        </w:tc>
        <w:tc>
          <w:tcPr>
            <w:tcW w:w="40" w:type="pct"/>
            <w:tcBorders>
              <w:top w:val="nil"/>
              <w:left w:val="nil"/>
              <w:bottom w:val="nil"/>
              <w:right w:val="nil"/>
            </w:tcBorders>
            <w:shd w:val="clear" w:color="auto" w:fill="auto"/>
            <w:noWrap/>
            <w:vAlign w:val="bottom"/>
            <w:hideMark/>
          </w:tcPr>
          <w:p w14:paraId="2A3260D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69BAC51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3D27F62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411ACDC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3C54E0B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F3DF11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73" w:type="pct"/>
            <w:gridSpan w:val="4"/>
            <w:tcBorders>
              <w:top w:val="nil"/>
              <w:left w:val="nil"/>
              <w:bottom w:val="single" w:sz="4" w:space="0" w:color="auto"/>
              <w:right w:val="nil"/>
            </w:tcBorders>
            <w:shd w:val="clear" w:color="auto" w:fill="auto"/>
            <w:noWrap/>
            <w:hideMark/>
          </w:tcPr>
          <w:p w14:paraId="26572865"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Deposit Interests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78B57C2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b/>
                <w:bCs/>
                <w:sz w:val="14"/>
                <w:szCs w:val="14"/>
              </w:rPr>
              <w:t>0,00</w:t>
            </w:r>
          </w:p>
        </w:tc>
        <w:tc>
          <w:tcPr>
            <w:tcW w:w="362" w:type="pct"/>
            <w:gridSpan w:val="2"/>
            <w:tcBorders>
              <w:top w:val="nil"/>
              <w:left w:val="nil"/>
              <w:bottom w:val="single" w:sz="4" w:space="0" w:color="auto"/>
              <w:right w:val="single" w:sz="8" w:space="0" w:color="auto"/>
            </w:tcBorders>
            <w:shd w:val="clear" w:color="auto" w:fill="auto"/>
            <w:noWrap/>
            <w:vAlign w:val="center"/>
          </w:tcPr>
          <w:p w14:paraId="6568359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b/>
                <w:bCs/>
                <w:sz w:val="14"/>
                <w:szCs w:val="14"/>
              </w:rPr>
              <w:t>0,00</w:t>
            </w:r>
          </w:p>
        </w:tc>
        <w:tc>
          <w:tcPr>
            <w:tcW w:w="347" w:type="pct"/>
            <w:gridSpan w:val="2"/>
            <w:tcBorders>
              <w:top w:val="nil"/>
              <w:left w:val="nil"/>
              <w:bottom w:val="single" w:sz="4" w:space="0" w:color="auto"/>
              <w:right w:val="single" w:sz="8" w:space="0" w:color="auto"/>
            </w:tcBorders>
            <w:shd w:val="clear" w:color="auto" w:fill="auto"/>
            <w:noWrap/>
            <w:vAlign w:val="center"/>
          </w:tcPr>
          <w:p w14:paraId="69DBB00C"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b/>
                <w:bCs/>
                <w:sz w:val="14"/>
                <w:szCs w:val="14"/>
              </w:rPr>
              <w:t>0,00</w:t>
            </w:r>
          </w:p>
        </w:tc>
      </w:tr>
      <w:tr w:rsidR="00FD0F04" w:rsidRPr="008902F2" w14:paraId="379A7C1A"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4006D42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6106E1C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601116F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1179" w:type="pct"/>
            <w:gridSpan w:val="2"/>
            <w:tcBorders>
              <w:top w:val="nil"/>
              <w:left w:val="nil"/>
              <w:bottom w:val="single" w:sz="4" w:space="0" w:color="auto"/>
              <w:right w:val="nil"/>
            </w:tcBorders>
            <w:shd w:val="clear" w:color="auto" w:fill="auto"/>
            <w:noWrap/>
            <w:hideMark/>
          </w:tcPr>
          <w:p w14:paraId="0AAAE2FE"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Treatment and Funeral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D2D4E8"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2B3EAFAF"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EE69987"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b/>
                <w:bCs/>
                <w:sz w:val="14"/>
                <w:szCs w:val="14"/>
              </w:rPr>
              <w:t>0,00</w:t>
            </w:r>
          </w:p>
        </w:tc>
        <w:tc>
          <w:tcPr>
            <w:tcW w:w="40" w:type="pct"/>
            <w:tcBorders>
              <w:top w:val="nil"/>
              <w:left w:val="nil"/>
              <w:bottom w:val="nil"/>
              <w:right w:val="nil"/>
            </w:tcBorders>
            <w:shd w:val="clear" w:color="auto" w:fill="auto"/>
            <w:noWrap/>
            <w:vAlign w:val="bottom"/>
            <w:hideMark/>
          </w:tcPr>
          <w:p w14:paraId="0F9C986D"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059052E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0CC968C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25C61DC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3C70E93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52B04E0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50AE5B54"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hAnsi="Times New Roman"/>
                <w:sz w:val="14"/>
                <w:szCs w:val="14"/>
              </w:rPr>
              <w:t>Shares Received from Persons and Institutions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4BF277D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70.596.710,20</w:t>
            </w:r>
          </w:p>
        </w:tc>
        <w:tc>
          <w:tcPr>
            <w:tcW w:w="362" w:type="pct"/>
            <w:gridSpan w:val="2"/>
            <w:tcBorders>
              <w:top w:val="nil"/>
              <w:left w:val="nil"/>
              <w:bottom w:val="single" w:sz="4" w:space="0" w:color="auto"/>
              <w:right w:val="single" w:sz="8" w:space="0" w:color="auto"/>
            </w:tcBorders>
            <w:shd w:val="clear" w:color="auto" w:fill="auto"/>
            <w:noWrap/>
            <w:vAlign w:val="center"/>
          </w:tcPr>
          <w:p w14:paraId="2FED24AA"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82.127.263,94</w:t>
            </w:r>
          </w:p>
        </w:tc>
        <w:tc>
          <w:tcPr>
            <w:tcW w:w="347" w:type="pct"/>
            <w:gridSpan w:val="2"/>
            <w:tcBorders>
              <w:top w:val="nil"/>
              <w:left w:val="nil"/>
              <w:bottom w:val="single" w:sz="4" w:space="0" w:color="auto"/>
              <w:right w:val="single" w:sz="8" w:space="0" w:color="auto"/>
            </w:tcBorders>
            <w:shd w:val="clear" w:color="auto" w:fill="auto"/>
            <w:noWrap/>
            <w:vAlign w:val="center"/>
          </w:tcPr>
          <w:p w14:paraId="37A45D42"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108.800.728,13</w:t>
            </w:r>
          </w:p>
        </w:tc>
      </w:tr>
      <w:tr w:rsidR="00FD0F04" w:rsidRPr="008902F2" w14:paraId="02831D2B"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3C97C417"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254A8D9C"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04</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382758B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5882288F"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Interest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5AE0E0"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D71AC91"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0CF6238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b/>
                <w:bCs/>
                <w:sz w:val="14"/>
                <w:szCs w:val="14"/>
              </w:rPr>
              <w:t>0,00</w:t>
            </w:r>
          </w:p>
        </w:tc>
        <w:tc>
          <w:tcPr>
            <w:tcW w:w="40" w:type="pct"/>
            <w:tcBorders>
              <w:top w:val="nil"/>
              <w:left w:val="nil"/>
              <w:bottom w:val="nil"/>
              <w:right w:val="nil"/>
            </w:tcBorders>
            <w:shd w:val="clear" w:color="auto" w:fill="auto"/>
            <w:noWrap/>
            <w:vAlign w:val="bottom"/>
            <w:hideMark/>
          </w:tcPr>
          <w:p w14:paraId="59BE88DA"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7D94E89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54ACAB9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7F3EE67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2B1C48A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771D395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99</w:t>
            </w:r>
          </w:p>
        </w:tc>
        <w:tc>
          <w:tcPr>
            <w:tcW w:w="873" w:type="pct"/>
            <w:gridSpan w:val="4"/>
            <w:tcBorders>
              <w:top w:val="nil"/>
              <w:left w:val="nil"/>
              <w:bottom w:val="single" w:sz="4" w:space="0" w:color="auto"/>
              <w:right w:val="nil"/>
            </w:tcBorders>
            <w:shd w:val="clear" w:color="auto" w:fill="auto"/>
            <w:noWrap/>
            <w:hideMark/>
          </w:tcPr>
          <w:p w14:paraId="372CA6C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Other Shares (TEİAŞ)</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4707E05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70.596.710,20</w:t>
            </w:r>
          </w:p>
        </w:tc>
        <w:tc>
          <w:tcPr>
            <w:tcW w:w="362" w:type="pct"/>
            <w:gridSpan w:val="2"/>
            <w:tcBorders>
              <w:top w:val="nil"/>
              <w:left w:val="nil"/>
              <w:bottom w:val="single" w:sz="4" w:space="0" w:color="auto"/>
              <w:right w:val="single" w:sz="8" w:space="0" w:color="auto"/>
            </w:tcBorders>
            <w:shd w:val="clear" w:color="auto" w:fill="auto"/>
            <w:noWrap/>
            <w:vAlign w:val="center"/>
          </w:tcPr>
          <w:p w14:paraId="14352EBD"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82.127.263,94</w:t>
            </w:r>
          </w:p>
        </w:tc>
        <w:tc>
          <w:tcPr>
            <w:tcW w:w="347" w:type="pct"/>
            <w:gridSpan w:val="2"/>
            <w:tcBorders>
              <w:top w:val="nil"/>
              <w:left w:val="nil"/>
              <w:bottom w:val="single" w:sz="4" w:space="0" w:color="auto"/>
              <w:right w:val="single" w:sz="8" w:space="0" w:color="auto"/>
            </w:tcBorders>
            <w:shd w:val="clear" w:color="auto" w:fill="auto"/>
            <w:noWrap/>
            <w:vAlign w:val="center"/>
          </w:tcPr>
          <w:p w14:paraId="574EBBAF"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108.800.728,13</w:t>
            </w:r>
          </w:p>
        </w:tc>
      </w:tr>
      <w:tr w:rsidR="00FD0F04" w:rsidRPr="008902F2" w14:paraId="228E6435"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7B02A002"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2EC15F12"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05</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4B69072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17439C2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Current Transfers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7C9BD10"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71.038.381,51</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3166DA31"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361.247.459,63</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51CD594D"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468.691.708,18</w:t>
            </w:r>
          </w:p>
        </w:tc>
        <w:tc>
          <w:tcPr>
            <w:tcW w:w="40" w:type="pct"/>
            <w:tcBorders>
              <w:top w:val="nil"/>
              <w:left w:val="nil"/>
              <w:bottom w:val="nil"/>
              <w:right w:val="nil"/>
            </w:tcBorders>
            <w:shd w:val="clear" w:color="auto" w:fill="auto"/>
            <w:noWrap/>
            <w:vAlign w:val="bottom"/>
            <w:hideMark/>
          </w:tcPr>
          <w:p w14:paraId="4DE7AE19"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4C0EC7B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6E1111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1FE58AA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440592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24DE4D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73" w:type="pct"/>
            <w:gridSpan w:val="4"/>
            <w:tcBorders>
              <w:top w:val="nil"/>
              <w:left w:val="nil"/>
              <w:bottom w:val="single" w:sz="4" w:space="0" w:color="auto"/>
              <w:right w:val="nil"/>
            </w:tcBorders>
            <w:shd w:val="clear" w:color="auto" w:fill="auto"/>
            <w:noWrap/>
            <w:hideMark/>
          </w:tcPr>
          <w:p w14:paraId="7F5C285C"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hAnsi="Times New Roman"/>
                <w:sz w:val="14"/>
                <w:szCs w:val="14"/>
              </w:rPr>
              <w:t>Other Miscellaneous Income</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0D853EAC"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12.863.947,59</w:t>
            </w:r>
          </w:p>
        </w:tc>
        <w:tc>
          <w:tcPr>
            <w:tcW w:w="362" w:type="pct"/>
            <w:gridSpan w:val="2"/>
            <w:tcBorders>
              <w:top w:val="nil"/>
              <w:left w:val="nil"/>
              <w:bottom w:val="single" w:sz="4" w:space="0" w:color="auto"/>
              <w:right w:val="single" w:sz="8" w:space="0" w:color="auto"/>
            </w:tcBorders>
            <w:shd w:val="clear" w:color="auto" w:fill="auto"/>
            <w:noWrap/>
            <w:vAlign w:val="center"/>
          </w:tcPr>
          <w:p w14:paraId="4BC1F9AA"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34.647.144,39</w:t>
            </w:r>
          </w:p>
        </w:tc>
        <w:tc>
          <w:tcPr>
            <w:tcW w:w="347" w:type="pct"/>
            <w:gridSpan w:val="2"/>
            <w:tcBorders>
              <w:top w:val="nil"/>
              <w:left w:val="nil"/>
              <w:bottom w:val="single" w:sz="4" w:space="0" w:color="auto"/>
              <w:right w:val="single" w:sz="8" w:space="0" w:color="auto"/>
            </w:tcBorders>
            <w:shd w:val="clear" w:color="auto" w:fill="auto"/>
            <w:noWrap/>
            <w:vAlign w:val="center"/>
          </w:tcPr>
          <w:p w14:paraId="6B93DCE6"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27.821.241,76</w:t>
            </w:r>
          </w:p>
        </w:tc>
      </w:tr>
      <w:tr w:rsidR="00FD0F04" w:rsidRPr="008902F2" w14:paraId="27BA9675"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4BA71A7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8" w:type="pct"/>
            <w:tcBorders>
              <w:top w:val="nil"/>
              <w:left w:val="nil"/>
              <w:bottom w:val="single" w:sz="4" w:space="0" w:color="auto"/>
              <w:right w:val="nil"/>
            </w:tcBorders>
            <w:shd w:val="clear" w:color="auto" w:fill="auto"/>
            <w:noWrap/>
            <w:vAlign w:val="bottom"/>
            <w:hideMark/>
          </w:tcPr>
          <w:p w14:paraId="64AE756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13DB098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noWrap/>
            <w:hideMark/>
          </w:tcPr>
          <w:p w14:paraId="55082A7F"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sz w:val="14"/>
                <w:szCs w:val="14"/>
              </w:rPr>
              <w:t xml:space="preserve"> </w:t>
            </w:r>
          </w:p>
        </w:tc>
        <w:tc>
          <w:tcPr>
            <w:tcW w:w="347" w:type="pct"/>
            <w:gridSpan w:val="2"/>
            <w:tcBorders>
              <w:top w:val="nil"/>
              <w:left w:val="single" w:sz="8" w:space="0" w:color="auto"/>
              <w:bottom w:val="single" w:sz="4" w:space="0" w:color="auto"/>
              <w:right w:val="single" w:sz="8" w:space="0" w:color="auto"/>
            </w:tcBorders>
            <w:shd w:val="clear" w:color="auto" w:fill="auto"/>
            <w:noWrap/>
            <w:vAlign w:val="bottom"/>
          </w:tcPr>
          <w:p w14:paraId="3553306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347" w:type="pct"/>
            <w:gridSpan w:val="2"/>
            <w:tcBorders>
              <w:top w:val="nil"/>
              <w:left w:val="nil"/>
              <w:bottom w:val="single" w:sz="4" w:space="0" w:color="auto"/>
              <w:right w:val="single" w:sz="8" w:space="0" w:color="auto"/>
            </w:tcBorders>
            <w:shd w:val="clear" w:color="auto" w:fill="auto"/>
            <w:noWrap/>
            <w:vAlign w:val="bottom"/>
          </w:tcPr>
          <w:p w14:paraId="53752A06"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347" w:type="pct"/>
            <w:gridSpan w:val="2"/>
            <w:tcBorders>
              <w:top w:val="nil"/>
              <w:left w:val="nil"/>
              <w:bottom w:val="single" w:sz="4" w:space="0" w:color="auto"/>
              <w:right w:val="single" w:sz="8" w:space="0" w:color="auto"/>
            </w:tcBorders>
            <w:shd w:val="clear" w:color="auto" w:fill="auto"/>
            <w:noWrap/>
            <w:vAlign w:val="bottom"/>
          </w:tcPr>
          <w:p w14:paraId="50DA080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5772412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5539EB0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29FB3DE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2683454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1506682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31D6571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06</w:t>
            </w:r>
          </w:p>
        </w:tc>
        <w:tc>
          <w:tcPr>
            <w:tcW w:w="873" w:type="pct"/>
            <w:gridSpan w:val="4"/>
            <w:tcBorders>
              <w:top w:val="nil"/>
              <w:left w:val="nil"/>
              <w:bottom w:val="single" w:sz="4" w:space="0" w:color="auto"/>
              <w:right w:val="nil"/>
            </w:tcBorders>
            <w:shd w:val="clear" w:color="auto" w:fill="auto"/>
            <w:noWrap/>
            <w:hideMark/>
          </w:tcPr>
          <w:p w14:paraId="06D7ECAB"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hAnsi="Times New Roman"/>
                <w:sz w:val="14"/>
                <w:szCs w:val="14"/>
              </w:rPr>
              <w:t>Receivables from Persons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249F1166"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95.617,15</w:t>
            </w:r>
          </w:p>
        </w:tc>
        <w:tc>
          <w:tcPr>
            <w:tcW w:w="362" w:type="pct"/>
            <w:gridSpan w:val="2"/>
            <w:tcBorders>
              <w:top w:val="nil"/>
              <w:left w:val="nil"/>
              <w:bottom w:val="single" w:sz="4" w:space="0" w:color="auto"/>
              <w:right w:val="single" w:sz="8" w:space="0" w:color="auto"/>
            </w:tcBorders>
            <w:shd w:val="clear" w:color="auto" w:fill="auto"/>
            <w:noWrap/>
            <w:vAlign w:val="center"/>
          </w:tcPr>
          <w:p w14:paraId="056B2F27"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97.557,52</w:t>
            </w:r>
          </w:p>
        </w:tc>
        <w:tc>
          <w:tcPr>
            <w:tcW w:w="347" w:type="pct"/>
            <w:gridSpan w:val="2"/>
            <w:tcBorders>
              <w:top w:val="nil"/>
              <w:left w:val="nil"/>
              <w:bottom w:val="single" w:sz="4" w:space="0" w:color="auto"/>
              <w:right w:val="single" w:sz="8" w:space="0" w:color="auto"/>
            </w:tcBorders>
            <w:shd w:val="clear" w:color="auto" w:fill="auto"/>
            <w:noWrap/>
            <w:vAlign w:val="center"/>
          </w:tcPr>
          <w:p w14:paraId="7BFCAE60"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195.428,40</w:t>
            </w:r>
          </w:p>
        </w:tc>
      </w:tr>
      <w:tr w:rsidR="00FD0F04" w:rsidRPr="008902F2" w14:paraId="7D5436F9"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3C2ACA7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50A6076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0C76E1E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1179" w:type="pct"/>
            <w:gridSpan w:val="2"/>
            <w:tcBorders>
              <w:top w:val="nil"/>
              <w:left w:val="nil"/>
              <w:bottom w:val="single" w:sz="4" w:space="0" w:color="auto"/>
              <w:right w:val="nil"/>
            </w:tcBorders>
            <w:shd w:val="clear" w:color="auto" w:fill="auto"/>
            <w:noWrap/>
            <w:hideMark/>
          </w:tcPr>
          <w:p w14:paraId="47C4E21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Assignment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2336CB"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4.897.238,64</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F9F5CB"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5.812.471,91</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5743B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8.954.231,39</w:t>
            </w:r>
          </w:p>
        </w:tc>
        <w:tc>
          <w:tcPr>
            <w:tcW w:w="40" w:type="pct"/>
            <w:tcBorders>
              <w:top w:val="nil"/>
              <w:left w:val="nil"/>
              <w:bottom w:val="nil"/>
              <w:right w:val="nil"/>
            </w:tcBorders>
            <w:shd w:val="clear" w:color="auto" w:fill="auto"/>
            <w:noWrap/>
            <w:vAlign w:val="bottom"/>
            <w:hideMark/>
          </w:tcPr>
          <w:p w14:paraId="2ACE7F1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single" w:sz="8" w:space="0" w:color="auto"/>
            </w:tcBorders>
            <w:shd w:val="clear" w:color="auto" w:fill="auto"/>
            <w:noWrap/>
            <w:vAlign w:val="bottom"/>
            <w:hideMark/>
          </w:tcPr>
          <w:p w14:paraId="4EEDFEC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600</w:t>
            </w:r>
          </w:p>
        </w:tc>
        <w:tc>
          <w:tcPr>
            <w:tcW w:w="96" w:type="pct"/>
            <w:tcBorders>
              <w:top w:val="nil"/>
              <w:left w:val="nil"/>
              <w:bottom w:val="single" w:sz="4" w:space="0" w:color="auto"/>
              <w:right w:val="nil"/>
            </w:tcBorders>
            <w:shd w:val="clear" w:color="auto" w:fill="auto"/>
            <w:noWrap/>
            <w:vAlign w:val="bottom"/>
            <w:hideMark/>
          </w:tcPr>
          <w:p w14:paraId="1B54E4D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14:paraId="22DB512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52C4876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14:paraId="588C470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99</w:t>
            </w:r>
          </w:p>
        </w:tc>
        <w:tc>
          <w:tcPr>
            <w:tcW w:w="873" w:type="pct"/>
            <w:gridSpan w:val="4"/>
            <w:tcBorders>
              <w:top w:val="nil"/>
              <w:left w:val="nil"/>
              <w:bottom w:val="single" w:sz="4" w:space="0" w:color="auto"/>
              <w:right w:val="nil"/>
            </w:tcBorders>
            <w:shd w:val="clear" w:color="auto" w:fill="auto"/>
            <w:noWrap/>
            <w:hideMark/>
          </w:tcPr>
          <w:p w14:paraId="188D96A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Other Not Described Above</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0AD89C72"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12.768.330,44</w:t>
            </w:r>
          </w:p>
        </w:tc>
        <w:tc>
          <w:tcPr>
            <w:tcW w:w="362" w:type="pct"/>
            <w:gridSpan w:val="2"/>
            <w:tcBorders>
              <w:top w:val="nil"/>
              <w:left w:val="nil"/>
              <w:bottom w:val="single" w:sz="4" w:space="0" w:color="auto"/>
              <w:right w:val="single" w:sz="8" w:space="0" w:color="auto"/>
            </w:tcBorders>
            <w:shd w:val="clear" w:color="auto" w:fill="auto"/>
            <w:noWrap/>
            <w:vAlign w:val="center"/>
          </w:tcPr>
          <w:p w14:paraId="32F681DB"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34.549.586,87</w:t>
            </w:r>
          </w:p>
        </w:tc>
        <w:tc>
          <w:tcPr>
            <w:tcW w:w="347" w:type="pct"/>
            <w:gridSpan w:val="2"/>
            <w:tcBorders>
              <w:top w:val="nil"/>
              <w:left w:val="nil"/>
              <w:bottom w:val="single" w:sz="4" w:space="0" w:color="auto"/>
              <w:right w:val="single" w:sz="8" w:space="0" w:color="auto"/>
            </w:tcBorders>
            <w:shd w:val="clear" w:color="auto" w:fill="auto"/>
            <w:noWrap/>
            <w:vAlign w:val="center"/>
          </w:tcPr>
          <w:p w14:paraId="35E06A21"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27.625.813,36</w:t>
            </w:r>
          </w:p>
        </w:tc>
      </w:tr>
      <w:tr w:rsidR="00FD0F04" w:rsidRPr="008902F2" w14:paraId="0F79C12F" w14:textId="77777777" w:rsidTr="005D26B0">
        <w:trPr>
          <w:gridAfter w:val="1"/>
          <w:wAfter w:w="9" w:type="pct"/>
          <w:trHeight w:val="2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22CDD72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4DC303C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4D73B2C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03</w:t>
            </w:r>
          </w:p>
        </w:tc>
        <w:tc>
          <w:tcPr>
            <w:tcW w:w="1179" w:type="pct"/>
            <w:gridSpan w:val="2"/>
            <w:tcBorders>
              <w:top w:val="nil"/>
              <w:left w:val="nil"/>
              <w:bottom w:val="single" w:sz="4" w:space="0" w:color="auto"/>
              <w:right w:val="nil"/>
            </w:tcBorders>
            <w:shd w:val="clear" w:color="auto" w:fill="auto"/>
            <w:hideMark/>
          </w:tcPr>
          <w:p w14:paraId="6A9DF71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Transfers to Non-Profit Organizations</w:t>
            </w:r>
          </w:p>
        </w:tc>
        <w:tc>
          <w:tcPr>
            <w:tcW w:w="347" w:type="pct"/>
            <w:gridSpan w:val="2"/>
            <w:tcBorders>
              <w:top w:val="single" w:sz="4" w:space="0" w:color="auto"/>
              <w:left w:val="single" w:sz="4" w:space="0" w:color="auto"/>
              <w:bottom w:val="single" w:sz="4" w:space="0" w:color="auto"/>
              <w:right w:val="single" w:sz="4" w:space="0" w:color="auto"/>
            </w:tcBorders>
            <w:noWrap/>
            <w:vAlign w:val="center"/>
          </w:tcPr>
          <w:p w14:paraId="491E4C02"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572.978,94</w:t>
            </w:r>
          </w:p>
        </w:tc>
        <w:tc>
          <w:tcPr>
            <w:tcW w:w="347" w:type="pct"/>
            <w:gridSpan w:val="2"/>
            <w:tcBorders>
              <w:top w:val="single" w:sz="4" w:space="0" w:color="auto"/>
              <w:left w:val="single" w:sz="4" w:space="0" w:color="auto"/>
              <w:bottom w:val="single" w:sz="4" w:space="0" w:color="auto"/>
              <w:right w:val="single" w:sz="4" w:space="0" w:color="auto"/>
            </w:tcBorders>
            <w:noWrap/>
            <w:vAlign w:val="center"/>
          </w:tcPr>
          <w:p w14:paraId="2A56CA36"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540.244,09</w:t>
            </w:r>
          </w:p>
        </w:tc>
        <w:tc>
          <w:tcPr>
            <w:tcW w:w="347" w:type="pct"/>
            <w:gridSpan w:val="2"/>
            <w:tcBorders>
              <w:top w:val="single" w:sz="4" w:space="0" w:color="auto"/>
              <w:left w:val="single" w:sz="4" w:space="0" w:color="auto"/>
              <w:bottom w:val="single" w:sz="4" w:space="0" w:color="auto"/>
              <w:right w:val="single" w:sz="4" w:space="0" w:color="auto"/>
            </w:tcBorders>
            <w:noWrap/>
            <w:vAlign w:val="center"/>
          </w:tcPr>
          <w:p w14:paraId="5E983928"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1.963.414,86</w:t>
            </w:r>
          </w:p>
        </w:tc>
        <w:tc>
          <w:tcPr>
            <w:tcW w:w="40" w:type="pct"/>
            <w:tcBorders>
              <w:top w:val="nil"/>
              <w:left w:val="nil"/>
              <w:bottom w:val="nil"/>
              <w:right w:val="nil"/>
            </w:tcBorders>
            <w:shd w:val="clear" w:color="auto" w:fill="auto"/>
            <w:noWrap/>
            <w:vAlign w:val="bottom"/>
            <w:hideMark/>
          </w:tcPr>
          <w:p w14:paraId="10D58E9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8" w:space="0" w:color="auto"/>
              <w:right w:val="single" w:sz="8" w:space="0" w:color="auto"/>
            </w:tcBorders>
            <w:shd w:val="clear" w:color="auto" w:fill="auto"/>
            <w:noWrap/>
            <w:vAlign w:val="bottom"/>
          </w:tcPr>
          <w:p w14:paraId="6BCB451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single" w:sz="8" w:space="0" w:color="auto"/>
              <w:right w:val="nil"/>
            </w:tcBorders>
            <w:shd w:val="clear" w:color="auto" w:fill="auto"/>
            <w:noWrap/>
            <w:vAlign w:val="bottom"/>
          </w:tcPr>
          <w:p w14:paraId="70274DB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single" w:sz="8" w:space="0" w:color="auto"/>
              <w:bottom w:val="single" w:sz="8" w:space="0" w:color="auto"/>
              <w:right w:val="single" w:sz="8" w:space="0" w:color="auto"/>
            </w:tcBorders>
            <w:shd w:val="clear" w:color="auto" w:fill="auto"/>
            <w:noWrap/>
            <w:vAlign w:val="bottom"/>
          </w:tcPr>
          <w:p w14:paraId="2EDD39C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14:paraId="77FE481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14:paraId="7121123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73" w:type="pct"/>
            <w:gridSpan w:val="4"/>
            <w:tcBorders>
              <w:top w:val="nil"/>
              <w:left w:val="nil"/>
              <w:bottom w:val="single" w:sz="8" w:space="0" w:color="auto"/>
              <w:right w:val="nil"/>
            </w:tcBorders>
            <w:shd w:val="clear" w:color="auto" w:fill="auto"/>
            <w:noWrap/>
          </w:tcPr>
          <w:p w14:paraId="1CC4C317"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sz w:val="14"/>
                <w:szCs w:val="14"/>
              </w:rPr>
              <w:t xml:space="preserve"> Miscellaneous Income</w:t>
            </w:r>
          </w:p>
        </w:tc>
        <w:tc>
          <w:tcPr>
            <w:tcW w:w="347" w:type="pct"/>
            <w:gridSpan w:val="2"/>
            <w:tcBorders>
              <w:top w:val="nil"/>
              <w:left w:val="single" w:sz="8" w:space="0" w:color="auto"/>
              <w:bottom w:val="single" w:sz="8" w:space="0" w:color="auto"/>
              <w:right w:val="single" w:sz="8" w:space="0" w:color="auto"/>
            </w:tcBorders>
            <w:shd w:val="clear" w:color="auto" w:fill="auto"/>
            <w:noWrap/>
            <w:vAlign w:val="bottom"/>
          </w:tcPr>
          <w:p w14:paraId="437D0D9E"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362" w:type="pct"/>
            <w:gridSpan w:val="2"/>
            <w:tcBorders>
              <w:top w:val="nil"/>
              <w:left w:val="nil"/>
              <w:bottom w:val="single" w:sz="8" w:space="0" w:color="auto"/>
              <w:right w:val="single" w:sz="8" w:space="0" w:color="auto"/>
            </w:tcBorders>
            <w:shd w:val="clear" w:color="auto" w:fill="auto"/>
            <w:noWrap/>
            <w:vAlign w:val="bottom"/>
          </w:tcPr>
          <w:p w14:paraId="2F802C1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347" w:type="pct"/>
            <w:gridSpan w:val="2"/>
            <w:tcBorders>
              <w:top w:val="nil"/>
              <w:left w:val="nil"/>
              <w:bottom w:val="single" w:sz="8" w:space="0" w:color="auto"/>
              <w:right w:val="single" w:sz="8" w:space="0" w:color="auto"/>
            </w:tcBorders>
            <w:shd w:val="clear" w:color="auto" w:fill="auto"/>
            <w:noWrap/>
            <w:vAlign w:val="bottom"/>
          </w:tcPr>
          <w:p w14:paraId="6327F89E"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r>
      <w:tr w:rsidR="00FD0F04" w:rsidRPr="008902F2" w14:paraId="3F45B367"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4CF4DE3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68FEFD3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1945EBA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06</w:t>
            </w:r>
          </w:p>
        </w:tc>
        <w:tc>
          <w:tcPr>
            <w:tcW w:w="1179" w:type="pct"/>
            <w:gridSpan w:val="2"/>
            <w:tcBorders>
              <w:top w:val="nil"/>
              <w:left w:val="nil"/>
              <w:bottom w:val="single" w:sz="4" w:space="0" w:color="auto"/>
              <w:right w:val="nil"/>
            </w:tcBorders>
            <w:shd w:val="clear" w:color="auto" w:fill="auto"/>
            <w:noWrap/>
            <w:hideMark/>
          </w:tcPr>
          <w:p w14:paraId="2A6DF4A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Transfers to Abroad</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74F9118"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68.163,93</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227E2B2C"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83.792,27</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5D4B0E93"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148.241,44</w:t>
            </w:r>
          </w:p>
        </w:tc>
        <w:tc>
          <w:tcPr>
            <w:tcW w:w="40" w:type="pct"/>
            <w:tcBorders>
              <w:top w:val="nil"/>
              <w:left w:val="nil"/>
              <w:bottom w:val="nil"/>
              <w:right w:val="nil"/>
            </w:tcBorders>
            <w:shd w:val="clear" w:color="auto" w:fill="auto"/>
            <w:noWrap/>
            <w:vAlign w:val="bottom"/>
            <w:hideMark/>
          </w:tcPr>
          <w:p w14:paraId="237B043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nil"/>
              <w:bottom w:val="nil"/>
              <w:right w:val="nil"/>
            </w:tcBorders>
            <w:shd w:val="clear" w:color="auto" w:fill="auto"/>
            <w:noWrap/>
            <w:vAlign w:val="bottom"/>
            <w:hideMark/>
          </w:tcPr>
          <w:p w14:paraId="415D20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2CC101A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0368B2E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62A3A52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3B03983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73" w:type="pct"/>
            <w:gridSpan w:val="4"/>
            <w:tcBorders>
              <w:top w:val="nil"/>
              <w:left w:val="nil"/>
              <w:bottom w:val="nil"/>
              <w:right w:val="nil"/>
            </w:tcBorders>
            <w:shd w:val="clear" w:color="auto" w:fill="auto"/>
            <w:noWrap/>
            <w:vAlign w:val="bottom"/>
            <w:hideMark/>
          </w:tcPr>
          <w:p w14:paraId="13F3680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tcPr>
          <w:p w14:paraId="7BEA732F"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62" w:type="pct"/>
            <w:gridSpan w:val="2"/>
            <w:tcBorders>
              <w:top w:val="nil"/>
              <w:left w:val="nil"/>
              <w:bottom w:val="nil"/>
              <w:right w:val="nil"/>
            </w:tcBorders>
            <w:shd w:val="clear" w:color="auto" w:fill="auto"/>
            <w:noWrap/>
            <w:vAlign w:val="bottom"/>
            <w:hideMark/>
          </w:tcPr>
          <w:p w14:paraId="6C51DD7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BA90C33" w14:textId="77777777" w:rsidR="00FD0F04" w:rsidRPr="008902F2" w:rsidRDefault="00FD0F04" w:rsidP="00FD0F04">
            <w:pPr>
              <w:spacing w:after="0" w:line="240" w:lineRule="auto"/>
              <w:jc w:val="right"/>
              <w:rPr>
                <w:rFonts w:ascii="Times New Roman" w:eastAsia="Times New Roman" w:hAnsi="Times New Roman"/>
                <w:b/>
                <w:sz w:val="14"/>
                <w:szCs w:val="14"/>
                <w:lang w:eastAsia="tr-TR"/>
              </w:rPr>
            </w:pPr>
          </w:p>
        </w:tc>
      </w:tr>
      <w:tr w:rsidR="00FD0F04" w:rsidRPr="008902F2" w14:paraId="01EBA28A" w14:textId="77777777" w:rsidTr="005D26B0">
        <w:trPr>
          <w:gridAfter w:val="1"/>
          <w:wAfter w:w="8"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70005D1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58FF4F8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05</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559B061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08</w:t>
            </w:r>
          </w:p>
        </w:tc>
        <w:tc>
          <w:tcPr>
            <w:tcW w:w="1179" w:type="pct"/>
            <w:gridSpan w:val="2"/>
            <w:tcBorders>
              <w:top w:val="nil"/>
              <w:left w:val="nil"/>
              <w:bottom w:val="single" w:sz="4" w:space="0" w:color="auto"/>
              <w:right w:val="nil"/>
            </w:tcBorders>
            <w:shd w:val="clear" w:color="auto" w:fill="auto"/>
            <w:noWrap/>
            <w:hideMark/>
          </w:tcPr>
          <w:p w14:paraId="3744CF6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Shares Allocated from Income</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D6A891"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65.500.000,00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70DBB4F"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354.810.951,36</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64D7B078"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457.625.820,49</w:t>
            </w:r>
          </w:p>
        </w:tc>
        <w:tc>
          <w:tcPr>
            <w:tcW w:w="40" w:type="pct"/>
            <w:tcBorders>
              <w:top w:val="nil"/>
              <w:left w:val="nil"/>
              <w:bottom w:val="nil"/>
              <w:right w:val="nil"/>
            </w:tcBorders>
            <w:shd w:val="clear" w:color="auto" w:fill="auto"/>
            <w:noWrap/>
            <w:vAlign w:val="bottom"/>
            <w:hideMark/>
          </w:tcPr>
          <w:p w14:paraId="4199E5A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386" w:type="pct"/>
            <w:gridSpan w:val="11"/>
            <w:tcBorders>
              <w:top w:val="single" w:sz="8" w:space="0" w:color="auto"/>
              <w:left w:val="single" w:sz="8" w:space="0" w:color="auto"/>
              <w:bottom w:val="single" w:sz="8" w:space="0" w:color="auto"/>
              <w:right w:val="nil"/>
            </w:tcBorders>
            <w:shd w:val="clear" w:color="auto" w:fill="auto"/>
            <w:noWrap/>
            <w:vAlign w:val="bottom"/>
            <w:hideMark/>
          </w:tcPr>
          <w:p w14:paraId="480C0D63"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TOTAL REVENUES (B)</w:t>
            </w:r>
          </w:p>
        </w:tc>
        <w:tc>
          <w:tcPr>
            <w:tcW w:w="347"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116A6104"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444.495.676,39</w:t>
            </w:r>
          </w:p>
        </w:tc>
        <w:tc>
          <w:tcPr>
            <w:tcW w:w="362" w:type="pct"/>
            <w:gridSpan w:val="2"/>
            <w:tcBorders>
              <w:top w:val="single" w:sz="8" w:space="0" w:color="auto"/>
              <w:left w:val="nil"/>
              <w:bottom w:val="single" w:sz="8" w:space="0" w:color="auto"/>
              <w:right w:val="single" w:sz="8" w:space="0" w:color="auto"/>
            </w:tcBorders>
            <w:shd w:val="clear" w:color="auto" w:fill="auto"/>
            <w:noWrap/>
            <w:vAlign w:val="center"/>
          </w:tcPr>
          <w:p w14:paraId="391885F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524.992.650,62</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7CD7E7F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908.045.801,55</w:t>
            </w:r>
          </w:p>
        </w:tc>
      </w:tr>
      <w:tr w:rsidR="00FD0F04" w:rsidRPr="008902F2" w14:paraId="6A20D78C" w14:textId="77777777" w:rsidTr="005D26B0">
        <w:trPr>
          <w:gridAfter w:val="1"/>
          <w:wAfter w:w="9" w:type="pct"/>
          <w:trHeight w:val="23"/>
        </w:trPr>
        <w:tc>
          <w:tcPr>
            <w:tcW w:w="113" w:type="pct"/>
            <w:tcBorders>
              <w:top w:val="nil"/>
              <w:left w:val="single" w:sz="8" w:space="0" w:color="auto"/>
              <w:bottom w:val="single" w:sz="4" w:space="0" w:color="auto"/>
              <w:right w:val="single" w:sz="8" w:space="0" w:color="auto"/>
            </w:tcBorders>
            <w:shd w:val="clear" w:color="auto" w:fill="auto"/>
            <w:noWrap/>
            <w:vAlign w:val="bottom"/>
            <w:hideMark/>
          </w:tcPr>
          <w:p w14:paraId="47C74280"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4" w:space="0" w:color="auto"/>
              <w:right w:val="nil"/>
            </w:tcBorders>
            <w:shd w:val="clear" w:color="auto" w:fill="auto"/>
            <w:noWrap/>
            <w:vAlign w:val="bottom"/>
            <w:hideMark/>
          </w:tcPr>
          <w:p w14:paraId="424F1573"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12</w:t>
            </w:r>
          </w:p>
        </w:tc>
        <w:tc>
          <w:tcPr>
            <w:tcW w:w="88" w:type="pct"/>
            <w:tcBorders>
              <w:top w:val="nil"/>
              <w:left w:val="single" w:sz="8" w:space="0" w:color="auto"/>
              <w:bottom w:val="single" w:sz="4" w:space="0" w:color="auto"/>
              <w:right w:val="single" w:sz="8" w:space="0" w:color="auto"/>
            </w:tcBorders>
            <w:shd w:val="clear" w:color="auto" w:fill="auto"/>
            <w:noWrap/>
            <w:vAlign w:val="bottom"/>
            <w:hideMark/>
          </w:tcPr>
          <w:p w14:paraId="6EF6AB4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4" w:space="0" w:color="auto"/>
              <w:right w:val="nil"/>
            </w:tcBorders>
            <w:shd w:val="clear" w:color="auto" w:fill="auto"/>
            <w:hideMark/>
          </w:tcPr>
          <w:p w14:paraId="0816909A"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Expenses Caused by Refusal and Refund of Income</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B61F8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39E3CDF1"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0,00</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736058D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0,00</w:t>
            </w:r>
          </w:p>
        </w:tc>
        <w:tc>
          <w:tcPr>
            <w:tcW w:w="40" w:type="pct"/>
            <w:tcBorders>
              <w:top w:val="nil"/>
              <w:left w:val="nil"/>
              <w:bottom w:val="nil"/>
              <w:right w:val="nil"/>
            </w:tcBorders>
            <w:shd w:val="clear" w:color="auto" w:fill="auto"/>
            <w:noWrap/>
            <w:vAlign w:val="bottom"/>
            <w:hideMark/>
          </w:tcPr>
          <w:p w14:paraId="523DE69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29" w:type="pct"/>
            <w:tcBorders>
              <w:top w:val="nil"/>
              <w:left w:val="nil"/>
              <w:bottom w:val="nil"/>
              <w:right w:val="nil"/>
            </w:tcBorders>
            <w:shd w:val="clear" w:color="auto" w:fill="auto"/>
            <w:noWrap/>
            <w:vAlign w:val="bottom"/>
            <w:hideMark/>
          </w:tcPr>
          <w:p w14:paraId="2BC4BDB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35AF2DE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1C80227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7AB760F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680F918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73" w:type="pct"/>
            <w:gridSpan w:val="4"/>
            <w:tcBorders>
              <w:top w:val="nil"/>
              <w:left w:val="nil"/>
              <w:bottom w:val="nil"/>
              <w:right w:val="nil"/>
            </w:tcBorders>
            <w:shd w:val="clear" w:color="auto" w:fill="auto"/>
            <w:noWrap/>
            <w:vAlign w:val="bottom"/>
            <w:hideMark/>
          </w:tcPr>
          <w:p w14:paraId="384E27D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tcPr>
          <w:p w14:paraId="295AD6AB"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62" w:type="pct"/>
            <w:gridSpan w:val="2"/>
            <w:tcBorders>
              <w:top w:val="nil"/>
              <w:left w:val="nil"/>
              <w:bottom w:val="nil"/>
              <w:right w:val="nil"/>
            </w:tcBorders>
            <w:shd w:val="clear" w:color="auto" w:fill="auto"/>
            <w:noWrap/>
            <w:vAlign w:val="bottom"/>
            <w:hideMark/>
          </w:tcPr>
          <w:p w14:paraId="1CEA321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5F91742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r>
      <w:tr w:rsidR="00FD0F04" w:rsidRPr="008902F2" w14:paraId="2D1C18BA" w14:textId="77777777" w:rsidTr="005D26B0">
        <w:trPr>
          <w:gridAfter w:val="1"/>
          <w:wAfter w:w="8" w:type="pct"/>
          <w:trHeight w:val="23"/>
        </w:trPr>
        <w:tc>
          <w:tcPr>
            <w:tcW w:w="113" w:type="pct"/>
            <w:tcBorders>
              <w:top w:val="nil"/>
              <w:left w:val="single" w:sz="8" w:space="0" w:color="auto"/>
              <w:bottom w:val="single" w:sz="8" w:space="0" w:color="auto"/>
              <w:right w:val="single" w:sz="8" w:space="0" w:color="auto"/>
            </w:tcBorders>
            <w:shd w:val="clear" w:color="auto" w:fill="auto"/>
            <w:noWrap/>
            <w:vAlign w:val="bottom"/>
            <w:hideMark/>
          </w:tcPr>
          <w:p w14:paraId="08FA1398"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630</w:t>
            </w:r>
          </w:p>
        </w:tc>
        <w:tc>
          <w:tcPr>
            <w:tcW w:w="88" w:type="pct"/>
            <w:tcBorders>
              <w:top w:val="nil"/>
              <w:left w:val="nil"/>
              <w:bottom w:val="single" w:sz="8" w:space="0" w:color="auto"/>
              <w:right w:val="nil"/>
            </w:tcBorders>
            <w:shd w:val="clear" w:color="auto" w:fill="auto"/>
            <w:noWrap/>
            <w:vAlign w:val="bottom"/>
            <w:hideMark/>
          </w:tcPr>
          <w:p w14:paraId="7CCE59C0" w14:textId="77777777" w:rsidR="00FD0F04" w:rsidRPr="008902F2" w:rsidRDefault="00FD0F04" w:rsidP="00FD0F04">
            <w:pPr>
              <w:spacing w:after="0" w:line="240" w:lineRule="auto"/>
              <w:jc w:val="lef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13</w:t>
            </w:r>
          </w:p>
        </w:tc>
        <w:tc>
          <w:tcPr>
            <w:tcW w:w="88" w:type="pct"/>
            <w:tcBorders>
              <w:top w:val="nil"/>
              <w:left w:val="single" w:sz="8" w:space="0" w:color="auto"/>
              <w:bottom w:val="single" w:sz="8" w:space="0" w:color="auto"/>
              <w:right w:val="single" w:sz="8" w:space="0" w:color="auto"/>
            </w:tcBorders>
            <w:shd w:val="clear" w:color="auto" w:fill="auto"/>
            <w:noWrap/>
            <w:vAlign w:val="bottom"/>
            <w:hideMark/>
          </w:tcPr>
          <w:p w14:paraId="1356090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eastAsia="Times New Roman" w:hAnsi="Times New Roman"/>
                <w:sz w:val="14"/>
                <w:szCs w:val="14"/>
                <w:lang w:eastAsia="tr-TR"/>
              </w:rPr>
              <w:t> </w:t>
            </w:r>
          </w:p>
        </w:tc>
        <w:tc>
          <w:tcPr>
            <w:tcW w:w="1179" w:type="pct"/>
            <w:gridSpan w:val="2"/>
            <w:tcBorders>
              <w:top w:val="nil"/>
              <w:left w:val="nil"/>
              <w:bottom w:val="single" w:sz="8" w:space="0" w:color="auto"/>
              <w:right w:val="nil"/>
            </w:tcBorders>
            <w:shd w:val="clear" w:color="auto" w:fill="auto"/>
            <w:noWrap/>
            <w:hideMark/>
          </w:tcPr>
          <w:p w14:paraId="66A5D338"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Depreciation Expenses</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A4FE96"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13.227.063,92</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0EC781E8"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8.641.930,23</w:t>
            </w:r>
          </w:p>
        </w:tc>
        <w:tc>
          <w:tcPr>
            <w:tcW w:w="347" w:type="pct"/>
            <w:gridSpan w:val="2"/>
            <w:tcBorders>
              <w:top w:val="single" w:sz="4" w:space="0" w:color="auto"/>
              <w:left w:val="nil"/>
              <w:bottom w:val="single" w:sz="4" w:space="0" w:color="auto"/>
              <w:right w:val="single" w:sz="4" w:space="0" w:color="auto"/>
            </w:tcBorders>
            <w:shd w:val="clear" w:color="auto" w:fill="auto"/>
            <w:noWrap/>
            <w:vAlign w:val="center"/>
          </w:tcPr>
          <w:p w14:paraId="16CF6AB7"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11.611.682,73</w:t>
            </w:r>
          </w:p>
        </w:tc>
        <w:tc>
          <w:tcPr>
            <w:tcW w:w="40" w:type="pct"/>
            <w:tcBorders>
              <w:top w:val="nil"/>
              <w:left w:val="nil"/>
              <w:bottom w:val="nil"/>
              <w:right w:val="nil"/>
            </w:tcBorders>
            <w:shd w:val="clear" w:color="auto" w:fill="auto"/>
            <w:noWrap/>
            <w:vAlign w:val="bottom"/>
            <w:hideMark/>
          </w:tcPr>
          <w:p w14:paraId="2E3DB943"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386" w:type="pct"/>
            <w:gridSpan w:val="11"/>
            <w:tcBorders>
              <w:top w:val="single" w:sz="8" w:space="0" w:color="auto"/>
              <w:left w:val="single" w:sz="8" w:space="0" w:color="auto"/>
              <w:bottom w:val="single" w:sz="8" w:space="0" w:color="auto"/>
              <w:right w:val="nil"/>
            </w:tcBorders>
            <w:shd w:val="clear" w:color="auto" w:fill="auto"/>
            <w:noWrap/>
            <w:vAlign w:val="center"/>
            <w:hideMark/>
          </w:tcPr>
          <w:p w14:paraId="10F8FD75"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DISCOUNT, RETURN AND DISCOUNT TYPE</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3B203B3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31.12.2020</w:t>
            </w:r>
          </w:p>
        </w:tc>
        <w:tc>
          <w:tcPr>
            <w:tcW w:w="362" w:type="pct"/>
            <w:gridSpan w:val="2"/>
            <w:tcBorders>
              <w:top w:val="single" w:sz="8" w:space="0" w:color="auto"/>
              <w:left w:val="nil"/>
              <w:bottom w:val="single" w:sz="8" w:space="0" w:color="auto"/>
              <w:right w:val="single" w:sz="8" w:space="0" w:color="auto"/>
            </w:tcBorders>
            <w:shd w:val="clear" w:color="auto" w:fill="auto"/>
            <w:noWrap/>
            <w:vAlign w:val="center"/>
          </w:tcPr>
          <w:p w14:paraId="5E8D3C72"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31.12.2021</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hideMark/>
          </w:tcPr>
          <w:p w14:paraId="6B54BE79"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31.12.2022</w:t>
            </w:r>
          </w:p>
        </w:tc>
      </w:tr>
      <w:tr w:rsidR="00FD0F04" w:rsidRPr="008902F2" w14:paraId="3C85ED36"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29ED5949" w14:textId="77777777" w:rsidR="00FD0F04" w:rsidRPr="008902F2" w:rsidRDefault="00FD0F04" w:rsidP="00FD0F04">
            <w:pPr>
              <w:spacing w:after="0" w:line="240" w:lineRule="auto"/>
              <w:jc w:val="center"/>
              <w:rPr>
                <w:rFonts w:ascii="Times New Roman" w:eastAsia="Times New Roman" w:hAnsi="Times New Roman"/>
                <w:b/>
                <w:bCs/>
                <w:sz w:val="14"/>
                <w:szCs w:val="14"/>
                <w:lang w:eastAsia="tr-TR"/>
              </w:rPr>
            </w:pPr>
          </w:p>
        </w:tc>
        <w:tc>
          <w:tcPr>
            <w:tcW w:w="88" w:type="pct"/>
            <w:tcBorders>
              <w:top w:val="nil"/>
              <w:left w:val="nil"/>
              <w:bottom w:val="nil"/>
              <w:right w:val="nil"/>
            </w:tcBorders>
            <w:shd w:val="clear" w:color="auto" w:fill="auto"/>
            <w:noWrap/>
            <w:vAlign w:val="bottom"/>
            <w:hideMark/>
          </w:tcPr>
          <w:p w14:paraId="1187047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03C2EC8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67F8995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tcPr>
          <w:p w14:paraId="47203F9B"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3B34E757"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79BB9C3"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2C3260C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nil"/>
            </w:tcBorders>
            <w:shd w:val="clear" w:color="auto" w:fill="auto"/>
            <w:noWrap/>
            <w:vAlign w:val="center"/>
            <w:hideMark/>
          </w:tcPr>
          <w:p w14:paraId="23B7A4B6" w14:textId="77777777" w:rsidR="00FD0F04" w:rsidRPr="008902F2" w:rsidRDefault="00FD0F04" w:rsidP="00FD0F04">
            <w:pPr>
              <w:spacing w:after="0" w:line="240" w:lineRule="auto"/>
              <w:jc w:val="center"/>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610</w:t>
            </w:r>
          </w:p>
        </w:tc>
        <w:tc>
          <w:tcPr>
            <w:tcW w:w="96" w:type="pct"/>
            <w:tcBorders>
              <w:top w:val="nil"/>
              <w:left w:val="single" w:sz="8" w:space="0" w:color="auto"/>
              <w:bottom w:val="nil"/>
              <w:right w:val="single" w:sz="8" w:space="0" w:color="auto"/>
            </w:tcBorders>
            <w:shd w:val="clear" w:color="auto" w:fill="auto"/>
            <w:noWrap/>
            <w:vAlign w:val="center"/>
            <w:hideMark/>
          </w:tcPr>
          <w:p w14:paraId="57369B9A"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03</w:t>
            </w:r>
          </w:p>
        </w:tc>
        <w:tc>
          <w:tcPr>
            <w:tcW w:w="96" w:type="pct"/>
            <w:tcBorders>
              <w:top w:val="nil"/>
              <w:left w:val="nil"/>
              <w:bottom w:val="nil"/>
              <w:right w:val="single" w:sz="8" w:space="0" w:color="auto"/>
            </w:tcBorders>
            <w:shd w:val="clear" w:color="auto" w:fill="auto"/>
            <w:noWrap/>
            <w:vAlign w:val="center"/>
            <w:hideMark/>
          </w:tcPr>
          <w:p w14:paraId="64FC59B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 </w:t>
            </w:r>
          </w:p>
        </w:tc>
        <w:tc>
          <w:tcPr>
            <w:tcW w:w="96" w:type="pct"/>
            <w:gridSpan w:val="2"/>
            <w:tcBorders>
              <w:top w:val="nil"/>
              <w:left w:val="nil"/>
              <w:bottom w:val="nil"/>
              <w:right w:val="single" w:sz="8" w:space="0" w:color="auto"/>
            </w:tcBorders>
            <w:shd w:val="clear" w:color="auto" w:fill="auto"/>
            <w:noWrap/>
            <w:vAlign w:val="center"/>
            <w:hideMark/>
          </w:tcPr>
          <w:p w14:paraId="400A4AC6"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 </w:t>
            </w:r>
          </w:p>
        </w:tc>
        <w:tc>
          <w:tcPr>
            <w:tcW w:w="96" w:type="pct"/>
            <w:gridSpan w:val="2"/>
            <w:tcBorders>
              <w:top w:val="nil"/>
              <w:left w:val="nil"/>
              <w:bottom w:val="nil"/>
              <w:right w:val="single" w:sz="8" w:space="0" w:color="auto"/>
            </w:tcBorders>
            <w:shd w:val="clear" w:color="auto" w:fill="auto"/>
            <w:noWrap/>
            <w:vAlign w:val="center"/>
            <w:hideMark/>
          </w:tcPr>
          <w:p w14:paraId="65E3557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 </w:t>
            </w:r>
          </w:p>
        </w:tc>
        <w:tc>
          <w:tcPr>
            <w:tcW w:w="873" w:type="pct"/>
            <w:gridSpan w:val="4"/>
            <w:tcBorders>
              <w:top w:val="nil"/>
              <w:left w:val="nil"/>
              <w:bottom w:val="nil"/>
              <w:right w:val="nil"/>
            </w:tcBorders>
            <w:shd w:val="clear" w:color="auto" w:fill="auto"/>
            <w:noWrap/>
            <w:hideMark/>
          </w:tcPr>
          <w:p w14:paraId="5D5361CB"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Enterprise and Property Incomes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62DB8A3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4.981.428,70</w:t>
            </w:r>
          </w:p>
        </w:tc>
        <w:tc>
          <w:tcPr>
            <w:tcW w:w="362" w:type="pct"/>
            <w:gridSpan w:val="2"/>
            <w:tcBorders>
              <w:top w:val="nil"/>
              <w:left w:val="nil"/>
              <w:bottom w:val="single" w:sz="4" w:space="0" w:color="auto"/>
              <w:right w:val="single" w:sz="8" w:space="0" w:color="auto"/>
            </w:tcBorders>
            <w:shd w:val="clear" w:color="auto" w:fill="auto"/>
            <w:noWrap/>
            <w:vAlign w:val="center"/>
          </w:tcPr>
          <w:p w14:paraId="1B52B8F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6.156.175,88</w:t>
            </w:r>
          </w:p>
        </w:tc>
        <w:tc>
          <w:tcPr>
            <w:tcW w:w="347" w:type="pct"/>
            <w:gridSpan w:val="2"/>
            <w:tcBorders>
              <w:top w:val="nil"/>
              <w:left w:val="nil"/>
              <w:bottom w:val="single" w:sz="4" w:space="0" w:color="auto"/>
              <w:right w:val="single" w:sz="8" w:space="0" w:color="auto"/>
            </w:tcBorders>
            <w:shd w:val="clear" w:color="auto" w:fill="auto"/>
            <w:noWrap/>
            <w:vAlign w:val="center"/>
          </w:tcPr>
          <w:p w14:paraId="4F8F037F"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8.578.377,62</w:t>
            </w:r>
          </w:p>
        </w:tc>
      </w:tr>
      <w:tr w:rsidR="00FD0F04" w:rsidRPr="008902F2" w14:paraId="27BC18D9"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78EA14CB"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88" w:type="pct"/>
            <w:tcBorders>
              <w:top w:val="nil"/>
              <w:left w:val="nil"/>
              <w:bottom w:val="nil"/>
              <w:right w:val="nil"/>
            </w:tcBorders>
            <w:shd w:val="clear" w:color="auto" w:fill="auto"/>
            <w:noWrap/>
            <w:vAlign w:val="bottom"/>
            <w:hideMark/>
          </w:tcPr>
          <w:p w14:paraId="472CAA5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178F38A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6C7D13D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570042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055BA07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72892D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5A96C54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nil"/>
            </w:tcBorders>
            <w:shd w:val="clear" w:color="auto" w:fill="auto"/>
            <w:noWrap/>
            <w:vAlign w:val="center"/>
            <w:hideMark/>
          </w:tcPr>
          <w:p w14:paraId="651B404F" w14:textId="77777777" w:rsidR="00FD0F04" w:rsidRPr="008902F2" w:rsidRDefault="00FD0F04" w:rsidP="00FD0F04">
            <w:pPr>
              <w:spacing w:after="0" w:line="240" w:lineRule="auto"/>
              <w:jc w:val="center"/>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14:paraId="617EF8C7"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14:paraId="5F1AE194"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254CCB33"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0E1C349A"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 </w:t>
            </w:r>
          </w:p>
        </w:tc>
        <w:tc>
          <w:tcPr>
            <w:tcW w:w="873" w:type="pct"/>
            <w:gridSpan w:val="4"/>
            <w:tcBorders>
              <w:top w:val="single" w:sz="4" w:space="0" w:color="auto"/>
              <w:left w:val="nil"/>
              <w:bottom w:val="nil"/>
              <w:right w:val="nil"/>
            </w:tcBorders>
            <w:shd w:val="clear" w:color="auto" w:fill="auto"/>
            <w:hideMark/>
          </w:tcPr>
          <w:p w14:paraId="6B1ABFF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Use or activity of the goods. permission comes.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7C42BC78"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4.981.428,70</w:t>
            </w:r>
          </w:p>
        </w:tc>
        <w:tc>
          <w:tcPr>
            <w:tcW w:w="362" w:type="pct"/>
            <w:gridSpan w:val="2"/>
            <w:tcBorders>
              <w:top w:val="nil"/>
              <w:left w:val="nil"/>
              <w:bottom w:val="single" w:sz="4" w:space="0" w:color="auto"/>
              <w:right w:val="single" w:sz="8" w:space="0" w:color="auto"/>
            </w:tcBorders>
            <w:shd w:val="clear" w:color="auto" w:fill="auto"/>
            <w:noWrap/>
            <w:vAlign w:val="center"/>
          </w:tcPr>
          <w:p w14:paraId="274536B7"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6.156.175,88</w:t>
            </w:r>
          </w:p>
        </w:tc>
        <w:tc>
          <w:tcPr>
            <w:tcW w:w="347" w:type="pct"/>
            <w:gridSpan w:val="2"/>
            <w:tcBorders>
              <w:top w:val="nil"/>
              <w:left w:val="nil"/>
              <w:bottom w:val="single" w:sz="4" w:space="0" w:color="auto"/>
              <w:right w:val="single" w:sz="8" w:space="0" w:color="auto"/>
            </w:tcBorders>
            <w:shd w:val="clear" w:color="auto" w:fill="auto"/>
            <w:noWrap/>
            <w:vAlign w:val="center"/>
          </w:tcPr>
          <w:p w14:paraId="2550CC58"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8.578.377,62</w:t>
            </w:r>
          </w:p>
        </w:tc>
      </w:tr>
      <w:tr w:rsidR="00FD0F04" w:rsidRPr="008902F2" w14:paraId="4BFC063F"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7611FE3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2B53805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3D6E7D9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52D3EAD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6E5C2D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57700EB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00F24CB2"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6A74E89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nil"/>
            </w:tcBorders>
            <w:shd w:val="clear" w:color="auto" w:fill="auto"/>
            <w:noWrap/>
            <w:vAlign w:val="center"/>
            <w:hideMark/>
          </w:tcPr>
          <w:p w14:paraId="220B8482" w14:textId="77777777" w:rsidR="00FD0F04" w:rsidRPr="008902F2" w:rsidRDefault="00FD0F04" w:rsidP="00FD0F04">
            <w:pPr>
              <w:spacing w:after="0" w:line="240" w:lineRule="auto"/>
              <w:jc w:val="center"/>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14:paraId="2EE72F24"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14:paraId="76084F97"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37E25A0E"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01A58ADB"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10</w:t>
            </w:r>
          </w:p>
        </w:tc>
        <w:tc>
          <w:tcPr>
            <w:tcW w:w="873" w:type="pct"/>
            <w:gridSpan w:val="4"/>
            <w:tcBorders>
              <w:top w:val="single" w:sz="4" w:space="0" w:color="auto"/>
              <w:left w:val="nil"/>
              <w:bottom w:val="nil"/>
              <w:right w:val="nil"/>
            </w:tcBorders>
            <w:shd w:val="clear" w:color="auto" w:fill="auto"/>
            <w:noWrap/>
            <w:hideMark/>
          </w:tcPr>
          <w:p w14:paraId="46CC96C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Electricity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31C11202"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437.345,22</w:t>
            </w:r>
          </w:p>
        </w:tc>
        <w:tc>
          <w:tcPr>
            <w:tcW w:w="362" w:type="pct"/>
            <w:gridSpan w:val="2"/>
            <w:tcBorders>
              <w:top w:val="nil"/>
              <w:left w:val="nil"/>
              <w:bottom w:val="single" w:sz="4" w:space="0" w:color="auto"/>
              <w:right w:val="single" w:sz="8" w:space="0" w:color="auto"/>
            </w:tcBorders>
            <w:shd w:val="clear" w:color="auto" w:fill="auto"/>
            <w:noWrap/>
            <w:vAlign w:val="center"/>
          </w:tcPr>
          <w:p w14:paraId="56DCA121"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2.658.577,33</w:t>
            </w:r>
          </w:p>
        </w:tc>
        <w:tc>
          <w:tcPr>
            <w:tcW w:w="347" w:type="pct"/>
            <w:gridSpan w:val="2"/>
            <w:tcBorders>
              <w:top w:val="nil"/>
              <w:left w:val="nil"/>
              <w:bottom w:val="single" w:sz="4" w:space="0" w:color="auto"/>
              <w:right w:val="single" w:sz="8" w:space="0" w:color="auto"/>
            </w:tcBorders>
            <w:shd w:val="clear" w:color="auto" w:fill="auto"/>
            <w:noWrap/>
            <w:vAlign w:val="center"/>
          </w:tcPr>
          <w:p w14:paraId="691E56F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6.169.827,23</w:t>
            </w:r>
          </w:p>
        </w:tc>
      </w:tr>
      <w:tr w:rsidR="00FD0F04" w:rsidRPr="008902F2" w14:paraId="2FFD9B46"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1E886CA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72BD7E1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6A9A108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3378769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F6A422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A783D4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1D3198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6A87BA0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nil"/>
            </w:tcBorders>
            <w:shd w:val="clear" w:color="auto" w:fill="auto"/>
            <w:noWrap/>
            <w:vAlign w:val="center"/>
            <w:hideMark/>
          </w:tcPr>
          <w:p w14:paraId="73F91BF3" w14:textId="77777777" w:rsidR="00FD0F04" w:rsidRPr="008902F2" w:rsidRDefault="00FD0F04" w:rsidP="00FD0F04">
            <w:pPr>
              <w:spacing w:after="0" w:line="240" w:lineRule="auto"/>
              <w:jc w:val="center"/>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14:paraId="36B21EF5"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14:paraId="6A5A6336"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289CF007"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27B0F51E"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11</w:t>
            </w:r>
          </w:p>
        </w:tc>
        <w:tc>
          <w:tcPr>
            <w:tcW w:w="873" w:type="pct"/>
            <w:gridSpan w:val="4"/>
            <w:tcBorders>
              <w:top w:val="single" w:sz="4" w:space="0" w:color="auto"/>
              <w:left w:val="nil"/>
              <w:bottom w:val="single" w:sz="4" w:space="0" w:color="auto"/>
              <w:right w:val="nil"/>
            </w:tcBorders>
            <w:shd w:val="clear" w:color="auto" w:fill="auto"/>
            <w:noWrap/>
            <w:hideMark/>
          </w:tcPr>
          <w:p w14:paraId="4AB838B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Natural Gas Market License and Ser.Gel.</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1863D25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398.274,41</w:t>
            </w:r>
          </w:p>
        </w:tc>
        <w:tc>
          <w:tcPr>
            <w:tcW w:w="362" w:type="pct"/>
            <w:gridSpan w:val="2"/>
            <w:tcBorders>
              <w:top w:val="nil"/>
              <w:left w:val="nil"/>
              <w:bottom w:val="single" w:sz="4" w:space="0" w:color="auto"/>
              <w:right w:val="single" w:sz="8" w:space="0" w:color="auto"/>
            </w:tcBorders>
            <w:shd w:val="clear" w:color="auto" w:fill="auto"/>
            <w:noWrap/>
            <w:vAlign w:val="center"/>
          </w:tcPr>
          <w:p w14:paraId="488A217C"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76.747,06</w:t>
            </w:r>
          </w:p>
        </w:tc>
        <w:tc>
          <w:tcPr>
            <w:tcW w:w="347" w:type="pct"/>
            <w:gridSpan w:val="2"/>
            <w:tcBorders>
              <w:top w:val="nil"/>
              <w:left w:val="nil"/>
              <w:bottom w:val="single" w:sz="4" w:space="0" w:color="auto"/>
              <w:right w:val="single" w:sz="8" w:space="0" w:color="auto"/>
            </w:tcBorders>
            <w:shd w:val="clear" w:color="auto" w:fill="auto"/>
            <w:noWrap/>
            <w:vAlign w:val="center"/>
          </w:tcPr>
          <w:p w14:paraId="76337ADE"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728.423,14</w:t>
            </w:r>
          </w:p>
        </w:tc>
      </w:tr>
      <w:tr w:rsidR="00FD0F04" w:rsidRPr="008902F2" w14:paraId="0F9C7187"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2F3A936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7535175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10CCCD9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1BF86FE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4EAAEE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5A451C5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85D7E44"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25C1BAD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single" w:sz="4" w:space="0" w:color="auto"/>
              <w:right w:val="nil"/>
            </w:tcBorders>
            <w:shd w:val="clear" w:color="auto" w:fill="auto"/>
            <w:noWrap/>
            <w:vAlign w:val="center"/>
            <w:hideMark/>
          </w:tcPr>
          <w:p w14:paraId="14289BAD"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14:paraId="74E8F4B7"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14:paraId="28010B84"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4B238452"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2C980E90"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12</w:t>
            </w:r>
          </w:p>
        </w:tc>
        <w:tc>
          <w:tcPr>
            <w:tcW w:w="873" w:type="pct"/>
            <w:gridSpan w:val="4"/>
            <w:tcBorders>
              <w:top w:val="nil"/>
              <w:left w:val="nil"/>
              <w:bottom w:val="nil"/>
              <w:right w:val="nil"/>
            </w:tcBorders>
            <w:shd w:val="clear" w:color="auto" w:fill="auto"/>
            <w:noWrap/>
            <w:hideMark/>
          </w:tcPr>
          <w:p w14:paraId="60737CC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Petroleum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4987EA8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3.790.059,07</w:t>
            </w:r>
          </w:p>
        </w:tc>
        <w:tc>
          <w:tcPr>
            <w:tcW w:w="362" w:type="pct"/>
            <w:gridSpan w:val="2"/>
            <w:tcBorders>
              <w:top w:val="nil"/>
              <w:left w:val="nil"/>
              <w:bottom w:val="single" w:sz="4" w:space="0" w:color="auto"/>
              <w:right w:val="single" w:sz="8" w:space="0" w:color="auto"/>
            </w:tcBorders>
            <w:shd w:val="clear" w:color="auto" w:fill="auto"/>
            <w:noWrap/>
            <w:vAlign w:val="center"/>
          </w:tcPr>
          <w:p w14:paraId="7E3C9135"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2.398.501,49</w:t>
            </w:r>
          </w:p>
        </w:tc>
        <w:tc>
          <w:tcPr>
            <w:tcW w:w="347" w:type="pct"/>
            <w:gridSpan w:val="2"/>
            <w:tcBorders>
              <w:top w:val="nil"/>
              <w:left w:val="nil"/>
              <w:bottom w:val="single" w:sz="4" w:space="0" w:color="auto"/>
              <w:right w:val="single" w:sz="8" w:space="0" w:color="auto"/>
            </w:tcBorders>
            <w:shd w:val="clear" w:color="auto" w:fill="auto"/>
            <w:noWrap/>
            <w:vAlign w:val="center"/>
          </w:tcPr>
          <w:p w14:paraId="749B947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1.158.147,84</w:t>
            </w:r>
          </w:p>
        </w:tc>
      </w:tr>
      <w:tr w:rsidR="00FD0F04" w:rsidRPr="008902F2" w14:paraId="69E56037"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7FBC141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6D5BC49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7490E59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75C48F8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0C2CE0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C671EB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3B112399"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1B8F805F"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nil"/>
              <w:right w:val="nil"/>
            </w:tcBorders>
            <w:shd w:val="clear" w:color="auto" w:fill="auto"/>
            <w:noWrap/>
            <w:vAlign w:val="center"/>
            <w:hideMark/>
          </w:tcPr>
          <w:p w14:paraId="6B3C838B"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noProof/>
                <w:sz w:val="14"/>
                <w:szCs w:val="14"/>
                <w:lang w:val="en-US"/>
              </w:rPr>
              <mc:AlternateContent>
                <mc:Choice Requires="wps">
                  <w:drawing>
                    <wp:anchor distT="0" distB="0" distL="114300" distR="114300" simplePos="0" relativeHeight="251659264" behindDoc="0" locked="0" layoutInCell="1" allowOverlap="1" wp14:anchorId="71180956" wp14:editId="422B229A">
                      <wp:simplePos x="0" y="0"/>
                      <wp:positionH relativeFrom="column">
                        <wp:posOffset>-76200</wp:posOffset>
                      </wp:positionH>
                      <wp:positionV relativeFrom="paragraph">
                        <wp:posOffset>144780</wp:posOffset>
                      </wp:positionV>
                      <wp:extent cx="1104900" cy="0"/>
                      <wp:effectExtent l="0" t="0" r="19050" b="19050"/>
                      <wp:wrapNone/>
                      <wp:docPr id="4" name="Düz Bağlayıcı 4"/>
                      <wp:cNvGraphicFramePr/>
                      <a:graphic xmlns:a="http://schemas.openxmlformats.org/drawingml/2006/main">
                        <a:graphicData uri="http://schemas.microsoft.com/office/word/2010/wordprocessingShape">
                          <wps:wsp>
                            <wps:cNvCnPr/>
                            <wps:spPr>
                              <a:xfrm flipH="1">
                                <a:off x="0" y="0"/>
                                <a:ext cx="11049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a16="http://schemas.microsoft.com/office/drawing/2014/main" xmlns:c="http://schemas.openxmlformats.org/drawingml/2006/chart"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w14:anchorId="0FAC24FE">
                    <v:line id="Düz Bağlayıcı 4"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from="-6pt,11.4pt" to="81pt,11.4pt" w14:anchorId="3014AE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"/>
                  </w:pict>
                </mc:Fallback>
              </mc:AlternateContent>
            </w:r>
            <w:r w:rsidRPr="008902F2">
              <w:rPr>
                <w:rFonts w:ascii="Times New Roman" w:eastAsia="Times New Roman" w:hAnsi="Times New Roman"/>
                <w:bCs/>
                <w:sz w:val="14"/>
                <w:szCs w:val="14"/>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14:paraId="0B8F4CD5"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14:paraId="1383390F"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2C30B856"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14:paraId="641C8472" w14:textId="77777777" w:rsidR="00FD0F04" w:rsidRPr="008902F2" w:rsidRDefault="00FD0F04" w:rsidP="00FD0F04">
            <w:pPr>
              <w:spacing w:after="0" w:line="240" w:lineRule="auto"/>
              <w:jc w:val="left"/>
              <w:rPr>
                <w:rFonts w:ascii="Times New Roman" w:eastAsia="Times New Roman" w:hAnsi="Times New Roman"/>
                <w:bCs/>
                <w:sz w:val="14"/>
                <w:szCs w:val="14"/>
                <w:lang w:eastAsia="tr-TR"/>
              </w:rPr>
            </w:pPr>
            <w:r w:rsidRPr="008902F2">
              <w:rPr>
                <w:rFonts w:ascii="Times New Roman" w:eastAsia="Times New Roman" w:hAnsi="Times New Roman"/>
                <w:bCs/>
                <w:sz w:val="14"/>
                <w:szCs w:val="14"/>
                <w:lang w:eastAsia="tr-TR"/>
              </w:rPr>
              <w:t>13</w:t>
            </w:r>
          </w:p>
        </w:tc>
        <w:tc>
          <w:tcPr>
            <w:tcW w:w="873" w:type="pct"/>
            <w:gridSpan w:val="4"/>
            <w:tcBorders>
              <w:top w:val="single" w:sz="4" w:space="0" w:color="auto"/>
              <w:left w:val="nil"/>
              <w:bottom w:val="nil"/>
              <w:right w:val="nil"/>
            </w:tcBorders>
            <w:shd w:val="clear" w:color="auto" w:fill="auto"/>
            <w:noWrap/>
            <w:hideMark/>
          </w:tcPr>
          <w:p w14:paraId="3511F50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r w:rsidRPr="008902F2">
              <w:rPr>
                <w:rFonts w:ascii="Times New Roman" w:hAnsi="Times New Roman"/>
                <w:sz w:val="14"/>
                <w:szCs w:val="14"/>
              </w:rPr>
              <w:t>LPG Market License Revenues</w:t>
            </w:r>
          </w:p>
        </w:tc>
        <w:tc>
          <w:tcPr>
            <w:tcW w:w="347" w:type="pct"/>
            <w:gridSpan w:val="2"/>
            <w:tcBorders>
              <w:top w:val="nil"/>
              <w:left w:val="single" w:sz="8" w:space="0" w:color="auto"/>
              <w:bottom w:val="single" w:sz="4" w:space="0" w:color="auto"/>
              <w:right w:val="single" w:sz="8" w:space="0" w:color="auto"/>
            </w:tcBorders>
            <w:shd w:val="clear" w:color="auto" w:fill="auto"/>
            <w:noWrap/>
            <w:vAlign w:val="center"/>
          </w:tcPr>
          <w:p w14:paraId="0CF147A3"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355.750,00</w:t>
            </w:r>
          </w:p>
        </w:tc>
        <w:tc>
          <w:tcPr>
            <w:tcW w:w="362" w:type="pct"/>
            <w:gridSpan w:val="2"/>
            <w:tcBorders>
              <w:top w:val="nil"/>
              <w:left w:val="nil"/>
              <w:bottom w:val="single" w:sz="4" w:space="0" w:color="auto"/>
              <w:right w:val="single" w:sz="8" w:space="0" w:color="auto"/>
            </w:tcBorders>
            <w:shd w:val="clear" w:color="auto" w:fill="auto"/>
            <w:noWrap/>
            <w:vAlign w:val="center"/>
          </w:tcPr>
          <w:p w14:paraId="1F560000"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r w:rsidRPr="008902F2">
              <w:rPr>
                <w:rFonts w:ascii="Times New Roman" w:hAnsi="Times New Roman"/>
                <w:sz w:val="14"/>
                <w:szCs w:val="14"/>
              </w:rPr>
              <w:t>1.022.350,00</w:t>
            </w:r>
          </w:p>
        </w:tc>
        <w:tc>
          <w:tcPr>
            <w:tcW w:w="347" w:type="pct"/>
            <w:gridSpan w:val="2"/>
            <w:tcBorders>
              <w:top w:val="nil"/>
              <w:left w:val="nil"/>
              <w:bottom w:val="single" w:sz="4" w:space="0" w:color="auto"/>
              <w:right w:val="single" w:sz="8" w:space="0" w:color="auto"/>
            </w:tcBorders>
            <w:shd w:val="clear" w:color="auto" w:fill="auto"/>
            <w:noWrap/>
            <w:vAlign w:val="center"/>
          </w:tcPr>
          <w:p w14:paraId="414AB3ED" w14:textId="77777777" w:rsidR="00FD0F04" w:rsidRPr="008902F2" w:rsidRDefault="00FD0F04" w:rsidP="00FD0F04">
            <w:pPr>
              <w:spacing w:after="0" w:line="240" w:lineRule="auto"/>
              <w:jc w:val="right"/>
              <w:rPr>
                <w:rFonts w:ascii="Times New Roman" w:eastAsia="Times New Roman" w:hAnsi="Times New Roman"/>
                <w:bCs/>
                <w:sz w:val="14"/>
                <w:szCs w:val="14"/>
                <w:lang w:eastAsia="tr-TR"/>
              </w:rPr>
            </w:pPr>
            <w:r w:rsidRPr="008902F2">
              <w:rPr>
                <w:rFonts w:ascii="Times New Roman" w:hAnsi="Times New Roman"/>
                <w:sz w:val="14"/>
                <w:szCs w:val="14"/>
              </w:rPr>
              <w:t>521.979,41</w:t>
            </w:r>
          </w:p>
        </w:tc>
      </w:tr>
      <w:tr w:rsidR="00FD0F04" w:rsidRPr="008902F2" w14:paraId="1F107AF6"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1FA9050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3231EE3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408BF78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54A3466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6D03017"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4BD199F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430BF6F0"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3D0D321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single" w:sz="8" w:space="0" w:color="auto"/>
              <w:bottom w:val="nil"/>
              <w:right w:val="nil"/>
            </w:tcBorders>
            <w:shd w:val="clear" w:color="auto" w:fill="auto"/>
            <w:noWrap/>
            <w:vAlign w:val="center"/>
            <w:hideMark/>
          </w:tcPr>
          <w:p w14:paraId="3E47CBEA" w14:textId="77777777" w:rsidR="00FD0F04" w:rsidRPr="008902F2" w:rsidRDefault="00FD0F04" w:rsidP="00FD0F04">
            <w:pPr>
              <w:spacing w:after="0" w:line="240" w:lineRule="auto"/>
              <w:jc w:val="center"/>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610</w:t>
            </w:r>
          </w:p>
        </w:tc>
        <w:tc>
          <w:tcPr>
            <w:tcW w:w="96" w:type="pct"/>
            <w:tcBorders>
              <w:top w:val="nil"/>
              <w:left w:val="single" w:sz="8" w:space="0" w:color="auto"/>
              <w:bottom w:val="single" w:sz="8" w:space="0" w:color="auto"/>
              <w:right w:val="single" w:sz="8" w:space="0" w:color="auto"/>
            </w:tcBorders>
            <w:shd w:val="clear" w:color="auto" w:fill="auto"/>
            <w:noWrap/>
            <w:vAlign w:val="center"/>
            <w:hideMark/>
          </w:tcPr>
          <w:p w14:paraId="636699E3"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05</w:t>
            </w:r>
          </w:p>
        </w:tc>
        <w:tc>
          <w:tcPr>
            <w:tcW w:w="96" w:type="pct"/>
            <w:tcBorders>
              <w:top w:val="nil"/>
              <w:left w:val="nil"/>
              <w:bottom w:val="single" w:sz="8" w:space="0" w:color="auto"/>
              <w:right w:val="single" w:sz="8" w:space="0" w:color="auto"/>
            </w:tcBorders>
            <w:shd w:val="clear" w:color="auto" w:fill="auto"/>
            <w:noWrap/>
            <w:vAlign w:val="center"/>
            <w:hideMark/>
          </w:tcPr>
          <w:p w14:paraId="722A770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9</w:t>
            </w:r>
          </w:p>
        </w:tc>
        <w:tc>
          <w:tcPr>
            <w:tcW w:w="96" w:type="pct"/>
            <w:gridSpan w:val="2"/>
            <w:tcBorders>
              <w:top w:val="nil"/>
              <w:left w:val="nil"/>
              <w:bottom w:val="single" w:sz="8" w:space="0" w:color="auto"/>
              <w:right w:val="single" w:sz="8" w:space="0" w:color="auto"/>
            </w:tcBorders>
            <w:shd w:val="clear" w:color="auto" w:fill="auto"/>
            <w:noWrap/>
            <w:vAlign w:val="center"/>
            <w:hideMark/>
          </w:tcPr>
          <w:p w14:paraId="6226028A"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1</w:t>
            </w:r>
          </w:p>
        </w:tc>
        <w:tc>
          <w:tcPr>
            <w:tcW w:w="96" w:type="pct"/>
            <w:gridSpan w:val="2"/>
            <w:tcBorders>
              <w:top w:val="nil"/>
              <w:left w:val="nil"/>
              <w:bottom w:val="single" w:sz="8" w:space="0" w:color="auto"/>
              <w:right w:val="single" w:sz="8" w:space="0" w:color="auto"/>
            </w:tcBorders>
            <w:shd w:val="clear" w:color="auto" w:fill="auto"/>
            <w:noWrap/>
            <w:vAlign w:val="center"/>
            <w:hideMark/>
          </w:tcPr>
          <w:p w14:paraId="673C59A6"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99</w:t>
            </w:r>
          </w:p>
        </w:tc>
        <w:tc>
          <w:tcPr>
            <w:tcW w:w="873" w:type="pct"/>
            <w:gridSpan w:val="4"/>
            <w:tcBorders>
              <w:top w:val="single" w:sz="4" w:space="0" w:color="auto"/>
              <w:left w:val="nil"/>
              <w:bottom w:val="single" w:sz="4" w:space="0" w:color="auto"/>
              <w:right w:val="nil"/>
            </w:tcBorders>
            <w:shd w:val="clear" w:color="auto" w:fill="auto"/>
            <w:hideMark/>
          </w:tcPr>
          <w:p w14:paraId="11481644"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Miscellaneous Other Income Not Defined Above</w:t>
            </w:r>
          </w:p>
        </w:tc>
        <w:tc>
          <w:tcPr>
            <w:tcW w:w="347" w:type="pct"/>
            <w:gridSpan w:val="2"/>
            <w:tcBorders>
              <w:top w:val="nil"/>
              <w:left w:val="single" w:sz="8" w:space="0" w:color="auto"/>
              <w:bottom w:val="single" w:sz="8" w:space="0" w:color="auto"/>
              <w:right w:val="single" w:sz="8" w:space="0" w:color="auto"/>
            </w:tcBorders>
            <w:shd w:val="clear" w:color="auto" w:fill="auto"/>
            <w:noWrap/>
            <w:vAlign w:val="center"/>
          </w:tcPr>
          <w:p w14:paraId="158AE3D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1.182.430,64</w:t>
            </w:r>
          </w:p>
        </w:tc>
        <w:tc>
          <w:tcPr>
            <w:tcW w:w="362" w:type="pct"/>
            <w:gridSpan w:val="2"/>
            <w:tcBorders>
              <w:top w:val="nil"/>
              <w:left w:val="nil"/>
              <w:bottom w:val="single" w:sz="8" w:space="0" w:color="auto"/>
              <w:right w:val="single" w:sz="8" w:space="0" w:color="auto"/>
            </w:tcBorders>
            <w:shd w:val="clear" w:color="auto" w:fill="auto"/>
            <w:noWrap/>
            <w:vAlign w:val="center"/>
          </w:tcPr>
          <w:p w14:paraId="0C530D8B"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8.590.231,35</w:t>
            </w:r>
          </w:p>
        </w:tc>
        <w:tc>
          <w:tcPr>
            <w:tcW w:w="347" w:type="pct"/>
            <w:gridSpan w:val="2"/>
            <w:tcBorders>
              <w:top w:val="nil"/>
              <w:left w:val="nil"/>
              <w:bottom w:val="single" w:sz="8" w:space="0" w:color="auto"/>
              <w:right w:val="single" w:sz="8" w:space="0" w:color="auto"/>
            </w:tcBorders>
            <w:shd w:val="clear" w:color="auto" w:fill="auto"/>
            <w:noWrap/>
            <w:vAlign w:val="center"/>
          </w:tcPr>
          <w:p w14:paraId="693B329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3.367.189,19</w:t>
            </w:r>
          </w:p>
        </w:tc>
      </w:tr>
      <w:tr w:rsidR="00FD0F04" w:rsidRPr="008902F2" w14:paraId="59455B1E" w14:textId="77777777" w:rsidTr="005D26B0">
        <w:trPr>
          <w:gridAfter w:val="1"/>
          <w:wAfter w:w="8" w:type="pct"/>
          <w:trHeight w:val="23"/>
        </w:trPr>
        <w:tc>
          <w:tcPr>
            <w:tcW w:w="113" w:type="pct"/>
            <w:tcBorders>
              <w:top w:val="nil"/>
              <w:left w:val="nil"/>
              <w:bottom w:val="nil"/>
              <w:right w:val="nil"/>
            </w:tcBorders>
            <w:shd w:val="clear" w:color="auto" w:fill="auto"/>
            <w:noWrap/>
            <w:vAlign w:val="bottom"/>
            <w:hideMark/>
          </w:tcPr>
          <w:p w14:paraId="5649FA5F"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88" w:type="pct"/>
            <w:tcBorders>
              <w:top w:val="nil"/>
              <w:left w:val="nil"/>
              <w:bottom w:val="nil"/>
              <w:right w:val="nil"/>
            </w:tcBorders>
            <w:shd w:val="clear" w:color="auto" w:fill="auto"/>
            <w:noWrap/>
            <w:vAlign w:val="bottom"/>
            <w:hideMark/>
          </w:tcPr>
          <w:p w14:paraId="6F16E18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5BD7022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6279C99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53672C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44DE117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651B01F"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56DE423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386" w:type="pct"/>
            <w:gridSpan w:val="11"/>
            <w:tcBorders>
              <w:top w:val="single" w:sz="8" w:space="0" w:color="auto"/>
              <w:left w:val="single" w:sz="8" w:space="0" w:color="auto"/>
              <w:bottom w:val="single" w:sz="8" w:space="0" w:color="auto"/>
              <w:right w:val="nil"/>
            </w:tcBorders>
            <w:shd w:val="clear" w:color="auto" w:fill="auto"/>
            <w:noWrap/>
            <w:vAlign w:val="center"/>
            <w:hideMark/>
          </w:tcPr>
          <w:p w14:paraId="279F3796"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TOTAL DISCOUNT, RETURN AND DISCOUNT ( C)</w:t>
            </w:r>
          </w:p>
        </w:tc>
        <w:tc>
          <w:tcPr>
            <w:tcW w:w="347" w:type="pct"/>
            <w:gridSpan w:val="2"/>
            <w:tcBorders>
              <w:top w:val="nil"/>
              <w:left w:val="single" w:sz="8" w:space="0" w:color="auto"/>
              <w:bottom w:val="single" w:sz="8" w:space="0" w:color="auto"/>
              <w:right w:val="single" w:sz="8" w:space="0" w:color="auto"/>
            </w:tcBorders>
            <w:shd w:val="clear" w:color="auto" w:fill="auto"/>
            <w:noWrap/>
            <w:vAlign w:val="bottom"/>
          </w:tcPr>
          <w:p w14:paraId="222435C8" w14:textId="77777777" w:rsidR="00FD0F04" w:rsidRPr="008902F2" w:rsidRDefault="00FD0F04" w:rsidP="00FD0F04">
            <w:pPr>
              <w:spacing w:after="0" w:line="240" w:lineRule="auto"/>
              <w:jc w:val="righ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11.349.950,08</w:t>
            </w:r>
          </w:p>
        </w:tc>
        <w:tc>
          <w:tcPr>
            <w:tcW w:w="362" w:type="pct"/>
            <w:gridSpan w:val="2"/>
            <w:tcBorders>
              <w:top w:val="nil"/>
              <w:left w:val="nil"/>
              <w:bottom w:val="single" w:sz="8" w:space="0" w:color="auto"/>
              <w:right w:val="single" w:sz="8" w:space="0" w:color="auto"/>
            </w:tcBorders>
            <w:shd w:val="clear" w:color="auto" w:fill="auto"/>
            <w:noWrap/>
            <w:vAlign w:val="bottom"/>
          </w:tcPr>
          <w:p w14:paraId="62300DA6" w14:textId="77777777" w:rsidR="00FD0F04" w:rsidRPr="008902F2" w:rsidRDefault="00FD0F04" w:rsidP="00FD0F04">
            <w:pPr>
              <w:spacing w:after="0" w:line="240" w:lineRule="auto"/>
              <w:jc w:val="right"/>
              <w:rPr>
                <w:rFonts w:ascii="Times New Roman" w:eastAsia="Times New Roman" w:hAnsi="Times New Roman"/>
                <w:b/>
                <w:sz w:val="14"/>
                <w:szCs w:val="14"/>
                <w:lang w:eastAsia="tr-TR"/>
              </w:rPr>
            </w:pPr>
            <w:r w:rsidRPr="008902F2">
              <w:rPr>
                <w:rFonts w:ascii="Times New Roman" w:eastAsia="Times New Roman" w:hAnsi="Times New Roman"/>
                <w:b/>
                <w:sz w:val="14"/>
                <w:szCs w:val="14"/>
                <w:lang w:eastAsia="tr-TR"/>
              </w:rPr>
              <w:t>14.746.407,23</w:t>
            </w:r>
          </w:p>
        </w:tc>
        <w:tc>
          <w:tcPr>
            <w:tcW w:w="347" w:type="pct"/>
            <w:gridSpan w:val="2"/>
            <w:tcBorders>
              <w:top w:val="nil"/>
              <w:left w:val="nil"/>
              <w:bottom w:val="single" w:sz="8" w:space="0" w:color="auto"/>
              <w:right w:val="single" w:sz="8" w:space="0" w:color="auto"/>
            </w:tcBorders>
            <w:shd w:val="clear" w:color="auto" w:fill="auto"/>
            <w:noWrap/>
            <w:vAlign w:val="bottom"/>
          </w:tcPr>
          <w:p w14:paraId="68888AE5"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11.945.566,81</w:t>
            </w:r>
          </w:p>
        </w:tc>
      </w:tr>
      <w:tr w:rsidR="00FD0F04" w:rsidRPr="008902F2" w14:paraId="2B691A94"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54C5654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33CAB39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0258E2E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2704939A"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59F47D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A93421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E5A6CE6"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6E10B4F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nil"/>
              <w:bottom w:val="nil"/>
              <w:right w:val="nil"/>
            </w:tcBorders>
            <w:shd w:val="clear" w:color="auto" w:fill="auto"/>
            <w:noWrap/>
            <w:vAlign w:val="bottom"/>
            <w:hideMark/>
          </w:tcPr>
          <w:p w14:paraId="11FAE92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61CF686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6CE49B6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192A4E1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07022DC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73" w:type="pct"/>
            <w:gridSpan w:val="4"/>
            <w:tcBorders>
              <w:top w:val="nil"/>
              <w:left w:val="nil"/>
              <w:bottom w:val="nil"/>
              <w:right w:val="nil"/>
            </w:tcBorders>
            <w:shd w:val="clear" w:color="auto" w:fill="auto"/>
            <w:noWrap/>
            <w:vAlign w:val="bottom"/>
            <w:hideMark/>
          </w:tcPr>
          <w:p w14:paraId="79A232C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tcPr>
          <w:p w14:paraId="5E84060A"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62" w:type="pct"/>
            <w:gridSpan w:val="2"/>
            <w:tcBorders>
              <w:top w:val="nil"/>
              <w:left w:val="nil"/>
              <w:bottom w:val="nil"/>
              <w:right w:val="nil"/>
            </w:tcBorders>
            <w:shd w:val="clear" w:color="auto" w:fill="auto"/>
            <w:noWrap/>
            <w:vAlign w:val="bottom"/>
            <w:hideMark/>
          </w:tcPr>
          <w:p w14:paraId="09E89B8E" w14:textId="77777777" w:rsidR="00FD0F04" w:rsidRPr="008902F2" w:rsidRDefault="00FD0F04" w:rsidP="00FD0F04">
            <w:pPr>
              <w:spacing w:after="0" w:line="240" w:lineRule="auto"/>
              <w:jc w:val="righ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3BA45BF8"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r>
      <w:tr w:rsidR="00FD0F04" w:rsidRPr="008902F2" w14:paraId="6C20B016" w14:textId="77777777" w:rsidTr="005D26B0">
        <w:trPr>
          <w:gridAfter w:val="1"/>
          <w:wAfter w:w="8" w:type="pct"/>
          <w:trHeight w:val="23"/>
        </w:trPr>
        <w:tc>
          <w:tcPr>
            <w:tcW w:w="113" w:type="pct"/>
            <w:tcBorders>
              <w:top w:val="nil"/>
              <w:left w:val="nil"/>
              <w:bottom w:val="nil"/>
              <w:right w:val="nil"/>
            </w:tcBorders>
            <w:shd w:val="clear" w:color="auto" w:fill="auto"/>
            <w:noWrap/>
            <w:vAlign w:val="bottom"/>
            <w:hideMark/>
          </w:tcPr>
          <w:p w14:paraId="7A2D5F4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39AE0E60"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656A470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39339C5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0C01129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033F18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03C6398A"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669A2704"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386"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2D7B406"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NET INCOME (D)=(B - C)</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68220F69"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438.331.817,05</w:t>
            </w:r>
          </w:p>
        </w:tc>
        <w:tc>
          <w:tcPr>
            <w:tcW w:w="362" w:type="pct"/>
            <w:gridSpan w:val="2"/>
            <w:tcBorders>
              <w:top w:val="single" w:sz="8" w:space="0" w:color="auto"/>
              <w:left w:val="nil"/>
              <w:bottom w:val="single" w:sz="8" w:space="0" w:color="auto"/>
              <w:right w:val="single" w:sz="8" w:space="0" w:color="auto"/>
            </w:tcBorders>
            <w:shd w:val="clear" w:color="auto" w:fill="auto"/>
            <w:noWrap/>
            <w:vAlign w:val="center"/>
          </w:tcPr>
          <w:p w14:paraId="7DB6290D"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510.246.243,39</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5051C5DE"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896.100.234,74</w:t>
            </w:r>
          </w:p>
        </w:tc>
      </w:tr>
      <w:tr w:rsidR="00FD0F04" w:rsidRPr="008902F2" w14:paraId="154995E5"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3D101F0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88" w:type="pct"/>
            <w:tcBorders>
              <w:top w:val="nil"/>
              <w:left w:val="nil"/>
              <w:bottom w:val="nil"/>
              <w:right w:val="nil"/>
            </w:tcBorders>
            <w:shd w:val="clear" w:color="auto" w:fill="auto"/>
            <w:noWrap/>
            <w:vAlign w:val="bottom"/>
            <w:hideMark/>
          </w:tcPr>
          <w:p w14:paraId="2E83EE4B"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1659926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05526D7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463EEF62"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7726B6C"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7B9012DB"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40" w:type="pct"/>
            <w:tcBorders>
              <w:top w:val="nil"/>
              <w:left w:val="nil"/>
              <w:bottom w:val="nil"/>
              <w:right w:val="nil"/>
            </w:tcBorders>
            <w:shd w:val="clear" w:color="auto" w:fill="auto"/>
            <w:noWrap/>
            <w:vAlign w:val="bottom"/>
            <w:hideMark/>
          </w:tcPr>
          <w:p w14:paraId="613048E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129" w:type="pct"/>
            <w:tcBorders>
              <w:top w:val="nil"/>
              <w:left w:val="nil"/>
              <w:bottom w:val="nil"/>
              <w:right w:val="nil"/>
            </w:tcBorders>
            <w:shd w:val="clear" w:color="auto" w:fill="auto"/>
            <w:noWrap/>
            <w:vAlign w:val="bottom"/>
            <w:hideMark/>
          </w:tcPr>
          <w:p w14:paraId="1468BA2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10BB3368"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78AFD533"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0C92FD1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7E051779"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73" w:type="pct"/>
            <w:gridSpan w:val="4"/>
            <w:tcBorders>
              <w:top w:val="nil"/>
              <w:left w:val="nil"/>
              <w:bottom w:val="nil"/>
              <w:right w:val="nil"/>
            </w:tcBorders>
            <w:shd w:val="clear" w:color="auto" w:fill="auto"/>
            <w:noWrap/>
            <w:vAlign w:val="bottom"/>
            <w:hideMark/>
          </w:tcPr>
          <w:p w14:paraId="24628A46"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tcPr>
          <w:p w14:paraId="735F6915"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62" w:type="pct"/>
            <w:gridSpan w:val="2"/>
            <w:tcBorders>
              <w:top w:val="nil"/>
              <w:left w:val="nil"/>
              <w:bottom w:val="nil"/>
              <w:right w:val="nil"/>
            </w:tcBorders>
            <w:shd w:val="clear" w:color="auto" w:fill="auto"/>
            <w:noWrap/>
            <w:vAlign w:val="bottom"/>
            <w:hideMark/>
          </w:tcPr>
          <w:p w14:paraId="2E4F39AD"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30645CD1"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r>
      <w:tr w:rsidR="00FD0F04" w:rsidRPr="008902F2" w14:paraId="573DE513" w14:textId="77777777" w:rsidTr="005D26B0">
        <w:trPr>
          <w:gridAfter w:val="1"/>
          <w:wAfter w:w="8" w:type="pct"/>
          <w:trHeight w:val="23"/>
        </w:trPr>
        <w:tc>
          <w:tcPr>
            <w:tcW w:w="1469" w:type="pct"/>
            <w:gridSpan w:val="5"/>
            <w:tcBorders>
              <w:top w:val="single" w:sz="8" w:space="0" w:color="auto"/>
              <w:left w:val="single" w:sz="8" w:space="0" w:color="auto"/>
              <w:bottom w:val="single" w:sz="8" w:space="0" w:color="auto"/>
              <w:right w:val="nil"/>
            </w:tcBorders>
            <w:shd w:val="clear" w:color="auto" w:fill="auto"/>
            <w:noWrap/>
            <w:vAlign w:val="bottom"/>
            <w:hideMark/>
          </w:tcPr>
          <w:p w14:paraId="43082F1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TOTAL EXPENSES (A)</w:t>
            </w:r>
          </w:p>
        </w:tc>
        <w:tc>
          <w:tcPr>
            <w:tcW w:w="347" w:type="pct"/>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041280"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304.672.692,38</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33467D5C"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622.253.338,35</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3244097D"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886.756.067,29</w:t>
            </w:r>
          </w:p>
        </w:tc>
        <w:tc>
          <w:tcPr>
            <w:tcW w:w="40" w:type="pct"/>
            <w:tcBorders>
              <w:top w:val="nil"/>
              <w:left w:val="nil"/>
              <w:bottom w:val="nil"/>
              <w:right w:val="nil"/>
            </w:tcBorders>
            <w:shd w:val="clear" w:color="auto" w:fill="auto"/>
            <w:noWrap/>
            <w:vAlign w:val="bottom"/>
            <w:hideMark/>
          </w:tcPr>
          <w:p w14:paraId="772CDCCB"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p>
        </w:tc>
        <w:tc>
          <w:tcPr>
            <w:tcW w:w="1386" w:type="pct"/>
            <w:gridSpan w:val="11"/>
            <w:tcBorders>
              <w:top w:val="single" w:sz="8" w:space="0" w:color="auto"/>
              <w:left w:val="single" w:sz="8" w:space="0" w:color="auto"/>
              <w:bottom w:val="single" w:sz="8" w:space="0" w:color="auto"/>
              <w:right w:val="nil"/>
            </w:tcBorders>
            <w:shd w:val="clear" w:color="auto" w:fill="auto"/>
            <w:noWrap/>
            <w:vAlign w:val="bottom"/>
            <w:hideMark/>
          </w:tcPr>
          <w:p w14:paraId="0F1F5687"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eastAsia="Times New Roman" w:hAnsi="Times New Roman"/>
                <w:b/>
                <w:bCs/>
                <w:sz w:val="14"/>
                <w:szCs w:val="14"/>
                <w:lang w:eastAsia="tr-TR"/>
              </w:rPr>
              <w:t>RESULT OF ACTIVITY (D-A) (+/-)</w:t>
            </w:r>
          </w:p>
        </w:tc>
        <w:tc>
          <w:tcPr>
            <w:tcW w:w="347"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40473968" w14:textId="77777777" w:rsidR="00FD0F04" w:rsidRPr="008902F2" w:rsidRDefault="00FD0F04" w:rsidP="00FD0F04">
            <w:pPr>
              <w:spacing w:after="0" w:line="240" w:lineRule="auto"/>
              <w:jc w:val="left"/>
              <w:rPr>
                <w:rFonts w:ascii="Times New Roman" w:eastAsia="Times New Roman" w:hAnsi="Times New Roman"/>
                <w:b/>
                <w:bCs/>
                <w:sz w:val="14"/>
                <w:szCs w:val="14"/>
                <w:lang w:eastAsia="tr-TR"/>
              </w:rPr>
            </w:pPr>
            <w:r w:rsidRPr="008902F2">
              <w:rPr>
                <w:rFonts w:ascii="Times New Roman" w:hAnsi="Times New Roman"/>
                <w:b/>
                <w:bCs/>
                <w:sz w:val="14"/>
                <w:szCs w:val="14"/>
              </w:rPr>
              <w:t>133.659.124,67</w:t>
            </w:r>
          </w:p>
        </w:tc>
        <w:tc>
          <w:tcPr>
            <w:tcW w:w="362" w:type="pct"/>
            <w:gridSpan w:val="2"/>
            <w:tcBorders>
              <w:top w:val="single" w:sz="8" w:space="0" w:color="auto"/>
              <w:left w:val="nil"/>
              <w:bottom w:val="single" w:sz="8" w:space="0" w:color="auto"/>
              <w:right w:val="single" w:sz="8" w:space="0" w:color="auto"/>
            </w:tcBorders>
            <w:shd w:val="clear" w:color="auto" w:fill="auto"/>
            <w:noWrap/>
            <w:vAlign w:val="center"/>
          </w:tcPr>
          <w:p w14:paraId="077225BF"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-112.007.094,96</w:t>
            </w:r>
          </w:p>
        </w:tc>
        <w:tc>
          <w:tcPr>
            <w:tcW w:w="347" w:type="pct"/>
            <w:gridSpan w:val="2"/>
            <w:tcBorders>
              <w:top w:val="single" w:sz="8" w:space="0" w:color="auto"/>
              <w:left w:val="nil"/>
              <w:bottom w:val="single" w:sz="8" w:space="0" w:color="auto"/>
              <w:right w:val="single" w:sz="8" w:space="0" w:color="auto"/>
            </w:tcBorders>
            <w:shd w:val="clear" w:color="auto" w:fill="auto"/>
            <w:noWrap/>
            <w:vAlign w:val="center"/>
          </w:tcPr>
          <w:p w14:paraId="411ED77E"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r w:rsidRPr="008902F2">
              <w:rPr>
                <w:rFonts w:ascii="Times New Roman" w:hAnsi="Times New Roman"/>
                <w:b/>
                <w:bCs/>
                <w:sz w:val="14"/>
                <w:szCs w:val="14"/>
              </w:rPr>
              <w:t>9.344.167,45</w:t>
            </w:r>
          </w:p>
        </w:tc>
      </w:tr>
      <w:tr w:rsidR="00FD0F04" w:rsidRPr="008902F2" w14:paraId="18DA95A2" w14:textId="77777777" w:rsidTr="005D26B0">
        <w:trPr>
          <w:gridAfter w:val="1"/>
          <w:wAfter w:w="9" w:type="pct"/>
          <w:trHeight w:val="23"/>
        </w:trPr>
        <w:tc>
          <w:tcPr>
            <w:tcW w:w="113" w:type="pct"/>
            <w:tcBorders>
              <w:top w:val="nil"/>
              <w:left w:val="nil"/>
              <w:bottom w:val="nil"/>
              <w:right w:val="nil"/>
            </w:tcBorders>
            <w:shd w:val="clear" w:color="auto" w:fill="auto"/>
            <w:noWrap/>
            <w:vAlign w:val="bottom"/>
            <w:hideMark/>
          </w:tcPr>
          <w:p w14:paraId="7C89DDBE" w14:textId="77777777" w:rsidR="00FD0F04" w:rsidRPr="008902F2" w:rsidRDefault="00FD0F04" w:rsidP="00FD0F04">
            <w:pPr>
              <w:spacing w:after="0" w:line="240" w:lineRule="auto"/>
              <w:jc w:val="left"/>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500CCC0A"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88" w:type="pct"/>
            <w:tcBorders>
              <w:top w:val="nil"/>
              <w:left w:val="nil"/>
              <w:bottom w:val="nil"/>
              <w:right w:val="nil"/>
            </w:tcBorders>
            <w:shd w:val="clear" w:color="auto" w:fill="auto"/>
            <w:noWrap/>
            <w:vAlign w:val="bottom"/>
            <w:hideMark/>
          </w:tcPr>
          <w:p w14:paraId="15FC8BF4"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1179" w:type="pct"/>
            <w:gridSpan w:val="2"/>
            <w:tcBorders>
              <w:top w:val="nil"/>
              <w:left w:val="nil"/>
              <w:bottom w:val="nil"/>
              <w:right w:val="nil"/>
            </w:tcBorders>
            <w:shd w:val="clear" w:color="auto" w:fill="auto"/>
            <w:noWrap/>
            <w:vAlign w:val="bottom"/>
            <w:hideMark/>
          </w:tcPr>
          <w:p w14:paraId="1491CDD6"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38923514"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5C0B0BCB"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ED0482F"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40" w:type="pct"/>
            <w:tcBorders>
              <w:top w:val="nil"/>
              <w:left w:val="nil"/>
              <w:bottom w:val="nil"/>
              <w:right w:val="nil"/>
            </w:tcBorders>
            <w:shd w:val="clear" w:color="auto" w:fill="auto"/>
            <w:noWrap/>
            <w:vAlign w:val="bottom"/>
            <w:hideMark/>
          </w:tcPr>
          <w:p w14:paraId="076DF9F6"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129" w:type="pct"/>
            <w:tcBorders>
              <w:top w:val="nil"/>
              <w:left w:val="nil"/>
              <w:bottom w:val="nil"/>
              <w:right w:val="nil"/>
            </w:tcBorders>
            <w:shd w:val="clear" w:color="auto" w:fill="auto"/>
            <w:noWrap/>
            <w:vAlign w:val="bottom"/>
            <w:hideMark/>
          </w:tcPr>
          <w:p w14:paraId="211AFF67"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23C4CC44"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6" w:type="pct"/>
            <w:tcBorders>
              <w:top w:val="nil"/>
              <w:left w:val="nil"/>
              <w:bottom w:val="nil"/>
              <w:right w:val="nil"/>
            </w:tcBorders>
            <w:shd w:val="clear" w:color="auto" w:fill="auto"/>
            <w:noWrap/>
            <w:vAlign w:val="bottom"/>
            <w:hideMark/>
          </w:tcPr>
          <w:p w14:paraId="4FDD08DF"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6DAA2761"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96" w:type="pct"/>
            <w:gridSpan w:val="2"/>
            <w:tcBorders>
              <w:top w:val="nil"/>
              <w:left w:val="nil"/>
              <w:bottom w:val="nil"/>
              <w:right w:val="nil"/>
            </w:tcBorders>
            <w:shd w:val="clear" w:color="auto" w:fill="auto"/>
            <w:noWrap/>
            <w:vAlign w:val="bottom"/>
            <w:hideMark/>
          </w:tcPr>
          <w:p w14:paraId="33B5A24F"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873" w:type="pct"/>
            <w:gridSpan w:val="4"/>
            <w:tcBorders>
              <w:top w:val="nil"/>
              <w:left w:val="nil"/>
              <w:bottom w:val="nil"/>
              <w:right w:val="nil"/>
            </w:tcBorders>
            <w:shd w:val="clear" w:color="auto" w:fill="auto"/>
            <w:noWrap/>
            <w:vAlign w:val="bottom"/>
            <w:hideMark/>
          </w:tcPr>
          <w:p w14:paraId="5A208418"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47" w:type="pct"/>
            <w:gridSpan w:val="2"/>
            <w:tcBorders>
              <w:top w:val="nil"/>
              <w:left w:val="nil"/>
              <w:bottom w:val="nil"/>
              <w:right w:val="nil"/>
            </w:tcBorders>
            <w:shd w:val="clear" w:color="auto" w:fill="auto"/>
            <w:noWrap/>
            <w:vAlign w:val="bottom"/>
            <w:hideMark/>
          </w:tcPr>
          <w:p w14:paraId="2C786CEE" w14:textId="77777777" w:rsidR="00FD0F04" w:rsidRPr="008902F2" w:rsidRDefault="00FD0F04" w:rsidP="00FD0F04">
            <w:pPr>
              <w:spacing w:after="0" w:line="240" w:lineRule="auto"/>
              <w:jc w:val="center"/>
              <w:rPr>
                <w:rFonts w:ascii="Times New Roman" w:eastAsia="Times New Roman" w:hAnsi="Times New Roman"/>
                <w:sz w:val="14"/>
                <w:szCs w:val="14"/>
                <w:lang w:eastAsia="tr-TR"/>
              </w:rPr>
            </w:pPr>
          </w:p>
        </w:tc>
        <w:tc>
          <w:tcPr>
            <w:tcW w:w="362" w:type="pct"/>
            <w:gridSpan w:val="2"/>
            <w:tcBorders>
              <w:top w:val="nil"/>
              <w:left w:val="nil"/>
              <w:bottom w:val="nil"/>
              <w:right w:val="nil"/>
            </w:tcBorders>
            <w:shd w:val="clear" w:color="auto" w:fill="auto"/>
            <w:noWrap/>
            <w:vAlign w:val="bottom"/>
            <w:hideMark/>
          </w:tcPr>
          <w:p w14:paraId="22F7A2A1"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c>
          <w:tcPr>
            <w:tcW w:w="347" w:type="pct"/>
            <w:gridSpan w:val="2"/>
            <w:tcBorders>
              <w:top w:val="nil"/>
              <w:left w:val="nil"/>
              <w:bottom w:val="nil"/>
              <w:right w:val="nil"/>
            </w:tcBorders>
            <w:shd w:val="clear" w:color="auto" w:fill="auto"/>
            <w:noWrap/>
            <w:vAlign w:val="bottom"/>
            <w:hideMark/>
          </w:tcPr>
          <w:p w14:paraId="1126CEDC" w14:textId="77777777" w:rsidR="00FD0F04" w:rsidRPr="008902F2" w:rsidRDefault="00FD0F04" w:rsidP="00FD0F04">
            <w:pPr>
              <w:spacing w:after="0" w:line="240" w:lineRule="auto"/>
              <w:jc w:val="right"/>
              <w:rPr>
                <w:rFonts w:ascii="Times New Roman" w:eastAsia="Times New Roman" w:hAnsi="Times New Roman"/>
                <w:b/>
                <w:bCs/>
                <w:sz w:val="14"/>
                <w:szCs w:val="14"/>
                <w:lang w:eastAsia="tr-TR"/>
              </w:rPr>
            </w:pPr>
          </w:p>
        </w:tc>
      </w:tr>
    </w:tbl>
    <w:p w14:paraId="14AB14D0" w14:textId="77777777" w:rsidR="00FD0F04" w:rsidRPr="008902F2" w:rsidRDefault="00FD0F04" w:rsidP="00FD0F04">
      <w:pPr>
        <w:jc w:val="center"/>
        <w:rPr>
          <w:rFonts w:ascii="Times New Roman" w:hAnsi="Times New Roman"/>
          <w:b/>
          <w:sz w:val="18"/>
          <w:szCs w:val="18"/>
          <w:highlight w:val="yellow"/>
        </w:rPr>
      </w:pPr>
    </w:p>
    <w:p w14:paraId="024A2271" w14:textId="77777777" w:rsidR="00FD0F04" w:rsidRPr="008902F2" w:rsidRDefault="00FD0F04" w:rsidP="00FD0F04">
      <w:pPr>
        <w:contextualSpacing/>
        <w:rPr>
          <w:rFonts w:ascii="Times New Roman" w:hAnsi="Times New Roman"/>
          <w:b/>
          <w:sz w:val="18"/>
          <w:szCs w:val="18"/>
          <w:highlight w:val="yellow"/>
        </w:rPr>
      </w:pPr>
      <w:r w:rsidRPr="008902F2">
        <w:rPr>
          <w:rFonts w:ascii="Times New Roman" w:hAnsi="Times New Roman"/>
          <w:sz w:val="18"/>
          <w:szCs w:val="18"/>
        </w:rPr>
        <w:t>*</w:t>
      </w:r>
      <w:r w:rsidRPr="008902F2">
        <w:rPr>
          <w:rFonts w:ascii="Times New Roman" w:hAnsi="Times New Roman"/>
        </w:rPr>
        <w:t xml:space="preserve"> </w:t>
      </w:r>
      <w:r w:rsidRPr="008902F2">
        <w:rPr>
          <w:rFonts w:ascii="Times New Roman" w:hAnsi="Times New Roman"/>
          <w:i/>
          <w:sz w:val="18"/>
          <w:szCs w:val="18"/>
        </w:rPr>
        <w:t>The reason for the difference between the Income-Expense amounts in this table and the Income-Expenditure amounts in the Budget Implementation Results section is that the amounts in the Budget Implementation Results section are collection-based.</w:t>
      </w:r>
    </w:p>
    <w:p w14:paraId="398F6A1B" w14:textId="57B70E7B" w:rsidR="6F691FB8" w:rsidRPr="008902F2" w:rsidRDefault="6F691FB8" w:rsidP="6F691FB8">
      <w:pPr>
        <w:pStyle w:val="Balk1"/>
        <w:rPr>
          <w:rFonts w:ascii="Times New Roman" w:hAnsi="Times New Roman" w:cs="Times New Roman"/>
          <w:color w:val="000000" w:themeColor="text1"/>
          <w:szCs w:val="22"/>
        </w:rPr>
      </w:pPr>
    </w:p>
    <w:p w14:paraId="0D4037D7" w14:textId="4A47F62C" w:rsidR="00FD0F04" w:rsidRPr="008902F2" w:rsidRDefault="00FD0F04" w:rsidP="00FD0F04">
      <w:pPr>
        <w:rPr>
          <w:rFonts w:ascii="Times New Roman" w:hAnsi="Times New Roman"/>
        </w:rPr>
      </w:pPr>
    </w:p>
    <w:p w14:paraId="02BC6C47" w14:textId="77777777" w:rsidR="00600A08" w:rsidRPr="008902F2" w:rsidRDefault="00600A08" w:rsidP="00FD0F04">
      <w:pPr>
        <w:rPr>
          <w:rFonts w:ascii="Times New Roman" w:hAnsi="Times New Roman"/>
        </w:rPr>
      </w:pPr>
    </w:p>
    <w:p w14:paraId="5CB7FF49" w14:textId="77777777" w:rsidR="00600A08" w:rsidRPr="008902F2" w:rsidRDefault="00600A08" w:rsidP="00600A08">
      <w:pPr>
        <w:pStyle w:val="ListeParagraf"/>
        <w:rPr>
          <w:rFonts w:ascii="Times New Roman" w:hAnsi="Times New Roman"/>
          <w:b/>
          <w:sz w:val="18"/>
          <w:szCs w:val="18"/>
          <w:highlight w:val="yellow"/>
        </w:rPr>
      </w:pPr>
    </w:p>
    <w:p w14:paraId="2D9D4C89" w14:textId="77777777" w:rsidR="00AE16BB" w:rsidRPr="008902F2" w:rsidRDefault="00AE16BB" w:rsidP="00AE16BB">
      <w:pPr>
        <w:keepNext/>
        <w:keepLines/>
        <w:spacing w:before="480" w:after="0"/>
        <w:outlineLvl w:val="0"/>
        <w:rPr>
          <w:rFonts w:ascii="Times New Roman" w:eastAsiaTheme="majorEastAsia" w:hAnsi="Times New Roman"/>
          <w:b/>
          <w:bCs/>
          <w:color w:val="000000" w:themeColor="text1"/>
          <w:lang w:val="en-GB"/>
        </w:rPr>
      </w:pPr>
    </w:p>
    <w:p w14:paraId="068DE45D" w14:textId="77777777" w:rsidR="00AE16BB" w:rsidRPr="008902F2" w:rsidRDefault="00AE16BB" w:rsidP="00AE16BB">
      <w:pPr>
        <w:rPr>
          <w:rFonts w:ascii="Times New Roman" w:hAnsi="Times New Roman"/>
          <w:lang w:val="en-GB"/>
        </w:rPr>
      </w:pPr>
    </w:p>
    <w:p w14:paraId="0C7E66EE" w14:textId="77777777" w:rsidR="00AE16BB" w:rsidRPr="008902F2" w:rsidRDefault="00AE16BB" w:rsidP="00AE16BB">
      <w:pPr>
        <w:rPr>
          <w:rFonts w:ascii="Times New Roman" w:hAnsi="Times New Roman"/>
          <w:lang w:val="en-GB"/>
        </w:rPr>
      </w:pPr>
      <w:r w:rsidRPr="008902F2">
        <w:rPr>
          <w:rFonts w:ascii="Times New Roman" w:hAnsi="Times New Roman"/>
          <w:noProof/>
          <w:lang w:val="en-US"/>
        </w:rPr>
        <w:drawing>
          <wp:inline distT="0" distB="0" distL="0" distR="0" wp14:anchorId="36CBB08A" wp14:editId="3081CA3C">
            <wp:extent cx="7583103" cy="476948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583103" cy="4769485"/>
                    </a:xfrm>
                    <a:prstGeom prst="rect">
                      <a:avLst/>
                    </a:prstGeom>
                    <a:noFill/>
                    <a:ln>
                      <a:noFill/>
                    </a:ln>
                  </pic:spPr>
                </pic:pic>
              </a:graphicData>
            </a:graphic>
          </wp:inline>
        </w:drawing>
      </w:r>
    </w:p>
    <w:tbl>
      <w:tblPr>
        <w:tblW w:w="6860" w:type="pct"/>
        <w:tblLayout w:type="fixed"/>
        <w:tblCellMar>
          <w:left w:w="70" w:type="dxa"/>
          <w:right w:w="70" w:type="dxa"/>
        </w:tblCellMar>
        <w:tblLook w:val="04A0" w:firstRow="1" w:lastRow="0" w:firstColumn="1" w:lastColumn="0" w:noHBand="0" w:noVBand="1"/>
      </w:tblPr>
      <w:tblGrid>
        <w:gridCol w:w="162"/>
        <w:gridCol w:w="383"/>
        <w:gridCol w:w="2596"/>
        <w:gridCol w:w="1435"/>
        <w:gridCol w:w="1435"/>
        <w:gridCol w:w="1474"/>
        <w:gridCol w:w="165"/>
        <w:gridCol w:w="313"/>
        <w:gridCol w:w="3375"/>
        <w:gridCol w:w="1561"/>
        <w:gridCol w:w="1418"/>
        <w:gridCol w:w="1540"/>
        <w:gridCol w:w="1474"/>
        <w:gridCol w:w="1474"/>
        <w:gridCol w:w="1474"/>
        <w:gridCol w:w="1466"/>
      </w:tblGrid>
      <w:tr w:rsidR="00AE16BB" w:rsidRPr="008902F2" w14:paraId="1C0507C4"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tcPr>
          <w:p w14:paraId="683F733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88" w:type="pct"/>
            <w:tcBorders>
              <w:top w:val="nil"/>
              <w:left w:val="nil"/>
              <w:bottom w:val="nil"/>
              <w:right w:val="nil"/>
            </w:tcBorders>
            <w:shd w:val="clear" w:color="auto" w:fill="auto"/>
            <w:noWrap/>
            <w:vAlign w:val="center"/>
          </w:tcPr>
          <w:p w14:paraId="65337B50"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bottom w:val="nil"/>
              <w:right w:val="single" w:sz="8" w:space="0" w:color="auto"/>
            </w:tcBorders>
            <w:shd w:val="clear" w:color="auto" w:fill="auto"/>
            <w:noWrap/>
            <w:vAlign w:val="center"/>
          </w:tcPr>
          <w:p w14:paraId="030E9BB6"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330" w:type="pct"/>
            <w:tcBorders>
              <w:top w:val="nil"/>
              <w:left w:val="nil"/>
              <w:bottom w:val="nil"/>
              <w:right w:val="single" w:sz="8" w:space="0" w:color="auto"/>
            </w:tcBorders>
            <w:shd w:val="clear" w:color="auto" w:fill="auto"/>
            <w:noWrap/>
            <w:vAlign w:val="center"/>
          </w:tcPr>
          <w:p w14:paraId="62783AF4" w14:textId="77777777" w:rsidR="00AE16BB" w:rsidRPr="008902F2" w:rsidRDefault="00AE16BB" w:rsidP="00AE16BB">
            <w:pPr>
              <w:spacing w:after="0" w:line="240" w:lineRule="auto"/>
              <w:jc w:val="right"/>
              <w:rPr>
                <w:rFonts w:ascii="Times New Roman" w:hAnsi="Times New Roman"/>
                <w:color w:val="000000"/>
                <w:sz w:val="16"/>
                <w:szCs w:val="16"/>
                <w:lang w:val="en-GB"/>
              </w:rPr>
            </w:pPr>
          </w:p>
        </w:tc>
        <w:tc>
          <w:tcPr>
            <w:tcW w:w="330" w:type="pct"/>
            <w:tcBorders>
              <w:top w:val="nil"/>
              <w:left w:val="nil"/>
              <w:bottom w:val="nil"/>
              <w:right w:val="single" w:sz="8" w:space="0" w:color="auto"/>
            </w:tcBorders>
            <w:shd w:val="clear" w:color="auto" w:fill="auto"/>
            <w:noWrap/>
            <w:vAlign w:val="center"/>
          </w:tcPr>
          <w:p w14:paraId="397A986E" w14:textId="77777777" w:rsidR="00AE16BB" w:rsidRPr="008902F2" w:rsidRDefault="00AE16BB" w:rsidP="00AE16BB">
            <w:pPr>
              <w:spacing w:after="0" w:line="240" w:lineRule="auto"/>
              <w:jc w:val="right"/>
              <w:rPr>
                <w:rFonts w:ascii="Times New Roman" w:hAnsi="Times New Roman"/>
                <w:color w:val="000000"/>
                <w:sz w:val="16"/>
                <w:szCs w:val="16"/>
                <w:lang w:val="en-GB"/>
              </w:rPr>
            </w:pPr>
          </w:p>
        </w:tc>
        <w:tc>
          <w:tcPr>
            <w:tcW w:w="339" w:type="pct"/>
            <w:tcBorders>
              <w:top w:val="nil"/>
              <w:left w:val="nil"/>
              <w:bottom w:val="nil"/>
              <w:right w:val="single" w:sz="8" w:space="0" w:color="auto"/>
            </w:tcBorders>
            <w:shd w:val="clear" w:color="auto" w:fill="auto"/>
            <w:noWrap/>
            <w:vAlign w:val="center"/>
          </w:tcPr>
          <w:p w14:paraId="2F36931F" w14:textId="77777777" w:rsidR="00AE16BB" w:rsidRPr="008902F2" w:rsidRDefault="00AE16BB" w:rsidP="00AE16BB">
            <w:pPr>
              <w:spacing w:after="0" w:line="240" w:lineRule="auto"/>
              <w:jc w:val="right"/>
              <w:rPr>
                <w:rFonts w:ascii="Times New Roman" w:hAnsi="Times New Roman"/>
                <w:color w:val="000000"/>
                <w:sz w:val="16"/>
                <w:szCs w:val="16"/>
                <w:lang w:val="en-GB"/>
              </w:rPr>
            </w:pPr>
          </w:p>
        </w:tc>
        <w:tc>
          <w:tcPr>
            <w:tcW w:w="38" w:type="pct"/>
            <w:tcBorders>
              <w:top w:val="nil"/>
              <w:left w:val="nil"/>
              <w:bottom w:val="nil"/>
              <w:right w:val="nil"/>
            </w:tcBorders>
            <w:shd w:val="clear" w:color="auto" w:fill="auto"/>
            <w:noWrap/>
            <w:vAlign w:val="bottom"/>
          </w:tcPr>
          <w:p w14:paraId="5BB6D9F6"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2" w:type="pct"/>
            <w:tcBorders>
              <w:top w:val="nil"/>
              <w:left w:val="nil"/>
              <w:bottom w:val="nil"/>
              <w:right w:val="nil"/>
            </w:tcBorders>
            <w:shd w:val="clear" w:color="auto" w:fill="auto"/>
            <w:noWrap/>
            <w:vAlign w:val="bottom"/>
          </w:tcPr>
          <w:p w14:paraId="10D49A12"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776" w:type="pct"/>
            <w:tcBorders>
              <w:top w:val="nil"/>
              <w:left w:val="nil"/>
              <w:bottom w:val="nil"/>
              <w:right w:val="nil"/>
            </w:tcBorders>
            <w:shd w:val="clear" w:color="auto" w:fill="auto"/>
            <w:noWrap/>
            <w:vAlign w:val="bottom"/>
          </w:tcPr>
          <w:p w14:paraId="47276700"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bottom"/>
          </w:tcPr>
          <w:p w14:paraId="4DA74942"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c>
          <w:tcPr>
            <w:tcW w:w="326" w:type="pct"/>
            <w:tcBorders>
              <w:top w:val="nil"/>
              <w:left w:val="nil"/>
              <w:bottom w:val="nil"/>
              <w:right w:val="nil"/>
            </w:tcBorders>
            <w:shd w:val="clear" w:color="auto" w:fill="auto"/>
            <w:noWrap/>
            <w:vAlign w:val="bottom"/>
          </w:tcPr>
          <w:p w14:paraId="25B25626"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c>
          <w:tcPr>
            <w:tcW w:w="354" w:type="pct"/>
            <w:tcBorders>
              <w:top w:val="nil"/>
              <w:left w:val="single" w:sz="8" w:space="0" w:color="auto"/>
              <w:bottom w:val="nil"/>
              <w:right w:val="single" w:sz="8" w:space="0" w:color="auto"/>
            </w:tcBorders>
            <w:shd w:val="clear" w:color="auto" w:fill="auto"/>
            <w:noWrap/>
            <w:vAlign w:val="bottom"/>
          </w:tcPr>
          <w:p w14:paraId="459FBC3B"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r>
      <w:tr w:rsidR="00AE16BB" w:rsidRPr="008902F2" w14:paraId="09AB36F2"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0807A600"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88" w:type="pct"/>
            <w:tcBorders>
              <w:top w:val="nil"/>
              <w:left w:val="nil"/>
              <w:bottom w:val="nil"/>
              <w:right w:val="nil"/>
            </w:tcBorders>
            <w:shd w:val="clear" w:color="auto" w:fill="auto"/>
            <w:noWrap/>
            <w:vAlign w:val="center"/>
            <w:hideMark/>
          </w:tcPr>
          <w:p w14:paraId="2877FF8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bottom w:val="nil"/>
              <w:right w:val="single" w:sz="8" w:space="0" w:color="auto"/>
            </w:tcBorders>
            <w:shd w:val="clear" w:color="auto" w:fill="auto"/>
            <w:noWrap/>
            <w:vAlign w:val="center"/>
            <w:hideMark/>
          </w:tcPr>
          <w:p w14:paraId="1E92BA5B"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253-</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Plant, Machinery and Devices</w:t>
            </w:r>
          </w:p>
        </w:tc>
        <w:tc>
          <w:tcPr>
            <w:tcW w:w="330" w:type="pct"/>
            <w:tcBorders>
              <w:top w:val="nil"/>
              <w:left w:val="nil"/>
              <w:bottom w:val="nil"/>
              <w:right w:val="single" w:sz="8" w:space="0" w:color="auto"/>
            </w:tcBorders>
            <w:shd w:val="clear" w:color="auto" w:fill="auto"/>
            <w:noWrap/>
            <w:vAlign w:val="center"/>
          </w:tcPr>
          <w:p w14:paraId="7E04068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5.504.656,26</w:t>
            </w:r>
          </w:p>
        </w:tc>
        <w:tc>
          <w:tcPr>
            <w:tcW w:w="330" w:type="pct"/>
            <w:tcBorders>
              <w:top w:val="nil"/>
              <w:left w:val="nil"/>
              <w:bottom w:val="nil"/>
              <w:right w:val="single" w:sz="8" w:space="0" w:color="auto"/>
            </w:tcBorders>
            <w:shd w:val="clear" w:color="auto" w:fill="auto"/>
            <w:noWrap/>
            <w:vAlign w:val="center"/>
          </w:tcPr>
          <w:p w14:paraId="7B7A6DB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5.597.857,52</w:t>
            </w:r>
          </w:p>
        </w:tc>
        <w:tc>
          <w:tcPr>
            <w:tcW w:w="339" w:type="pct"/>
            <w:tcBorders>
              <w:top w:val="nil"/>
              <w:left w:val="nil"/>
              <w:bottom w:val="nil"/>
              <w:right w:val="single" w:sz="8" w:space="0" w:color="auto"/>
            </w:tcBorders>
            <w:shd w:val="clear" w:color="auto" w:fill="auto"/>
            <w:noWrap/>
            <w:vAlign w:val="center"/>
          </w:tcPr>
          <w:p w14:paraId="22CFB9D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5.873.704,52</w:t>
            </w:r>
          </w:p>
        </w:tc>
        <w:tc>
          <w:tcPr>
            <w:tcW w:w="38" w:type="pct"/>
            <w:tcBorders>
              <w:top w:val="nil"/>
              <w:left w:val="nil"/>
              <w:bottom w:val="nil"/>
              <w:right w:val="nil"/>
            </w:tcBorders>
            <w:shd w:val="clear" w:color="auto" w:fill="auto"/>
            <w:noWrap/>
            <w:vAlign w:val="center"/>
            <w:hideMark/>
          </w:tcPr>
          <w:p w14:paraId="1619DF3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bottom"/>
            <w:hideMark/>
          </w:tcPr>
          <w:p w14:paraId="79947CCB"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bottom"/>
            <w:hideMark/>
          </w:tcPr>
          <w:p w14:paraId="50846CB5"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034B4A6D"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326" w:type="pct"/>
            <w:tcBorders>
              <w:top w:val="nil"/>
              <w:left w:val="nil"/>
              <w:bottom w:val="nil"/>
              <w:right w:val="nil"/>
            </w:tcBorders>
            <w:shd w:val="clear" w:color="auto" w:fill="auto"/>
            <w:noWrap/>
            <w:vAlign w:val="bottom"/>
            <w:hideMark/>
          </w:tcPr>
          <w:p w14:paraId="7A72F5EF"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2751D6D3"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r>
      <w:tr w:rsidR="00AE16BB" w:rsidRPr="008902F2" w14:paraId="67AECDBE"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086790AC"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88" w:type="pct"/>
            <w:tcBorders>
              <w:top w:val="nil"/>
              <w:left w:val="nil"/>
              <w:bottom w:val="nil"/>
              <w:right w:val="nil"/>
            </w:tcBorders>
            <w:shd w:val="clear" w:color="auto" w:fill="auto"/>
            <w:noWrap/>
            <w:vAlign w:val="center"/>
            <w:hideMark/>
          </w:tcPr>
          <w:p w14:paraId="0825D72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bottom w:val="nil"/>
              <w:right w:val="single" w:sz="8" w:space="0" w:color="auto"/>
            </w:tcBorders>
            <w:shd w:val="clear" w:color="auto" w:fill="auto"/>
            <w:noWrap/>
            <w:vAlign w:val="center"/>
            <w:hideMark/>
          </w:tcPr>
          <w:p w14:paraId="2EBB9D4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254-</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Vehicles Account</w:t>
            </w:r>
          </w:p>
        </w:tc>
        <w:tc>
          <w:tcPr>
            <w:tcW w:w="330" w:type="pct"/>
            <w:tcBorders>
              <w:top w:val="nil"/>
              <w:left w:val="nil"/>
              <w:bottom w:val="nil"/>
              <w:right w:val="single" w:sz="8" w:space="0" w:color="auto"/>
            </w:tcBorders>
            <w:shd w:val="clear" w:color="auto" w:fill="auto"/>
            <w:noWrap/>
            <w:vAlign w:val="center"/>
          </w:tcPr>
          <w:p w14:paraId="6E8D89C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0</w:t>
            </w:r>
          </w:p>
        </w:tc>
        <w:tc>
          <w:tcPr>
            <w:tcW w:w="330" w:type="pct"/>
            <w:tcBorders>
              <w:top w:val="nil"/>
              <w:left w:val="nil"/>
              <w:bottom w:val="nil"/>
              <w:right w:val="single" w:sz="8" w:space="0" w:color="auto"/>
            </w:tcBorders>
            <w:shd w:val="clear" w:color="auto" w:fill="auto"/>
            <w:noWrap/>
            <w:vAlign w:val="center"/>
          </w:tcPr>
          <w:p w14:paraId="46EB811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0</w:t>
            </w:r>
          </w:p>
        </w:tc>
        <w:tc>
          <w:tcPr>
            <w:tcW w:w="339" w:type="pct"/>
            <w:tcBorders>
              <w:top w:val="nil"/>
              <w:left w:val="nil"/>
              <w:bottom w:val="nil"/>
              <w:right w:val="single" w:sz="8" w:space="0" w:color="auto"/>
            </w:tcBorders>
            <w:shd w:val="clear" w:color="auto" w:fill="auto"/>
            <w:noWrap/>
            <w:vAlign w:val="center"/>
          </w:tcPr>
          <w:p w14:paraId="53C43B7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0</w:t>
            </w:r>
          </w:p>
        </w:tc>
        <w:tc>
          <w:tcPr>
            <w:tcW w:w="38" w:type="pct"/>
            <w:tcBorders>
              <w:top w:val="nil"/>
              <w:left w:val="nil"/>
              <w:bottom w:val="nil"/>
              <w:right w:val="nil"/>
            </w:tcBorders>
            <w:shd w:val="clear" w:color="auto" w:fill="auto"/>
            <w:noWrap/>
            <w:vAlign w:val="center"/>
            <w:hideMark/>
          </w:tcPr>
          <w:p w14:paraId="2A2A954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bottom"/>
            <w:hideMark/>
          </w:tcPr>
          <w:p w14:paraId="3EADBC7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bottom"/>
            <w:hideMark/>
          </w:tcPr>
          <w:p w14:paraId="2A238B0E"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309A548E"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326" w:type="pct"/>
            <w:tcBorders>
              <w:top w:val="nil"/>
              <w:left w:val="nil"/>
              <w:bottom w:val="nil"/>
              <w:right w:val="nil"/>
            </w:tcBorders>
            <w:shd w:val="clear" w:color="auto" w:fill="auto"/>
            <w:noWrap/>
            <w:vAlign w:val="bottom"/>
            <w:hideMark/>
          </w:tcPr>
          <w:p w14:paraId="2BAA9578"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4A34D3D1"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r>
      <w:tr w:rsidR="00AE16BB" w:rsidRPr="008902F2" w14:paraId="629A8211"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3817E38A"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88" w:type="pct"/>
            <w:tcBorders>
              <w:top w:val="nil"/>
              <w:left w:val="nil"/>
              <w:bottom w:val="nil"/>
              <w:right w:val="nil"/>
            </w:tcBorders>
            <w:shd w:val="clear" w:color="auto" w:fill="auto"/>
            <w:noWrap/>
            <w:vAlign w:val="center"/>
            <w:hideMark/>
          </w:tcPr>
          <w:p w14:paraId="0781061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bottom w:val="nil"/>
              <w:right w:val="single" w:sz="8" w:space="0" w:color="auto"/>
            </w:tcBorders>
            <w:shd w:val="clear" w:color="auto" w:fill="auto"/>
            <w:noWrap/>
            <w:vAlign w:val="center"/>
            <w:hideMark/>
          </w:tcPr>
          <w:p w14:paraId="7BD37BD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255-</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Fixed Assets Account</w:t>
            </w:r>
          </w:p>
        </w:tc>
        <w:tc>
          <w:tcPr>
            <w:tcW w:w="330" w:type="pct"/>
            <w:tcBorders>
              <w:top w:val="nil"/>
              <w:left w:val="nil"/>
              <w:bottom w:val="nil"/>
              <w:right w:val="single" w:sz="8" w:space="0" w:color="auto"/>
            </w:tcBorders>
            <w:shd w:val="clear" w:color="auto" w:fill="auto"/>
            <w:noWrap/>
            <w:vAlign w:val="center"/>
          </w:tcPr>
          <w:p w14:paraId="7B42DEF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43.720.953,55</w:t>
            </w:r>
          </w:p>
        </w:tc>
        <w:tc>
          <w:tcPr>
            <w:tcW w:w="330" w:type="pct"/>
            <w:tcBorders>
              <w:top w:val="nil"/>
              <w:left w:val="nil"/>
              <w:bottom w:val="nil"/>
              <w:right w:val="single" w:sz="8" w:space="0" w:color="auto"/>
            </w:tcBorders>
            <w:shd w:val="clear" w:color="auto" w:fill="auto"/>
            <w:noWrap/>
            <w:vAlign w:val="center"/>
          </w:tcPr>
          <w:p w14:paraId="4F7181B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45.024.457,01</w:t>
            </w:r>
          </w:p>
        </w:tc>
        <w:tc>
          <w:tcPr>
            <w:tcW w:w="339" w:type="pct"/>
            <w:tcBorders>
              <w:top w:val="nil"/>
              <w:left w:val="nil"/>
              <w:bottom w:val="nil"/>
              <w:right w:val="single" w:sz="8" w:space="0" w:color="auto"/>
            </w:tcBorders>
            <w:shd w:val="clear" w:color="auto" w:fill="auto"/>
            <w:noWrap/>
            <w:vAlign w:val="center"/>
          </w:tcPr>
          <w:p w14:paraId="508A931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46.865.700,54</w:t>
            </w:r>
          </w:p>
        </w:tc>
        <w:tc>
          <w:tcPr>
            <w:tcW w:w="38" w:type="pct"/>
            <w:tcBorders>
              <w:top w:val="nil"/>
              <w:left w:val="nil"/>
              <w:bottom w:val="nil"/>
              <w:right w:val="nil"/>
            </w:tcBorders>
            <w:shd w:val="clear" w:color="auto" w:fill="auto"/>
            <w:noWrap/>
            <w:vAlign w:val="center"/>
            <w:hideMark/>
          </w:tcPr>
          <w:p w14:paraId="6F3A9181"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bottom"/>
            <w:hideMark/>
          </w:tcPr>
          <w:p w14:paraId="34ECF721"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bottom"/>
            <w:hideMark/>
          </w:tcPr>
          <w:p w14:paraId="01D16ACF"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59FB350E"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326" w:type="pct"/>
            <w:tcBorders>
              <w:top w:val="nil"/>
              <w:left w:val="nil"/>
              <w:bottom w:val="nil"/>
              <w:right w:val="nil"/>
            </w:tcBorders>
            <w:shd w:val="clear" w:color="auto" w:fill="auto"/>
            <w:noWrap/>
            <w:vAlign w:val="bottom"/>
            <w:hideMark/>
          </w:tcPr>
          <w:p w14:paraId="152F3A39"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4FD968E9" w14:textId="77777777" w:rsidR="00AE16BB" w:rsidRPr="008902F2" w:rsidRDefault="00AE16BB" w:rsidP="00AE16BB">
            <w:pPr>
              <w:spacing w:after="0" w:line="240" w:lineRule="auto"/>
              <w:jc w:val="righ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r>
      <w:tr w:rsidR="00AE16BB" w:rsidRPr="008902F2" w14:paraId="173A4531"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5C7CB4B2"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88" w:type="pct"/>
            <w:tcBorders>
              <w:top w:val="nil"/>
              <w:left w:val="nil"/>
              <w:bottom w:val="nil"/>
              <w:right w:val="nil"/>
            </w:tcBorders>
            <w:shd w:val="clear" w:color="auto" w:fill="auto"/>
            <w:noWrap/>
            <w:vAlign w:val="center"/>
            <w:hideMark/>
          </w:tcPr>
          <w:p w14:paraId="372CE76F"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bottom w:val="nil"/>
              <w:right w:val="single" w:sz="8" w:space="0" w:color="auto"/>
            </w:tcBorders>
            <w:shd w:val="clear" w:color="auto" w:fill="auto"/>
            <w:noWrap/>
            <w:vAlign w:val="center"/>
            <w:hideMark/>
          </w:tcPr>
          <w:p w14:paraId="50B74DD6"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257-</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Accumulated Depreciation Account (-)</w:t>
            </w:r>
          </w:p>
        </w:tc>
        <w:tc>
          <w:tcPr>
            <w:tcW w:w="330" w:type="pct"/>
            <w:tcBorders>
              <w:top w:val="nil"/>
              <w:left w:val="nil"/>
              <w:bottom w:val="nil"/>
              <w:right w:val="single" w:sz="8" w:space="0" w:color="auto"/>
            </w:tcBorders>
            <w:shd w:val="clear" w:color="auto" w:fill="auto"/>
            <w:noWrap/>
            <w:vAlign w:val="center"/>
          </w:tcPr>
          <w:p w14:paraId="2331F3A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-49.883.297,47</w:t>
            </w:r>
          </w:p>
        </w:tc>
        <w:tc>
          <w:tcPr>
            <w:tcW w:w="330" w:type="pct"/>
            <w:tcBorders>
              <w:top w:val="nil"/>
              <w:left w:val="nil"/>
              <w:bottom w:val="nil"/>
              <w:right w:val="single" w:sz="8" w:space="0" w:color="auto"/>
            </w:tcBorders>
            <w:shd w:val="clear" w:color="auto" w:fill="auto"/>
            <w:noWrap/>
            <w:vAlign w:val="center"/>
          </w:tcPr>
          <w:p w14:paraId="4E5CBFC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-55.380.133,79</w:t>
            </w:r>
          </w:p>
        </w:tc>
        <w:tc>
          <w:tcPr>
            <w:tcW w:w="339" w:type="pct"/>
            <w:tcBorders>
              <w:top w:val="nil"/>
              <w:left w:val="nil"/>
              <w:bottom w:val="nil"/>
              <w:right w:val="single" w:sz="8" w:space="0" w:color="auto"/>
            </w:tcBorders>
            <w:shd w:val="clear" w:color="auto" w:fill="auto"/>
            <w:noWrap/>
            <w:vAlign w:val="center"/>
          </w:tcPr>
          <w:p w14:paraId="57372AE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-59.322.173,40</w:t>
            </w:r>
          </w:p>
        </w:tc>
        <w:tc>
          <w:tcPr>
            <w:tcW w:w="38" w:type="pct"/>
            <w:tcBorders>
              <w:top w:val="nil"/>
              <w:left w:val="nil"/>
              <w:bottom w:val="nil"/>
              <w:right w:val="nil"/>
            </w:tcBorders>
            <w:shd w:val="clear" w:color="auto" w:fill="auto"/>
            <w:noWrap/>
            <w:vAlign w:val="bottom"/>
            <w:hideMark/>
          </w:tcPr>
          <w:p w14:paraId="7A751343"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72" w:type="pct"/>
            <w:tcBorders>
              <w:top w:val="nil"/>
              <w:left w:val="nil"/>
              <w:bottom w:val="nil"/>
              <w:right w:val="nil"/>
            </w:tcBorders>
            <w:shd w:val="clear" w:color="auto" w:fill="auto"/>
            <w:noWrap/>
            <w:vAlign w:val="bottom"/>
            <w:hideMark/>
          </w:tcPr>
          <w:p w14:paraId="7870F882"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776" w:type="pct"/>
            <w:tcBorders>
              <w:top w:val="nil"/>
              <w:left w:val="nil"/>
              <w:bottom w:val="nil"/>
              <w:right w:val="nil"/>
            </w:tcBorders>
            <w:shd w:val="clear" w:color="auto" w:fill="auto"/>
            <w:noWrap/>
            <w:vAlign w:val="bottom"/>
            <w:hideMark/>
          </w:tcPr>
          <w:p w14:paraId="20FA8725"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bottom"/>
            <w:hideMark/>
          </w:tcPr>
          <w:p w14:paraId="461F49E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bottom w:val="nil"/>
              <w:right w:val="nil"/>
            </w:tcBorders>
            <w:shd w:val="clear" w:color="auto" w:fill="auto"/>
            <w:noWrap/>
            <w:vAlign w:val="bottom"/>
            <w:hideMark/>
          </w:tcPr>
          <w:p w14:paraId="39638E0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nil"/>
              <w:right w:val="single" w:sz="8" w:space="0" w:color="auto"/>
            </w:tcBorders>
            <w:shd w:val="clear" w:color="auto" w:fill="auto"/>
            <w:noWrap/>
            <w:vAlign w:val="bottom"/>
            <w:hideMark/>
          </w:tcPr>
          <w:p w14:paraId="3B4D156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250C2251" w14:textId="77777777" w:rsidTr="00AE16BB">
        <w:trPr>
          <w:gridAfter w:val="4"/>
          <w:wAfter w:w="1354" w:type="pct"/>
          <w:trHeight w:val="20"/>
        </w:trPr>
        <w:tc>
          <w:tcPr>
            <w:tcW w:w="37" w:type="pct"/>
            <w:tcBorders>
              <w:top w:val="nil"/>
              <w:left w:val="single" w:sz="8" w:space="0" w:color="auto"/>
              <w:right w:val="nil"/>
            </w:tcBorders>
            <w:shd w:val="clear" w:color="auto" w:fill="auto"/>
            <w:noWrap/>
            <w:vAlign w:val="center"/>
            <w:hideMark/>
          </w:tcPr>
          <w:p w14:paraId="317D348E"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88" w:type="pct"/>
            <w:tcBorders>
              <w:top w:val="nil"/>
              <w:left w:val="nil"/>
              <w:right w:val="nil"/>
            </w:tcBorders>
            <w:shd w:val="clear" w:color="auto" w:fill="auto"/>
            <w:noWrap/>
            <w:vAlign w:val="center"/>
            <w:hideMark/>
          </w:tcPr>
          <w:p w14:paraId="2B55F791"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597" w:type="pct"/>
            <w:tcBorders>
              <w:top w:val="nil"/>
              <w:left w:val="nil"/>
              <w:right w:val="single" w:sz="8" w:space="0" w:color="auto"/>
            </w:tcBorders>
            <w:shd w:val="clear" w:color="auto" w:fill="auto"/>
            <w:noWrap/>
            <w:vAlign w:val="center"/>
            <w:hideMark/>
          </w:tcPr>
          <w:p w14:paraId="1C073033"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258-</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Current Investments Account</w:t>
            </w:r>
          </w:p>
        </w:tc>
        <w:tc>
          <w:tcPr>
            <w:tcW w:w="330" w:type="pct"/>
            <w:tcBorders>
              <w:top w:val="nil"/>
              <w:left w:val="nil"/>
              <w:right w:val="single" w:sz="8" w:space="0" w:color="auto"/>
            </w:tcBorders>
            <w:shd w:val="clear" w:color="auto" w:fill="auto"/>
            <w:noWrap/>
            <w:vAlign w:val="center"/>
          </w:tcPr>
          <w:p w14:paraId="5AD0C2A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233.268.040,46</w:t>
            </w:r>
          </w:p>
        </w:tc>
        <w:tc>
          <w:tcPr>
            <w:tcW w:w="330" w:type="pct"/>
            <w:tcBorders>
              <w:top w:val="nil"/>
              <w:left w:val="nil"/>
              <w:right w:val="single" w:sz="8" w:space="0" w:color="auto"/>
            </w:tcBorders>
            <w:shd w:val="clear" w:color="auto" w:fill="auto"/>
            <w:noWrap/>
            <w:vAlign w:val="center"/>
          </w:tcPr>
          <w:p w14:paraId="15C9893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233.268.040,46</w:t>
            </w:r>
          </w:p>
        </w:tc>
        <w:tc>
          <w:tcPr>
            <w:tcW w:w="339" w:type="pct"/>
            <w:tcBorders>
              <w:top w:val="nil"/>
              <w:left w:val="nil"/>
              <w:right w:val="single" w:sz="8" w:space="0" w:color="auto"/>
            </w:tcBorders>
            <w:shd w:val="clear" w:color="auto" w:fill="auto"/>
            <w:noWrap/>
            <w:vAlign w:val="center"/>
          </w:tcPr>
          <w:p w14:paraId="6FA1F46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234.267.264,46</w:t>
            </w:r>
          </w:p>
        </w:tc>
        <w:tc>
          <w:tcPr>
            <w:tcW w:w="38" w:type="pct"/>
            <w:tcBorders>
              <w:top w:val="nil"/>
              <w:left w:val="nil"/>
              <w:right w:val="nil"/>
            </w:tcBorders>
            <w:shd w:val="clear" w:color="auto" w:fill="auto"/>
            <w:noWrap/>
            <w:vAlign w:val="bottom"/>
            <w:hideMark/>
          </w:tcPr>
          <w:p w14:paraId="332AAD39"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72" w:type="pct"/>
            <w:tcBorders>
              <w:top w:val="nil"/>
              <w:left w:val="nil"/>
              <w:right w:val="nil"/>
            </w:tcBorders>
            <w:shd w:val="clear" w:color="auto" w:fill="auto"/>
            <w:noWrap/>
            <w:vAlign w:val="bottom"/>
            <w:hideMark/>
          </w:tcPr>
          <w:p w14:paraId="07444365"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776" w:type="pct"/>
            <w:tcBorders>
              <w:top w:val="nil"/>
              <w:left w:val="nil"/>
              <w:right w:val="nil"/>
            </w:tcBorders>
            <w:shd w:val="clear" w:color="auto" w:fill="auto"/>
            <w:noWrap/>
            <w:vAlign w:val="bottom"/>
            <w:hideMark/>
          </w:tcPr>
          <w:p w14:paraId="60DA2B71"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right w:val="single" w:sz="8" w:space="0" w:color="auto"/>
            </w:tcBorders>
            <w:shd w:val="clear" w:color="auto" w:fill="auto"/>
            <w:noWrap/>
            <w:vAlign w:val="bottom"/>
            <w:hideMark/>
          </w:tcPr>
          <w:p w14:paraId="2CC17F4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right w:val="nil"/>
            </w:tcBorders>
            <w:shd w:val="clear" w:color="auto" w:fill="auto"/>
            <w:noWrap/>
            <w:vAlign w:val="bottom"/>
            <w:hideMark/>
          </w:tcPr>
          <w:p w14:paraId="163C3F2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right w:val="single" w:sz="8" w:space="0" w:color="auto"/>
            </w:tcBorders>
            <w:shd w:val="clear" w:color="auto" w:fill="auto"/>
            <w:noWrap/>
            <w:vAlign w:val="bottom"/>
            <w:hideMark/>
          </w:tcPr>
          <w:p w14:paraId="204F80C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28BC6E7E" w14:textId="77777777" w:rsidTr="00AE16BB">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14:paraId="5D8D56F7"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88" w:type="pct"/>
            <w:tcBorders>
              <w:top w:val="nil"/>
              <w:left w:val="nil"/>
              <w:bottom w:val="single" w:sz="4" w:space="0" w:color="auto"/>
              <w:right w:val="nil"/>
            </w:tcBorders>
            <w:shd w:val="clear" w:color="auto" w:fill="auto"/>
            <w:noWrap/>
            <w:vAlign w:val="center"/>
            <w:hideMark/>
          </w:tcPr>
          <w:p w14:paraId="124E1DE5"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597" w:type="pct"/>
            <w:tcBorders>
              <w:top w:val="nil"/>
              <w:left w:val="nil"/>
              <w:bottom w:val="single" w:sz="4" w:space="0" w:color="auto"/>
              <w:right w:val="single" w:sz="8" w:space="0" w:color="auto"/>
            </w:tcBorders>
            <w:shd w:val="clear" w:color="auto" w:fill="auto"/>
            <w:noWrap/>
            <w:vAlign w:val="center"/>
            <w:hideMark/>
          </w:tcPr>
          <w:p w14:paraId="59DD9DB3"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259-</w:t>
            </w:r>
            <w:r w:rsidRPr="008902F2">
              <w:rPr>
                <w:rFonts w:ascii="Times New Roman" w:hAnsi="Times New Roman"/>
                <w:lang w:val="en-GB"/>
              </w:rPr>
              <w:t xml:space="preserve"> </w:t>
            </w:r>
            <w:r w:rsidRPr="008902F2">
              <w:rPr>
                <w:rFonts w:ascii="Times New Roman" w:eastAsia="Times New Roman" w:hAnsi="Times New Roman"/>
                <w:sz w:val="16"/>
                <w:szCs w:val="16"/>
                <w:lang w:val="en-GB" w:eastAsia="tr-TR"/>
              </w:rPr>
              <w:t>Investment Advances Account</w:t>
            </w:r>
          </w:p>
        </w:tc>
        <w:tc>
          <w:tcPr>
            <w:tcW w:w="330" w:type="pct"/>
            <w:tcBorders>
              <w:top w:val="nil"/>
              <w:left w:val="nil"/>
              <w:bottom w:val="single" w:sz="4" w:space="0" w:color="auto"/>
              <w:right w:val="single" w:sz="8" w:space="0" w:color="auto"/>
            </w:tcBorders>
            <w:shd w:val="clear" w:color="auto" w:fill="auto"/>
            <w:noWrap/>
            <w:vAlign w:val="center"/>
          </w:tcPr>
          <w:p w14:paraId="25F7CF1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3.871.959,48</w:t>
            </w:r>
          </w:p>
        </w:tc>
        <w:tc>
          <w:tcPr>
            <w:tcW w:w="330" w:type="pct"/>
            <w:tcBorders>
              <w:top w:val="nil"/>
              <w:left w:val="nil"/>
              <w:bottom w:val="single" w:sz="4" w:space="0" w:color="auto"/>
              <w:right w:val="single" w:sz="8" w:space="0" w:color="auto"/>
            </w:tcBorders>
            <w:shd w:val="clear" w:color="auto" w:fill="auto"/>
            <w:noWrap/>
            <w:vAlign w:val="center"/>
          </w:tcPr>
          <w:p w14:paraId="2ED18BB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3.871.959,48</w:t>
            </w:r>
          </w:p>
        </w:tc>
        <w:tc>
          <w:tcPr>
            <w:tcW w:w="339" w:type="pct"/>
            <w:tcBorders>
              <w:top w:val="nil"/>
              <w:left w:val="nil"/>
              <w:bottom w:val="single" w:sz="4" w:space="0" w:color="auto"/>
              <w:right w:val="single" w:sz="8" w:space="0" w:color="auto"/>
            </w:tcBorders>
            <w:shd w:val="clear" w:color="auto" w:fill="auto"/>
            <w:noWrap/>
            <w:vAlign w:val="center"/>
          </w:tcPr>
          <w:p w14:paraId="37EAA35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hAnsi="Times New Roman"/>
                <w:color w:val="000000"/>
                <w:sz w:val="16"/>
                <w:szCs w:val="16"/>
                <w:lang w:val="en-GB"/>
              </w:rPr>
              <w:t>3.871.959,48</w:t>
            </w:r>
          </w:p>
        </w:tc>
        <w:tc>
          <w:tcPr>
            <w:tcW w:w="38" w:type="pct"/>
            <w:tcBorders>
              <w:top w:val="nil"/>
              <w:left w:val="nil"/>
              <w:bottom w:val="single" w:sz="4" w:space="0" w:color="auto"/>
              <w:right w:val="nil"/>
            </w:tcBorders>
            <w:shd w:val="clear" w:color="auto" w:fill="auto"/>
            <w:noWrap/>
            <w:vAlign w:val="bottom"/>
            <w:hideMark/>
          </w:tcPr>
          <w:p w14:paraId="3F88CD45"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72" w:type="pct"/>
            <w:tcBorders>
              <w:top w:val="nil"/>
              <w:left w:val="nil"/>
              <w:bottom w:val="single" w:sz="4" w:space="0" w:color="auto"/>
              <w:right w:val="nil"/>
            </w:tcBorders>
            <w:shd w:val="clear" w:color="auto" w:fill="auto"/>
            <w:noWrap/>
            <w:vAlign w:val="bottom"/>
            <w:hideMark/>
          </w:tcPr>
          <w:p w14:paraId="7E379E4A"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776" w:type="pct"/>
            <w:tcBorders>
              <w:top w:val="nil"/>
              <w:left w:val="nil"/>
              <w:bottom w:val="single" w:sz="4" w:space="0" w:color="auto"/>
              <w:right w:val="nil"/>
            </w:tcBorders>
            <w:shd w:val="clear" w:color="auto" w:fill="auto"/>
            <w:noWrap/>
            <w:vAlign w:val="bottom"/>
            <w:hideMark/>
          </w:tcPr>
          <w:p w14:paraId="36C06F00"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single" w:sz="4" w:space="0" w:color="auto"/>
              <w:right w:val="single" w:sz="8" w:space="0" w:color="auto"/>
            </w:tcBorders>
            <w:shd w:val="clear" w:color="auto" w:fill="auto"/>
            <w:noWrap/>
            <w:vAlign w:val="bottom"/>
            <w:hideMark/>
          </w:tcPr>
          <w:p w14:paraId="0F6F1F0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bottom w:val="single" w:sz="4" w:space="0" w:color="auto"/>
              <w:right w:val="nil"/>
            </w:tcBorders>
            <w:shd w:val="clear" w:color="auto" w:fill="auto"/>
            <w:noWrap/>
            <w:vAlign w:val="bottom"/>
            <w:hideMark/>
          </w:tcPr>
          <w:p w14:paraId="35071D9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single" w:sz="4" w:space="0" w:color="auto"/>
              <w:right w:val="single" w:sz="8" w:space="0" w:color="auto"/>
            </w:tcBorders>
            <w:shd w:val="clear" w:color="auto" w:fill="auto"/>
            <w:noWrap/>
            <w:vAlign w:val="bottom"/>
            <w:hideMark/>
          </w:tcPr>
          <w:p w14:paraId="6D0660C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1D07D4A2"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5FE79F54"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685" w:type="pct"/>
            <w:gridSpan w:val="2"/>
            <w:tcBorders>
              <w:top w:val="nil"/>
              <w:left w:val="nil"/>
              <w:bottom w:val="nil"/>
              <w:right w:val="single" w:sz="8" w:space="0" w:color="000000"/>
            </w:tcBorders>
            <w:shd w:val="clear" w:color="auto" w:fill="auto"/>
            <w:noWrap/>
            <w:vAlign w:val="center"/>
            <w:hideMark/>
          </w:tcPr>
          <w:p w14:paraId="53D84543" w14:textId="77777777" w:rsidR="00AE16BB" w:rsidRPr="008902F2" w:rsidRDefault="00AE16BB" w:rsidP="00AE16BB">
            <w:pPr>
              <w:spacing w:after="0" w:line="240" w:lineRule="auto"/>
              <w:jc w:val="lef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26-</w:t>
            </w:r>
            <w:r w:rsidRPr="008902F2">
              <w:rPr>
                <w:rFonts w:ascii="Times New Roman" w:hAnsi="Times New Roman"/>
                <w:lang w:val="en-GB"/>
              </w:rPr>
              <w:t xml:space="preserve"> </w:t>
            </w:r>
            <w:r w:rsidRPr="008902F2">
              <w:rPr>
                <w:rFonts w:ascii="Times New Roman" w:eastAsia="Times New Roman" w:hAnsi="Times New Roman"/>
                <w:b/>
                <w:bCs/>
                <w:sz w:val="16"/>
                <w:szCs w:val="16"/>
                <w:lang w:val="en-GB" w:eastAsia="tr-TR"/>
              </w:rPr>
              <w:t>INTANGIBLE ASSETS</w:t>
            </w:r>
          </w:p>
        </w:tc>
        <w:tc>
          <w:tcPr>
            <w:tcW w:w="330" w:type="pct"/>
            <w:tcBorders>
              <w:top w:val="nil"/>
              <w:left w:val="nil"/>
              <w:bottom w:val="nil"/>
              <w:right w:val="single" w:sz="8" w:space="0" w:color="auto"/>
            </w:tcBorders>
            <w:shd w:val="clear" w:color="auto" w:fill="auto"/>
            <w:noWrap/>
            <w:vAlign w:val="center"/>
          </w:tcPr>
          <w:p w14:paraId="2AE5FCD3"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0,00</w:t>
            </w:r>
          </w:p>
        </w:tc>
        <w:tc>
          <w:tcPr>
            <w:tcW w:w="330" w:type="pct"/>
            <w:tcBorders>
              <w:top w:val="nil"/>
              <w:left w:val="nil"/>
              <w:bottom w:val="nil"/>
              <w:right w:val="single" w:sz="8" w:space="0" w:color="auto"/>
            </w:tcBorders>
            <w:shd w:val="clear" w:color="auto" w:fill="auto"/>
            <w:noWrap/>
            <w:vAlign w:val="center"/>
          </w:tcPr>
          <w:p w14:paraId="5420EA31"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0,00</w:t>
            </w:r>
          </w:p>
        </w:tc>
        <w:tc>
          <w:tcPr>
            <w:tcW w:w="339" w:type="pct"/>
            <w:tcBorders>
              <w:top w:val="nil"/>
              <w:left w:val="nil"/>
              <w:bottom w:val="nil"/>
              <w:right w:val="single" w:sz="8" w:space="0" w:color="auto"/>
            </w:tcBorders>
            <w:shd w:val="clear" w:color="auto" w:fill="auto"/>
            <w:noWrap/>
            <w:vAlign w:val="center"/>
          </w:tcPr>
          <w:p w14:paraId="0DC534D8"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0,00</w:t>
            </w:r>
          </w:p>
        </w:tc>
        <w:tc>
          <w:tcPr>
            <w:tcW w:w="38" w:type="pct"/>
            <w:tcBorders>
              <w:top w:val="nil"/>
              <w:left w:val="nil"/>
              <w:bottom w:val="nil"/>
              <w:right w:val="nil"/>
            </w:tcBorders>
            <w:shd w:val="clear" w:color="auto" w:fill="auto"/>
            <w:noWrap/>
            <w:vAlign w:val="center"/>
            <w:hideMark/>
          </w:tcPr>
          <w:p w14:paraId="6188EA2E"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center"/>
            <w:hideMark/>
          </w:tcPr>
          <w:p w14:paraId="5C8CCAE3"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center"/>
            <w:hideMark/>
          </w:tcPr>
          <w:p w14:paraId="2050610D"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46A7E97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bottom w:val="nil"/>
              <w:right w:val="nil"/>
            </w:tcBorders>
            <w:shd w:val="clear" w:color="auto" w:fill="auto"/>
            <w:noWrap/>
            <w:vAlign w:val="center"/>
            <w:hideMark/>
          </w:tcPr>
          <w:p w14:paraId="32B5625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nil"/>
              <w:right w:val="single" w:sz="8" w:space="0" w:color="auto"/>
            </w:tcBorders>
            <w:shd w:val="clear" w:color="auto" w:fill="auto"/>
            <w:noWrap/>
            <w:vAlign w:val="center"/>
            <w:hideMark/>
          </w:tcPr>
          <w:p w14:paraId="738A55B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0BA0EFBA"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14:paraId="5074FB54"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lastRenderedPageBreak/>
              <w:t> </w:t>
            </w:r>
          </w:p>
        </w:tc>
        <w:tc>
          <w:tcPr>
            <w:tcW w:w="88" w:type="pct"/>
            <w:tcBorders>
              <w:top w:val="nil"/>
              <w:left w:val="nil"/>
              <w:bottom w:val="nil"/>
              <w:right w:val="nil"/>
            </w:tcBorders>
            <w:shd w:val="clear" w:color="auto" w:fill="auto"/>
            <w:noWrap/>
            <w:vAlign w:val="bottom"/>
            <w:hideMark/>
          </w:tcPr>
          <w:p w14:paraId="32DAB35D"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597" w:type="pct"/>
            <w:tcBorders>
              <w:top w:val="nil"/>
              <w:left w:val="nil"/>
              <w:bottom w:val="nil"/>
              <w:right w:val="single" w:sz="8" w:space="0" w:color="auto"/>
            </w:tcBorders>
            <w:shd w:val="clear" w:color="auto" w:fill="auto"/>
            <w:vAlign w:val="center"/>
          </w:tcPr>
          <w:p w14:paraId="0B1FB53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260-Rights Account</w:t>
            </w:r>
          </w:p>
          <w:p w14:paraId="5A774B21"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268-Accumulated Depreciation Account (-)</w:t>
            </w:r>
          </w:p>
        </w:tc>
        <w:tc>
          <w:tcPr>
            <w:tcW w:w="330" w:type="pct"/>
            <w:tcBorders>
              <w:top w:val="nil"/>
              <w:left w:val="nil"/>
              <w:bottom w:val="nil"/>
              <w:right w:val="single" w:sz="8" w:space="0" w:color="auto"/>
            </w:tcBorders>
            <w:shd w:val="clear" w:color="auto" w:fill="auto"/>
            <w:noWrap/>
            <w:vAlign w:val="center"/>
          </w:tcPr>
          <w:p w14:paraId="2D8A168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13.988.931,81</w:t>
            </w:r>
          </w:p>
        </w:tc>
        <w:tc>
          <w:tcPr>
            <w:tcW w:w="330" w:type="pct"/>
            <w:tcBorders>
              <w:top w:val="nil"/>
              <w:left w:val="nil"/>
              <w:bottom w:val="nil"/>
              <w:right w:val="single" w:sz="8" w:space="0" w:color="auto"/>
            </w:tcBorders>
            <w:shd w:val="clear" w:color="auto" w:fill="auto"/>
            <w:noWrap/>
            <w:vAlign w:val="center"/>
          </w:tcPr>
          <w:p w14:paraId="258EA48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20.055.411,15</w:t>
            </w:r>
          </w:p>
        </w:tc>
        <w:tc>
          <w:tcPr>
            <w:tcW w:w="339" w:type="pct"/>
            <w:tcBorders>
              <w:top w:val="nil"/>
              <w:left w:val="nil"/>
              <w:bottom w:val="nil"/>
              <w:right w:val="single" w:sz="8" w:space="0" w:color="auto"/>
            </w:tcBorders>
            <w:shd w:val="clear" w:color="auto" w:fill="auto"/>
            <w:noWrap/>
            <w:vAlign w:val="center"/>
          </w:tcPr>
          <w:p w14:paraId="6C4A184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heme="minorHAnsi" w:hAnsi="Times New Roman"/>
                <w:sz w:val="16"/>
                <w:szCs w:val="12"/>
                <w:lang w:val="en-GB"/>
              </w:rPr>
              <w:t>22.247.109,43</w:t>
            </w:r>
          </w:p>
        </w:tc>
        <w:tc>
          <w:tcPr>
            <w:tcW w:w="38" w:type="pct"/>
            <w:tcBorders>
              <w:top w:val="nil"/>
              <w:left w:val="nil"/>
              <w:bottom w:val="nil"/>
              <w:right w:val="nil"/>
            </w:tcBorders>
            <w:shd w:val="clear" w:color="auto" w:fill="auto"/>
            <w:noWrap/>
            <w:vAlign w:val="center"/>
            <w:hideMark/>
          </w:tcPr>
          <w:p w14:paraId="7191F15F"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center"/>
            <w:hideMark/>
          </w:tcPr>
          <w:p w14:paraId="06E5AF5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center"/>
            <w:hideMark/>
          </w:tcPr>
          <w:p w14:paraId="348470C0"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57E64EE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bottom w:val="nil"/>
              <w:right w:val="nil"/>
            </w:tcBorders>
            <w:shd w:val="clear" w:color="auto" w:fill="auto"/>
            <w:noWrap/>
            <w:vAlign w:val="center"/>
            <w:hideMark/>
          </w:tcPr>
          <w:p w14:paraId="396E46B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nil"/>
              <w:right w:val="single" w:sz="8" w:space="0" w:color="auto"/>
            </w:tcBorders>
            <w:shd w:val="clear" w:color="auto" w:fill="auto"/>
            <w:noWrap/>
            <w:vAlign w:val="center"/>
            <w:hideMark/>
          </w:tcPr>
          <w:p w14:paraId="569ACC6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16BA28D2" w14:textId="77777777" w:rsidTr="00AE16BB">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14:paraId="381977A8"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r w:rsidRPr="008902F2">
              <w:rPr>
                <w:rFonts w:ascii="Times New Roman" w:eastAsia="Times New Roman" w:hAnsi="Times New Roman"/>
                <w:sz w:val="20"/>
                <w:szCs w:val="20"/>
                <w:lang w:val="en-GB" w:eastAsia="tr-TR"/>
              </w:rPr>
              <w:t> </w:t>
            </w:r>
          </w:p>
        </w:tc>
        <w:tc>
          <w:tcPr>
            <w:tcW w:w="88" w:type="pct"/>
            <w:tcBorders>
              <w:top w:val="nil"/>
              <w:left w:val="nil"/>
              <w:bottom w:val="single" w:sz="4" w:space="0" w:color="auto"/>
              <w:right w:val="nil"/>
            </w:tcBorders>
            <w:shd w:val="clear" w:color="auto" w:fill="auto"/>
            <w:noWrap/>
            <w:vAlign w:val="bottom"/>
            <w:hideMark/>
          </w:tcPr>
          <w:p w14:paraId="44102DA4"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597" w:type="pct"/>
            <w:tcBorders>
              <w:top w:val="nil"/>
              <w:left w:val="nil"/>
              <w:bottom w:val="single" w:sz="4" w:space="0" w:color="auto"/>
              <w:right w:val="single" w:sz="8" w:space="0" w:color="auto"/>
            </w:tcBorders>
            <w:shd w:val="clear" w:color="auto" w:fill="auto"/>
            <w:noWrap/>
            <w:vAlign w:val="center"/>
          </w:tcPr>
          <w:p w14:paraId="3BB3BC9A"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330" w:type="pct"/>
            <w:tcBorders>
              <w:top w:val="nil"/>
              <w:left w:val="nil"/>
              <w:bottom w:val="single" w:sz="4" w:space="0" w:color="auto"/>
              <w:right w:val="single" w:sz="8" w:space="0" w:color="auto"/>
            </w:tcBorders>
            <w:shd w:val="clear" w:color="auto" w:fill="auto"/>
            <w:noWrap/>
            <w:vAlign w:val="center"/>
          </w:tcPr>
          <w:p w14:paraId="7957397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-13.988.931,81</w:t>
            </w:r>
          </w:p>
        </w:tc>
        <w:tc>
          <w:tcPr>
            <w:tcW w:w="330" w:type="pct"/>
            <w:tcBorders>
              <w:top w:val="nil"/>
              <w:left w:val="nil"/>
              <w:bottom w:val="single" w:sz="4" w:space="0" w:color="auto"/>
              <w:right w:val="single" w:sz="8" w:space="0" w:color="auto"/>
            </w:tcBorders>
            <w:shd w:val="clear" w:color="auto" w:fill="auto"/>
            <w:noWrap/>
            <w:vAlign w:val="center"/>
          </w:tcPr>
          <w:p w14:paraId="2245263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-20.055.411,15</w:t>
            </w:r>
          </w:p>
        </w:tc>
        <w:tc>
          <w:tcPr>
            <w:tcW w:w="339" w:type="pct"/>
            <w:tcBorders>
              <w:top w:val="nil"/>
              <w:left w:val="nil"/>
              <w:bottom w:val="single" w:sz="4" w:space="0" w:color="auto"/>
              <w:right w:val="single" w:sz="8" w:space="0" w:color="auto"/>
            </w:tcBorders>
            <w:shd w:val="clear" w:color="auto" w:fill="auto"/>
            <w:noWrap/>
            <w:vAlign w:val="center"/>
          </w:tcPr>
          <w:p w14:paraId="51D7A94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heme="minorHAnsi" w:hAnsi="Times New Roman"/>
                <w:sz w:val="16"/>
                <w:szCs w:val="12"/>
                <w:lang w:val="en-GB"/>
              </w:rPr>
              <w:t>-22.247.109,43</w:t>
            </w:r>
          </w:p>
        </w:tc>
        <w:tc>
          <w:tcPr>
            <w:tcW w:w="38" w:type="pct"/>
            <w:tcBorders>
              <w:top w:val="nil"/>
              <w:left w:val="nil"/>
              <w:bottom w:val="single" w:sz="4" w:space="0" w:color="auto"/>
              <w:right w:val="nil"/>
            </w:tcBorders>
            <w:shd w:val="clear" w:color="auto" w:fill="auto"/>
            <w:noWrap/>
            <w:vAlign w:val="center"/>
            <w:hideMark/>
          </w:tcPr>
          <w:p w14:paraId="5985E37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single" w:sz="4" w:space="0" w:color="auto"/>
              <w:right w:val="nil"/>
            </w:tcBorders>
            <w:shd w:val="clear" w:color="auto" w:fill="auto"/>
            <w:noWrap/>
            <w:vAlign w:val="center"/>
            <w:hideMark/>
          </w:tcPr>
          <w:p w14:paraId="0073D11B"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single" w:sz="4" w:space="0" w:color="auto"/>
              <w:right w:val="nil"/>
            </w:tcBorders>
            <w:shd w:val="clear" w:color="auto" w:fill="auto"/>
            <w:noWrap/>
            <w:vAlign w:val="center"/>
            <w:hideMark/>
          </w:tcPr>
          <w:p w14:paraId="7629A4DD" w14:textId="77777777" w:rsidR="00AE16BB" w:rsidRPr="008902F2" w:rsidRDefault="00AE16BB" w:rsidP="00AE16BB">
            <w:pPr>
              <w:spacing w:after="0" w:line="240" w:lineRule="auto"/>
              <w:jc w:val="left"/>
              <w:rPr>
                <w:rFonts w:ascii="Times New Roman" w:eastAsia="Times New Roman" w:hAnsi="Times New Roman"/>
                <w:sz w:val="20"/>
                <w:szCs w:val="20"/>
                <w:lang w:val="en-GB" w:eastAsia="tr-TR"/>
              </w:rPr>
            </w:pPr>
          </w:p>
        </w:tc>
        <w:tc>
          <w:tcPr>
            <w:tcW w:w="359" w:type="pct"/>
            <w:tcBorders>
              <w:top w:val="nil"/>
              <w:left w:val="single" w:sz="8" w:space="0" w:color="auto"/>
              <w:bottom w:val="single" w:sz="4" w:space="0" w:color="auto"/>
              <w:right w:val="single" w:sz="8" w:space="0" w:color="auto"/>
            </w:tcBorders>
            <w:shd w:val="clear" w:color="auto" w:fill="auto"/>
            <w:noWrap/>
            <w:vAlign w:val="center"/>
            <w:hideMark/>
          </w:tcPr>
          <w:p w14:paraId="36A6AAF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nil"/>
              <w:left w:val="nil"/>
              <w:bottom w:val="single" w:sz="4" w:space="0" w:color="auto"/>
              <w:right w:val="nil"/>
            </w:tcBorders>
            <w:shd w:val="clear" w:color="auto" w:fill="auto"/>
            <w:noWrap/>
            <w:vAlign w:val="center"/>
            <w:hideMark/>
          </w:tcPr>
          <w:p w14:paraId="32FACFA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single" w:sz="4" w:space="0" w:color="auto"/>
              <w:right w:val="single" w:sz="8" w:space="0" w:color="auto"/>
            </w:tcBorders>
            <w:shd w:val="clear" w:color="auto" w:fill="auto"/>
            <w:noWrap/>
            <w:vAlign w:val="center"/>
            <w:hideMark/>
          </w:tcPr>
          <w:p w14:paraId="5AFC28E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r>
      <w:tr w:rsidR="00AE16BB" w:rsidRPr="008902F2" w14:paraId="7762A21E" w14:textId="77777777" w:rsidTr="00AE16BB">
        <w:trPr>
          <w:gridAfter w:val="4"/>
          <w:wAfter w:w="1354" w:type="pct"/>
          <w:trHeight w:val="20"/>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CC046" w14:textId="77777777" w:rsidR="00AE16BB" w:rsidRPr="008902F2" w:rsidRDefault="00AE16BB" w:rsidP="00AE16BB">
            <w:pPr>
              <w:spacing w:after="0" w:line="240" w:lineRule="auto"/>
              <w:jc w:val="left"/>
              <w:rPr>
                <w:rFonts w:ascii="Times New Roman" w:eastAsia="Times New Roman" w:hAnsi="Times New Roman"/>
                <w:b/>
                <w:bCs/>
                <w:sz w:val="18"/>
                <w:szCs w:val="18"/>
                <w:lang w:val="en-GB" w:eastAsia="tr-TR"/>
              </w:rPr>
            </w:pPr>
            <w:r w:rsidRPr="008902F2">
              <w:rPr>
                <w:rFonts w:ascii="Times New Roman" w:eastAsia="Times New Roman" w:hAnsi="Times New Roman"/>
                <w:b/>
                <w:bCs/>
                <w:sz w:val="18"/>
                <w:szCs w:val="18"/>
                <w:lang w:val="en-GB" w:eastAsia="tr-TR"/>
              </w:rPr>
              <w:t xml:space="preserve">  TOTAL ASSETS</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94247"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8"/>
                <w:szCs w:val="18"/>
                <w:lang w:val="en-GB"/>
              </w:rPr>
              <w:t>574.393.189,59</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E07995"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6"/>
                <w:szCs w:val="16"/>
                <w:lang w:val="en-GB"/>
              </w:rPr>
              <w:t>585.687.420,85</w:t>
            </w: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A51029"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6"/>
                <w:szCs w:val="16"/>
                <w:lang w:val="en-GB"/>
              </w:rPr>
              <w:t>786.905.486,81</w:t>
            </w: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9D63B" w14:textId="77777777" w:rsidR="00AE16BB" w:rsidRPr="008902F2" w:rsidRDefault="00AE16BB" w:rsidP="00AE16BB">
            <w:pPr>
              <w:spacing w:after="0" w:line="240" w:lineRule="auto"/>
              <w:jc w:val="left"/>
              <w:rPr>
                <w:rFonts w:ascii="Times New Roman" w:eastAsia="Times New Roman" w:hAnsi="Times New Roman"/>
                <w:b/>
                <w:bCs/>
                <w:sz w:val="18"/>
                <w:szCs w:val="18"/>
                <w:lang w:val="en-GB" w:eastAsia="tr-TR"/>
              </w:rPr>
            </w:pPr>
            <w:r w:rsidRPr="008902F2">
              <w:rPr>
                <w:rFonts w:ascii="Times New Roman" w:eastAsia="Times New Roman" w:hAnsi="Times New Roman"/>
                <w:b/>
                <w:bCs/>
                <w:sz w:val="18"/>
                <w:szCs w:val="18"/>
                <w:lang w:val="en-GB" w:eastAsia="tr-TR"/>
              </w:rPr>
              <w:t xml:space="preserve">   TOTAL LIABILITIES</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4C4708"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8"/>
                <w:szCs w:val="18"/>
                <w:lang w:val="en-GB"/>
              </w:rPr>
              <w:t>574.393.189,59</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E078D"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6"/>
                <w:szCs w:val="16"/>
                <w:lang w:val="en-GB"/>
              </w:rPr>
              <w:t>585.687.420,85</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848804" w14:textId="77777777" w:rsidR="00AE16BB" w:rsidRPr="008902F2" w:rsidRDefault="00AE16BB" w:rsidP="00AE16BB">
            <w:pPr>
              <w:spacing w:after="0" w:line="240" w:lineRule="auto"/>
              <w:jc w:val="right"/>
              <w:rPr>
                <w:rFonts w:ascii="Times New Roman" w:eastAsia="Times New Roman" w:hAnsi="Times New Roman"/>
                <w:b/>
                <w:bCs/>
                <w:sz w:val="18"/>
                <w:szCs w:val="18"/>
                <w:lang w:val="en-GB" w:eastAsia="tr-TR"/>
              </w:rPr>
            </w:pPr>
            <w:r w:rsidRPr="008902F2">
              <w:rPr>
                <w:rFonts w:ascii="Times New Roman" w:hAnsi="Times New Roman"/>
                <w:b/>
                <w:bCs/>
                <w:color w:val="000000"/>
                <w:sz w:val="16"/>
                <w:szCs w:val="16"/>
                <w:lang w:val="en-GB"/>
              </w:rPr>
              <w:t>786.905.486,81</w:t>
            </w:r>
          </w:p>
        </w:tc>
      </w:tr>
      <w:tr w:rsidR="00AE16BB" w:rsidRPr="008902F2" w14:paraId="5C0CD51E" w14:textId="77777777" w:rsidTr="00AE16BB">
        <w:trPr>
          <w:gridAfter w:val="4"/>
          <w:wAfter w:w="1354" w:type="pct"/>
          <w:trHeight w:val="558"/>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26099"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r w:rsidRPr="008902F2">
              <w:rPr>
                <w:rFonts w:ascii="Times New Roman" w:eastAsia="Times New Roman" w:hAnsi="Times New Roman"/>
                <w:b/>
                <w:bCs/>
                <w:sz w:val="16"/>
                <w:szCs w:val="16"/>
                <w:u w:val="single"/>
                <w:lang w:val="en-GB" w:eastAsia="tr-TR"/>
              </w:rPr>
              <w:t>OFFICIAL ACCOUNTS</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08AC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899D4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64BA6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13341"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r w:rsidRPr="008902F2">
              <w:rPr>
                <w:rFonts w:ascii="Times New Roman" w:eastAsia="Times New Roman" w:hAnsi="Times New Roman"/>
                <w:b/>
                <w:bCs/>
                <w:sz w:val="16"/>
                <w:szCs w:val="16"/>
                <w:u w:val="single"/>
                <w:lang w:val="en-GB" w:eastAsia="tr-TR"/>
              </w:rPr>
              <w:t>OFFICIAL ACCOUNTS</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8131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02D7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8D3A9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r>
      <w:tr w:rsidR="00AE16BB" w:rsidRPr="008902F2" w14:paraId="5C78FFDA" w14:textId="77777777" w:rsidTr="00AE16BB">
        <w:trPr>
          <w:gridAfter w:val="4"/>
          <w:wAfter w:w="1354" w:type="pct"/>
          <w:trHeight w:val="20"/>
        </w:trPr>
        <w:tc>
          <w:tcPr>
            <w:tcW w:w="37" w:type="pct"/>
            <w:tcBorders>
              <w:top w:val="single" w:sz="4" w:space="0" w:color="auto"/>
              <w:left w:val="single" w:sz="8" w:space="0" w:color="auto"/>
              <w:bottom w:val="nil"/>
              <w:right w:val="nil"/>
            </w:tcBorders>
            <w:shd w:val="clear" w:color="auto" w:fill="auto"/>
            <w:noWrap/>
            <w:vAlign w:val="center"/>
            <w:hideMark/>
          </w:tcPr>
          <w:p w14:paraId="7358D72E"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88" w:type="pct"/>
            <w:tcBorders>
              <w:top w:val="single" w:sz="4" w:space="0" w:color="auto"/>
              <w:left w:val="nil"/>
              <w:bottom w:val="nil"/>
              <w:right w:val="nil"/>
            </w:tcBorders>
            <w:shd w:val="clear" w:color="auto" w:fill="auto"/>
            <w:noWrap/>
            <w:vAlign w:val="center"/>
            <w:hideMark/>
          </w:tcPr>
          <w:p w14:paraId="32440682"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597" w:type="pct"/>
            <w:tcBorders>
              <w:top w:val="single" w:sz="4" w:space="0" w:color="auto"/>
              <w:left w:val="nil"/>
              <w:bottom w:val="nil"/>
              <w:right w:val="single" w:sz="8" w:space="0" w:color="auto"/>
            </w:tcBorders>
            <w:shd w:val="clear" w:color="auto" w:fill="auto"/>
            <w:noWrap/>
            <w:vAlign w:val="center"/>
            <w:hideMark/>
          </w:tcPr>
          <w:p w14:paraId="76BA7A5F"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910-Account of Letters of Guarantee Received</w:t>
            </w:r>
          </w:p>
          <w:p w14:paraId="6AF583D9"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911-Letters of Guarantee Received Deposit Account</w:t>
            </w:r>
          </w:p>
          <w:p w14:paraId="67D0070D"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920-Expense Commitments Calculation</w:t>
            </w:r>
          </w:p>
          <w:p w14:paraId="32AB7B3B"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921- Provision for Expense Commitments Account</w:t>
            </w:r>
          </w:p>
          <w:p w14:paraId="77A3436C"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948-Accounts Receivable Tracked on Behalf of Other Units</w:t>
            </w:r>
          </w:p>
          <w:p w14:paraId="4D5E80E4"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949-Deposit Accounts Tracked on Behalf of Other Units</w:t>
            </w:r>
          </w:p>
          <w:p w14:paraId="3D839201"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998-Other Offical Accounts</w:t>
            </w:r>
          </w:p>
          <w:p w14:paraId="7B850EC5" w14:textId="77777777" w:rsidR="00AE16BB" w:rsidRPr="008902F2" w:rsidRDefault="00AE16BB" w:rsidP="00AE16BB">
            <w:pPr>
              <w:spacing w:after="0"/>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999-Other Nazim Hes. Provision Account</w:t>
            </w:r>
          </w:p>
        </w:tc>
        <w:tc>
          <w:tcPr>
            <w:tcW w:w="330" w:type="pct"/>
            <w:tcBorders>
              <w:top w:val="single" w:sz="4" w:space="0" w:color="auto"/>
              <w:left w:val="nil"/>
              <w:bottom w:val="nil"/>
              <w:right w:val="single" w:sz="8" w:space="0" w:color="auto"/>
            </w:tcBorders>
            <w:shd w:val="clear" w:color="auto" w:fill="auto"/>
            <w:noWrap/>
            <w:vAlign w:val="center"/>
          </w:tcPr>
          <w:p w14:paraId="3A9496AD"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2.177.444.363,88</w:t>
            </w:r>
          </w:p>
          <w:p w14:paraId="71652F1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2.177.444.363,88</w:t>
            </w:r>
          </w:p>
          <w:p w14:paraId="51CD0AD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42264AB3" w14:textId="77777777" w:rsidR="00AE16BB" w:rsidRPr="008902F2" w:rsidRDefault="00AE16BB" w:rsidP="00AE16BB">
            <w:pPr>
              <w:spacing w:after="0" w:line="240" w:lineRule="auto"/>
              <w:rPr>
                <w:rFonts w:ascii="Times New Roman" w:eastAsia="Times New Roman" w:hAnsi="Times New Roman"/>
                <w:sz w:val="16"/>
                <w:szCs w:val="16"/>
                <w:lang w:val="en-GB" w:eastAsia="tr-TR"/>
              </w:rPr>
            </w:pPr>
          </w:p>
          <w:p w14:paraId="520C986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6.490.766,01</w:t>
            </w:r>
          </w:p>
          <w:p w14:paraId="483EBBE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6.490.766,01</w:t>
            </w:r>
          </w:p>
          <w:p w14:paraId="29BB274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BDF3FB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310.365,98</w:t>
            </w:r>
          </w:p>
          <w:p w14:paraId="0E9B1BC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6F8671A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310.365,98</w:t>
            </w:r>
          </w:p>
          <w:p w14:paraId="13C2AF8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2ED530D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43BFEE5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4.297.123.884,004.297.123.884,00</w:t>
            </w:r>
          </w:p>
          <w:p w14:paraId="3528577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0" w:type="pct"/>
            <w:tcBorders>
              <w:top w:val="single" w:sz="4" w:space="0" w:color="auto"/>
              <w:left w:val="nil"/>
              <w:bottom w:val="nil"/>
              <w:right w:val="single" w:sz="4" w:space="0" w:color="auto"/>
            </w:tcBorders>
            <w:shd w:val="clear" w:color="auto" w:fill="auto"/>
            <w:noWrap/>
            <w:vAlign w:val="center"/>
          </w:tcPr>
          <w:p w14:paraId="67AFC5AB"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2.103.282.754,82</w:t>
            </w:r>
          </w:p>
          <w:p w14:paraId="5D3F2AB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2.103.282.754,82</w:t>
            </w:r>
          </w:p>
          <w:p w14:paraId="5B571A3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379527A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701F786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2.358.461,67</w:t>
            </w:r>
          </w:p>
          <w:p w14:paraId="0259EFF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2.358.461,67</w:t>
            </w:r>
          </w:p>
          <w:p w14:paraId="4F58932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4121BA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267.176,82</w:t>
            </w:r>
          </w:p>
          <w:p w14:paraId="15BAE5E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3E119BE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267.176,82</w:t>
            </w:r>
          </w:p>
          <w:p w14:paraId="44973C2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78EC277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6B3FFD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5.004.168.080,775.004.168.080,77</w:t>
            </w:r>
          </w:p>
          <w:p w14:paraId="126B9B2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9" w:type="pct"/>
            <w:tcBorders>
              <w:top w:val="single" w:sz="4" w:space="0" w:color="auto"/>
              <w:left w:val="single" w:sz="4" w:space="0" w:color="auto"/>
              <w:bottom w:val="nil"/>
              <w:right w:val="single" w:sz="8" w:space="0" w:color="auto"/>
            </w:tcBorders>
            <w:shd w:val="clear" w:color="auto" w:fill="auto"/>
            <w:noWrap/>
            <w:vAlign w:val="center"/>
          </w:tcPr>
          <w:p w14:paraId="452AEC4C"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2.486.380.797,49</w:t>
            </w:r>
          </w:p>
          <w:p w14:paraId="1AB7F90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2.282.754,82</w:t>
            </w:r>
          </w:p>
          <w:p w14:paraId="1ED8433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6997D3D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0A611A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0</w:t>
            </w:r>
          </w:p>
          <w:p w14:paraId="7DFF2E5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0</w:t>
            </w:r>
          </w:p>
          <w:p w14:paraId="41A2C70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CBA5F1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457.633,28</w:t>
            </w:r>
          </w:p>
          <w:p w14:paraId="34DEBF6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6060FE1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457.633,28</w:t>
            </w:r>
          </w:p>
          <w:p w14:paraId="0401DE3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56B63CC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284711A9"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5.250.977.158,035.250.977.158,03</w:t>
            </w:r>
          </w:p>
          <w:p w14:paraId="497D5909"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8" w:type="pct"/>
            <w:tcBorders>
              <w:top w:val="single" w:sz="4" w:space="0" w:color="auto"/>
              <w:left w:val="nil"/>
              <w:bottom w:val="nil"/>
              <w:right w:val="nil"/>
            </w:tcBorders>
            <w:shd w:val="clear" w:color="auto" w:fill="auto"/>
            <w:noWrap/>
            <w:vAlign w:val="center"/>
            <w:hideMark/>
          </w:tcPr>
          <w:p w14:paraId="68CD8389"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single" w:sz="4" w:space="0" w:color="auto"/>
              <w:left w:val="nil"/>
              <w:bottom w:val="nil"/>
              <w:right w:val="nil"/>
            </w:tcBorders>
            <w:shd w:val="clear" w:color="auto" w:fill="auto"/>
            <w:noWrap/>
            <w:vAlign w:val="center"/>
          </w:tcPr>
          <w:p w14:paraId="2F3C13BC"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single" w:sz="4" w:space="0" w:color="auto"/>
              <w:left w:val="nil"/>
              <w:bottom w:val="nil"/>
              <w:right w:val="nil"/>
            </w:tcBorders>
            <w:shd w:val="clear" w:color="auto" w:fill="auto"/>
            <w:noWrap/>
            <w:vAlign w:val="center"/>
          </w:tcPr>
          <w:p w14:paraId="2ECDDB8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910-Account of Letters of Guarantee Received</w:t>
            </w:r>
          </w:p>
          <w:p w14:paraId="2A6BA7C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p w14:paraId="7F10600C"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911-Letters of Guarantee Received Deposit Account</w:t>
            </w:r>
          </w:p>
          <w:p w14:paraId="324195A3"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p w14:paraId="191649A3"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920-Expense Commitments Calculation</w:t>
            </w:r>
          </w:p>
          <w:p w14:paraId="0713A745"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p w14:paraId="1804A642"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921- Provision for Expense Commitments Account</w:t>
            </w:r>
          </w:p>
          <w:p w14:paraId="056B018E"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p w14:paraId="75275450"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948-Accounts Receivable Tracked on Behalf of Other Units</w:t>
            </w:r>
          </w:p>
          <w:p w14:paraId="00DA75F4"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949-Deposit Accounts Tracked on Behalf of Other Units</w:t>
            </w:r>
          </w:p>
          <w:p w14:paraId="57EBD2E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998-Other Offical Accounts</w:t>
            </w:r>
          </w:p>
          <w:p w14:paraId="0D06C9C7"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999-Other Nazim Hes. Provision Account</w:t>
            </w:r>
          </w:p>
        </w:tc>
        <w:tc>
          <w:tcPr>
            <w:tcW w:w="359" w:type="pct"/>
            <w:tcBorders>
              <w:top w:val="single" w:sz="4" w:space="0" w:color="auto"/>
              <w:left w:val="single" w:sz="8" w:space="0" w:color="auto"/>
              <w:bottom w:val="nil"/>
              <w:right w:val="single" w:sz="8" w:space="0" w:color="auto"/>
            </w:tcBorders>
            <w:shd w:val="clear" w:color="auto" w:fill="auto"/>
            <w:noWrap/>
            <w:vAlign w:val="center"/>
          </w:tcPr>
          <w:p w14:paraId="58779EC6"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2.177.444.363,88</w:t>
            </w:r>
          </w:p>
          <w:p w14:paraId="0012F6B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2.177.444.363,88</w:t>
            </w:r>
          </w:p>
          <w:p w14:paraId="728F635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1E37F98" w14:textId="77777777" w:rsidR="00AE16BB" w:rsidRPr="008902F2" w:rsidRDefault="00AE16BB" w:rsidP="00AE16BB">
            <w:pPr>
              <w:spacing w:after="0" w:line="240" w:lineRule="auto"/>
              <w:rPr>
                <w:rFonts w:ascii="Times New Roman" w:eastAsia="Times New Roman" w:hAnsi="Times New Roman"/>
                <w:sz w:val="16"/>
                <w:szCs w:val="16"/>
                <w:lang w:val="en-GB" w:eastAsia="tr-TR"/>
              </w:rPr>
            </w:pPr>
          </w:p>
          <w:p w14:paraId="0FA289C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6.490.766,01</w:t>
            </w:r>
          </w:p>
          <w:p w14:paraId="698BE9B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6.490.766,01</w:t>
            </w:r>
          </w:p>
          <w:p w14:paraId="3792D7B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76A827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310.365,98</w:t>
            </w:r>
          </w:p>
          <w:p w14:paraId="6C1ADF4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5DF553EE"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310.365,98</w:t>
            </w:r>
          </w:p>
          <w:p w14:paraId="27A1ABE7"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04C799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0E2347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4.297.123.884,00 4.297.123.884,00</w:t>
            </w:r>
          </w:p>
          <w:p w14:paraId="51033DB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26" w:type="pct"/>
            <w:tcBorders>
              <w:top w:val="single" w:sz="4" w:space="0" w:color="auto"/>
              <w:left w:val="nil"/>
              <w:bottom w:val="nil"/>
              <w:right w:val="nil"/>
            </w:tcBorders>
            <w:shd w:val="clear" w:color="auto" w:fill="auto"/>
            <w:noWrap/>
            <w:vAlign w:val="center"/>
          </w:tcPr>
          <w:p w14:paraId="0463ECE2"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2.103.282.754,82</w:t>
            </w:r>
          </w:p>
          <w:p w14:paraId="08835DC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2.103.282.754,82</w:t>
            </w:r>
          </w:p>
          <w:p w14:paraId="32B0DC8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4608127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3EB90B4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2.358.461,67</w:t>
            </w:r>
          </w:p>
          <w:p w14:paraId="5BF2E83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2.358.461,67</w:t>
            </w:r>
          </w:p>
          <w:p w14:paraId="10C3EAD1"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4713FD1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267.176,82</w:t>
            </w:r>
          </w:p>
          <w:p w14:paraId="64E01DEF"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4E952D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267.176,82</w:t>
            </w:r>
          </w:p>
          <w:p w14:paraId="061B9CA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6C54B1DD"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838624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5.004.168.080,775.004.168.080,77</w:t>
            </w:r>
          </w:p>
          <w:p w14:paraId="761EDBF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single" w:sz="4" w:space="0" w:color="auto"/>
              <w:left w:val="single" w:sz="8" w:space="0" w:color="auto"/>
              <w:bottom w:val="nil"/>
              <w:right w:val="single" w:sz="8" w:space="0" w:color="auto"/>
            </w:tcBorders>
            <w:shd w:val="clear" w:color="auto" w:fill="auto"/>
            <w:noWrap/>
            <w:vAlign w:val="center"/>
          </w:tcPr>
          <w:p w14:paraId="18EA5A78" w14:textId="77777777" w:rsidR="00AE16BB" w:rsidRPr="008902F2" w:rsidRDefault="00AE16BB" w:rsidP="00AE16BB">
            <w:pPr>
              <w:jc w:val="right"/>
              <w:rPr>
                <w:rFonts w:ascii="Times New Roman" w:eastAsia="Times New Roman" w:hAnsi="Times New Roman"/>
                <w:color w:val="000000"/>
                <w:sz w:val="16"/>
                <w:szCs w:val="16"/>
                <w:lang w:val="en-GB"/>
              </w:rPr>
            </w:pPr>
            <w:r w:rsidRPr="008902F2">
              <w:rPr>
                <w:rFonts w:ascii="Times New Roman" w:hAnsi="Times New Roman"/>
                <w:color w:val="000000"/>
                <w:sz w:val="16"/>
                <w:szCs w:val="16"/>
                <w:lang w:val="en-GB"/>
              </w:rPr>
              <w:t>2.486.380.797,49</w:t>
            </w:r>
          </w:p>
          <w:p w14:paraId="719D744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2.282.754,82</w:t>
            </w:r>
          </w:p>
          <w:p w14:paraId="4081A01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47E7F22B"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2842249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0</w:t>
            </w:r>
          </w:p>
          <w:p w14:paraId="0C82FEA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0</w:t>
            </w:r>
          </w:p>
          <w:p w14:paraId="186F932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0B6BF949"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457.633,28</w:t>
            </w:r>
          </w:p>
          <w:p w14:paraId="48472402"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6C3D4D4C"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457.633,28</w:t>
            </w:r>
          </w:p>
          <w:p w14:paraId="06CB3E05"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3E16FE6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p w14:paraId="1329FB2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5.250.977.158,03 5.250.977.158,03</w:t>
            </w:r>
          </w:p>
          <w:p w14:paraId="4C93C85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r>
      <w:tr w:rsidR="00AE16BB" w:rsidRPr="008902F2" w14:paraId="7699B921"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28FC3706"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88" w:type="pct"/>
            <w:tcBorders>
              <w:top w:val="nil"/>
              <w:left w:val="nil"/>
              <w:bottom w:val="nil"/>
              <w:right w:val="nil"/>
            </w:tcBorders>
            <w:shd w:val="clear" w:color="auto" w:fill="auto"/>
            <w:noWrap/>
            <w:vAlign w:val="center"/>
            <w:hideMark/>
          </w:tcPr>
          <w:p w14:paraId="6ED79913"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597" w:type="pct"/>
            <w:tcBorders>
              <w:top w:val="nil"/>
              <w:left w:val="nil"/>
              <w:bottom w:val="nil"/>
              <w:right w:val="single" w:sz="8" w:space="0" w:color="auto"/>
            </w:tcBorders>
            <w:shd w:val="clear" w:color="auto" w:fill="auto"/>
            <w:noWrap/>
            <w:vAlign w:val="bottom"/>
            <w:hideMark/>
          </w:tcPr>
          <w:p w14:paraId="60185B12" w14:textId="77777777" w:rsidR="00AE16BB" w:rsidRPr="008902F2" w:rsidRDefault="00AE16BB" w:rsidP="00AE16BB">
            <w:pPr>
              <w:spacing w:after="0"/>
              <w:jc w:val="left"/>
              <w:rPr>
                <w:rFonts w:ascii="Times New Roman" w:eastAsia="Times New Roman" w:hAnsi="Times New Roman"/>
                <w:sz w:val="16"/>
                <w:szCs w:val="16"/>
                <w:lang w:val="en-GB" w:eastAsia="tr-TR"/>
              </w:rPr>
            </w:pPr>
          </w:p>
          <w:p w14:paraId="216AB468" w14:textId="77777777" w:rsidR="00AE16BB" w:rsidRPr="008902F2" w:rsidRDefault="00AE16BB" w:rsidP="00AE16BB">
            <w:pPr>
              <w:spacing w:after="0"/>
              <w:jc w:val="left"/>
              <w:rPr>
                <w:rFonts w:ascii="Times New Roman" w:eastAsia="Times New Roman" w:hAnsi="Times New Roman"/>
                <w:sz w:val="16"/>
                <w:szCs w:val="16"/>
                <w:lang w:val="en-GB" w:eastAsia="tr-TR"/>
              </w:rPr>
            </w:pPr>
          </w:p>
        </w:tc>
        <w:tc>
          <w:tcPr>
            <w:tcW w:w="330" w:type="pct"/>
            <w:tcBorders>
              <w:top w:val="nil"/>
              <w:left w:val="nil"/>
              <w:bottom w:val="nil"/>
              <w:right w:val="single" w:sz="8" w:space="0" w:color="auto"/>
            </w:tcBorders>
            <w:shd w:val="clear" w:color="auto" w:fill="auto"/>
            <w:noWrap/>
            <w:vAlign w:val="bottom"/>
          </w:tcPr>
          <w:p w14:paraId="1597BEB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0" w:type="pct"/>
            <w:tcBorders>
              <w:top w:val="nil"/>
              <w:left w:val="nil"/>
              <w:bottom w:val="nil"/>
              <w:right w:val="single" w:sz="4" w:space="0" w:color="auto"/>
            </w:tcBorders>
            <w:shd w:val="clear" w:color="auto" w:fill="auto"/>
            <w:noWrap/>
            <w:vAlign w:val="bottom"/>
          </w:tcPr>
          <w:p w14:paraId="797C508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9" w:type="pct"/>
            <w:tcBorders>
              <w:top w:val="nil"/>
              <w:left w:val="single" w:sz="4" w:space="0" w:color="auto"/>
              <w:bottom w:val="nil"/>
              <w:right w:val="nil"/>
            </w:tcBorders>
            <w:shd w:val="clear" w:color="auto" w:fill="auto"/>
            <w:noWrap/>
            <w:vAlign w:val="bottom"/>
          </w:tcPr>
          <w:p w14:paraId="3129B03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8" w:type="pct"/>
            <w:tcBorders>
              <w:top w:val="nil"/>
              <w:left w:val="single" w:sz="8" w:space="0" w:color="auto"/>
              <w:bottom w:val="nil"/>
              <w:right w:val="nil"/>
            </w:tcBorders>
            <w:shd w:val="clear" w:color="auto" w:fill="auto"/>
            <w:noWrap/>
            <w:vAlign w:val="center"/>
            <w:hideMark/>
          </w:tcPr>
          <w:p w14:paraId="275A2D49"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center"/>
            <w:hideMark/>
          </w:tcPr>
          <w:p w14:paraId="4988144C"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bottom"/>
          </w:tcPr>
          <w:p w14:paraId="047F8C18"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359" w:type="pct"/>
            <w:tcBorders>
              <w:top w:val="nil"/>
              <w:left w:val="single" w:sz="8" w:space="0" w:color="auto"/>
              <w:bottom w:val="nil"/>
              <w:right w:val="single" w:sz="8" w:space="0" w:color="auto"/>
            </w:tcBorders>
            <w:shd w:val="clear" w:color="auto" w:fill="auto"/>
            <w:noWrap/>
            <w:vAlign w:val="bottom"/>
          </w:tcPr>
          <w:p w14:paraId="2C2E181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26" w:type="pct"/>
            <w:tcBorders>
              <w:top w:val="nil"/>
              <w:left w:val="nil"/>
              <w:bottom w:val="nil"/>
              <w:right w:val="nil"/>
            </w:tcBorders>
            <w:shd w:val="clear" w:color="auto" w:fill="auto"/>
            <w:noWrap/>
            <w:vAlign w:val="bottom"/>
          </w:tcPr>
          <w:p w14:paraId="7F5ED3A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nil"/>
              <w:right w:val="single" w:sz="8" w:space="0" w:color="auto"/>
            </w:tcBorders>
            <w:shd w:val="clear" w:color="auto" w:fill="auto"/>
            <w:noWrap/>
            <w:vAlign w:val="bottom"/>
          </w:tcPr>
          <w:p w14:paraId="73EA17A3"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r>
      <w:tr w:rsidR="00AE16BB" w:rsidRPr="008902F2" w14:paraId="5FD3D156" w14:textId="77777777" w:rsidTr="00AE16BB">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14:paraId="02601D01"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88" w:type="pct"/>
            <w:tcBorders>
              <w:top w:val="nil"/>
              <w:left w:val="nil"/>
              <w:bottom w:val="nil"/>
              <w:right w:val="nil"/>
            </w:tcBorders>
            <w:shd w:val="clear" w:color="auto" w:fill="auto"/>
            <w:noWrap/>
            <w:vAlign w:val="center"/>
            <w:hideMark/>
          </w:tcPr>
          <w:p w14:paraId="3C456623" w14:textId="77777777" w:rsidR="00AE16BB" w:rsidRPr="008902F2" w:rsidRDefault="00AE16BB" w:rsidP="00AE16BB">
            <w:pPr>
              <w:spacing w:after="0" w:line="240" w:lineRule="auto"/>
              <w:jc w:val="left"/>
              <w:rPr>
                <w:rFonts w:ascii="Times New Roman" w:eastAsia="Times New Roman" w:hAnsi="Times New Roman"/>
                <w:b/>
                <w:bCs/>
                <w:sz w:val="16"/>
                <w:szCs w:val="16"/>
                <w:u w:val="single"/>
                <w:lang w:val="en-GB" w:eastAsia="tr-TR"/>
              </w:rPr>
            </w:pPr>
          </w:p>
        </w:tc>
        <w:tc>
          <w:tcPr>
            <w:tcW w:w="597" w:type="pct"/>
            <w:tcBorders>
              <w:top w:val="nil"/>
              <w:left w:val="nil"/>
              <w:bottom w:val="nil"/>
              <w:right w:val="single" w:sz="8" w:space="0" w:color="auto"/>
            </w:tcBorders>
            <w:shd w:val="clear" w:color="auto" w:fill="auto"/>
            <w:noWrap/>
            <w:vAlign w:val="center"/>
            <w:hideMark/>
          </w:tcPr>
          <w:p w14:paraId="4D6C1E17" w14:textId="77777777" w:rsidR="00AE16BB" w:rsidRPr="008902F2" w:rsidRDefault="00AE16BB" w:rsidP="00AE16BB">
            <w:pPr>
              <w:spacing w:after="0"/>
              <w:jc w:val="left"/>
              <w:rPr>
                <w:rFonts w:ascii="Times New Roman" w:eastAsia="Times New Roman" w:hAnsi="Times New Roman"/>
                <w:sz w:val="16"/>
                <w:szCs w:val="16"/>
                <w:lang w:val="en-GB" w:eastAsia="tr-TR"/>
              </w:rPr>
            </w:pPr>
          </w:p>
        </w:tc>
        <w:tc>
          <w:tcPr>
            <w:tcW w:w="330" w:type="pct"/>
            <w:tcBorders>
              <w:top w:val="nil"/>
              <w:left w:val="nil"/>
              <w:bottom w:val="nil"/>
              <w:right w:val="single" w:sz="8" w:space="0" w:color="auto"/>
            </w:tcBorders>
            <w:shd w:val="clear" w:color="auto" w:fill="auto"/>
            <w:noWrap/>
            <w:vAlign w:val="center"/>
          </w:tcPr>
          <w:p w14:paraId="47CB2CE0"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0" w:type="pct"/>
            <w:tcBorders>
              <w:top w:val="nil"/>
              <w:left w:val="nil"/>
              <w:bottom w:val="nil"/>
              <w:right w:val="single" w:sz="4" w:space="0" w:color="auto"/>
            </w:tcBorders>
            <w:shd w:val="clear" w:color="auto" w:fill="auto"/>
            <w:noWrap/>
            <w:vAlign w:val="center"/>
          </w:tcPr>
          <w:p w14:paraId="58856304"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39" w:type="pct"/>
            <w:tcBorders>
              <w:top w:val="nil"/>
              <w:left w:val="single" w:sz="4" w:space="0" w:color="auto"/>
              <w:bottom w:val="nil"/>
              <w:right w:val="single" w:sz="8" w:space="0" w:color="auto"/>
            </w:tcBorders>
            <w:shd w:val="clear" w:color="auto" w:fill="auto"/>
            <w:noWrap/>
            <w:vAlign w:val="center"/>
          </w:tcPr>
          <w:p w14:paraId="103481E6"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8" w:type="pct"/>
            <w:tcBorders>
              <w:top w:val="nil"/>
              <w:left w:val="nil"/>
              <w:bottom w:val="nil"/>
              <w:right w:val="nil"/>
            </w:tcBorders>
            <w:shd w:val="clear" w:color="auto" w:fill="auto"/>
            <w:noWrap/>
            <w:vAlign w:val="center"/>
            <w:hideMark/>
          </w:tcPr>
          <w:p w14:paraId="4968082E"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r w:rsidRPr="008902F2">
              <w:rPr>
                <w:rFonts w:ascii="Times New Roman" w:eastAsia="Times New Roman" w:hAnsi="Times New Roman"/>
                <w:sz w:val="16"/>
                <w:szCs w:val="16"/>
                <w:lang w:val="en-GB" w:eastAsia="tr-TR"/>
              </w:rPr>
              <w:t> </w:t>
            </w:r>
          </w:p>
        </w:tc>
        <w:tc>
          <w:tcPr>
            <w:tcW w:w="72" w:type="pct"/>
            <w:tcBorders>
              <w:top w:val="nil"/>
              <w:left w:val="nil"/>
              <w:bottom w:val="nil"/>
              <w:right w:val="nil"/>
            </w:tcBorders>
            <w:shd w:val="clear" w:color="auto" w:fill="auto"/>
            <w:noWrap/>
            <w:vAlign w:val="center"/>
            <w:hideMark/>
          </w:tcPr>
          <w:p w14:paraId="370EAC52"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776" w:type="pct"/>
            <w:tcBorders>
              <w:top w:val="nil"/>
              <w:left w:val="nil"/>
              <w:bottom w:val="nil"/>
              <w:right w:val="nil"/>
            </w:tcBorders>
            <w:shd w:val="clear" w:color="auto" w:fill="auto"/>
            <w:noWrap/>
            <w:vAlign w:val="center"/>
          </w:tcPr>
          <w:p w14:paraId="48F596F0" w14:textId="77777777" w:rsidR="00AE16BB" w:rsidRPr="008902F2" w:rsidRDefault="00AE16BB" w:rsidP="00AE16BB">
            <w:pPr>
              <w:spacing w:after="0" w:line="240" w:lineRule="auto"/>
              <w:jc w:val="left"/>
              <w:rPr>
                <w:rFonts w:ascii="Times New Roman" w:eastAsia="Times New Roman" w:hAnsi="Times New Roman"/>
                <w:sz w:val="16"/>
                <w:szCs w:val="16"/>
                <w:lang w:val="en-GB" w:eastAsia="tr-TR"/>
              </w:rPr>
            </w:pPr>
          </w:p>
        </w:tc>
        <w:tc>
          <w:tcPr>
            <w:tcW w:w="359" w:type="pct"/>
            <w:tcBorders>
              <w:top w:val="nil"/>
              <w:left w:val="single" w:sz="8" w:space="0" w:color="auto"/>
              <w:bottom w:val="nil"/>
              <w:right w:val="single" w:sz="8" w:space="0" w:color="auto"/>
            </w:tcBorders>
            <w:shd w:val="clear" w:color="auto" w:fill="auto"/>
            <w:noWrap/>
            <w:vAlign w:val="center"/>
            <w:hideMark/>
          </w:tcPr>
          <w:p w14:paraId="10AC442A"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26" w:type="pct"/>
            <w:tcBorders>
              <w:top w:val="nil"/>
              <w:left w:val="nil"/>
              <w:bottom w:val="nil"/>
              <w:right w:val="nil"/>
            </w:tcBorders>
            <w:shd w:val="clear" w:color="auto" w:fill="auto"/>
            <w:noWrap/>
            <w:vAlign w:val="center"/>
            <w:hideMark/>
          </w:tcPr>
          <w:p w14:paraId="3BBFC3F8"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c>
          <w:tcPr>
            <w:tcW w:w="354" w:type="pct"/>
            <w:tcBorders>
              <w:top w:val="nil"/>
              <w:left w:val="single" w:sz="8" w:space="0" w:color="auto"/>
              <w:bottom w:val="nil"/>
              <w:right w:val="single" w:sz="8" w:space="0" w:color="auto"/>
            </w:tcBorders>
            <w:shd w:val="clear" w:color="auto" w:fill="auto"/>
            <w:noWrap/>
            <w:vAlign w:val="center"/>
          </w:tcPr>
          <w:p w14:paraId="46CDCA39" w14:textId="77777777" w:rsidR="00AE16BB" w:rsidRPr="008902F2" w:rsidRDefault="00AE16BB" w:rsidP="00AE16BB">
            <w:pPr>
              <w:spacing w:after="0" w:line="240" w:lineRule="auto"/>
              <w:jc w:val="right"/>
              <w:rPr>
                <w:rFonts w:ascii="Times New Roman" w:eastAsia="Times New Roman" w:hAnsi="Times New Roman"/>
                <w:sz w:val="16"/>
                <w:szCs w:val="16"/>
                <w:lang w:val="en-GB" w:eastAsia="tr-TR"/>
              </w:rPr>
            </w:pPr>
          </w:p>
        </w:tc>
      </w:tr>
      <w:tr w:rsidR="00AE16BB" w:rsidRPr="008902F2" w14:paraId="0D0BDE62" w14:textId="77777777" w:rsidTr="00AE16BB">
        <w:trPr>
          <w:trHeight w:val="20"/>
        </w:trPr>
        <w:tc>
          <w:tcPr>
            <w:tcW w:w="722" w:type="pct"/>
            <w:gridSpan w:val="3"/>
            <w:tcBorders>
              <w:top w:val="nil"/>
              <w:left w:val="single" w:sz="8" w:space="0" w:color="auto"/>
              <w:bottom w:val="single" w:sz="8" w:space="0" w:color="auto"/>
              <w:right w:val="single" w:sz="8" w:space="0" w:color="000000"/>
            </w:tcBorders>
            <w:shd w:val="clear" w:color="auto" w:fill="auto"/>
            <w:noWrap/>
            <w:vAlign w:val="center"/>
            <w:hideMark/>
          </w:tcPr>
          <w:p w14:paraId="5C12A7E8" w14:textId="77777777" w:rsidR="00AE16BB" w:rsidRPr="008902F2" w:rsidRDefault="00AE16BB" w:rsidP="00AE16BB">
            <w:pPr>
              <w:spacing w:after="0" w:line="240" w:lineRule="auto"/>
              <w:jc w:val="left"/>
              <w:rPr>
                <w:rFonts w:ascii="Times New Roman" w:eastAsia="Times New Roman" w:hAnsi="Times New Roman"/>
                <w:b/>
                <w:bCs/>
                <w:sz w:val="16"/>
                <w:szCs w:val="18"/>
                <w:lang w:val="en-GB" w:eastAsia="tr-TR"/>
              </w:rPr>
            </w:pPr>
            <w:r w:rsidRPr="008902F2">
              <w:rPr>
                <w:rFonts w:ascii="Times New Roman" w:eastAsia="Times New Roman" w:hAnsi="Times New Roman"/>
                <w:b/>
                <w:bCs/>
                <w:sz w:val="16"/>
                <w:szCs w:val="18"/>
                <w:lang w:val="en-GB" w:eastAsia="tr-TR"/>
              </w:rPr>
              <w:t xml:space="preserve">   OFF-BALANCE SHEET ACCOUNTS</w:t>
            </w:r>
          </w:p>
        </w:tc>
        <w:tc>
          <w:tcPr>
            <w:tcW w:w="330" w:type="pct"/>
            <w:tcBorders>
              <w:top w:val="nil"/>
              <w:left w:val="nil"/>
              <w:bottom w:val="single" w:sz="8" w:space="0" w:color="auto"/>
              <w:right w:val="single" w:sz="8" w:space="0" w:color="auto"/>
            </w:tcBorders>
            <w:shd w:val="clear" w:color="auto" w:fill="auto"/>
            <w:noWrap/>
            <w:vAlign w:val="center"/>
          </w:tcPr>
          <w:p w14:paraId="52C05D0D" w14:textId="77777777" w:rsidR="00AE16BB" w:rsidRPr="008902F2" w:rsidRDefault="00AE16BB" w:rsidP="00AE16BB">
            <w:pPr>
              <w:spacing w:after="0" w:line="240" w:lineRule="auto"/>
              <w:jc w:val="right"/>
              <w:rPr>
                <w:rFonts w:ascii="Times New Roman" w:eastAsia="Times New Roman" w:hAnsi="Times New Roman"/>
                <w:b/>
                <w:bCs/>
                <w:sz w:val="16"/>
                <w:szCs w:val="18"/>
                <w:lang w:val="en-GB" w:eastAsia="tr-TR"/>
              </w:rPr>
            </w:pPr>
            <w:r w:rsidRPr="008902F2">
              <w:rPr>
                <w:rFonts w:ascii="Times New Roman" w:eastAsia="Times New Roman" w:hAnsi="Times New Roman"/>
                <w:b/>
                <w:bCs/>
                <w:sz w:val="16"/>
                <w:szCs w:val="18"/>
                <w:lang w:val="en-GB" w:eastAsia="tr-TR"/>
              </w:rPr>
              <w:t>6.481.369.379,87</w:t>
            </w:r>
          </w:p>
        </w:tc>
        <w:tc>
          <w:tcPr>
            <w:tcW w:w="330" w:type="pct"/>
            <w:tcBorders>
              <w:top w:val="nil"/>
              <w:left w:val="nil"/>
              <w:bottom w:val="single" w:sz="8" w:space="0" w:color="auto"/>
              <w:right w:val="single" w:sz="8" w:space="0" w:color="auto"/>
            </w:tcBorders>
            <w:shd w:val="clear" w:color="auto" w:fill="auto"/>
            <w:noWrap/>
            <w:vAlign w:val="center"/>
          </w:tcPr>
          <w:p w14:paraId="38BE9989" w14:textId="77777777" w:rsidR="00AE16BB" w:rsidRPr="008902F2" w:rsidRDefault="00AE16BB" w:rsidP="00AE16BB">
            <w:pPr>
              <w:spacing w:after="0" w:line="240" w:lineRule="auto"/>
              <w:jc w:val="right"/>
              <w:rPr>
                <w:rFonts w:ascii="Times New Roman" w:eastAsia="Times New Roman" w:hAnsi="Times New Roman"/>
                <w:b/>
                <w:bCs/>
                <w:sz w:val="16"/>
                <w:szCs w:val="18"/>
                <w:lang w:val="en-GB" w:eastAsia="tr-TR"/>
              </w:rPr>
            </w:pPr>
            <w:r w:rsidRPr="008902F2">
              <w:rPr>
                <w:rFonts w:ascii="Times New Roman" w:eastAsia="Times New Roman" w:hAnsi="Times New Roman"/>
                <w:b/>
                <w:sz w:val="16"/>
                <w:szCs w:val="16"/>
                <w:lang w:val="en-GB" w:eastAsia="tr-TR"/>
              </w:rPr>
              <w:t>7.110.076.474,08</w:t>
            </w:r>
          </w:p>
        </w:tc>
        <w:tc>
          <w:tcPr>
            <w:tcW w:w="339" w:type="pct"/>
            <w:tcBorders>
              <w:top w:val="nil"/>
              <w:left w:val="nil"/>
              <w:bottom w:val="single" w:sz="8" w:space="0" w:color="auto"/>
              <w:right w:val="single" w:sz="8" w:space="0" w:color="auto"/>
            </w:tcBorders>
            <w:shd w:val="clear" w:color="auto" w:fill="auto"/>
            <w:noWrap/>
            <w:vAlign w:val="center"/>
          </w:tcPr>
          <w:p w14:paraId="0314E022" w14:textId="77777777" w:rsidR="00AE16BB" w:rsidRPr="008902F2" w:rsidRDefault="00AE16BB" w:rsidP="00AE16BB">
            <w:pPr>
              <w:spacing w:after="0" w:line="240" w:lineRule="auto"/>
              <w:jc w:val="right"/>
              <w:rPr>
                <w:rFonts w:ascii="Times New Roman" w:eastAsia="Times New Roman" w:hAnsi="Times New Roman"/>
                <w:b/>
                <w:sz w:val="16"/>
                <w:szCs w:val="16"/>
                <w:lang w:val="en-GB" w:eastAsia="tr-TR"/>
              </w:rPr>
            </w:pPr>
            <w:r w:rsidRPr="008902F2">
              <w:rPr>
                <w:rFonts w:ascii="Times New Roman" w:eastAsia="Times New Roman" w:hAnsi="Times New Roman"/>
                <w:b/>
                <w:sz w:val="16"/>
                <w:szCs w:val="16"/>
                <w:lang w:val="en-GB" w:eastAsia="tr-TR"/>
              </w:rPr>
              <w:t>7.737.815.588,80</w:t>
            </w:r>
          </w:p>
        </w:tc>
        <w:tc>
          <w:tcPr>
            <w:tcW w:w="886" w:type="pct"/>
            <w:gridSpan w:val="3"/>
            <w:tcBorders>
              <w:top w:val="nil"/>
              <w:left w:val="single" w:sz="8" w:space="0" w:color="auto"/>
              <w:bottom w:val="single" w:sz="8" w:space="0" w:color="auto"/>
              <w:right w:val="nil"/>
            </w:tcBorders>
            <w:shd w:val="clear" w:color="auto" w:fill="auto"/>
            <w:noWrap/>
            <w:vAlign w:val="center"/>
            <w:hideMark/>
          </w:tcPr>
          <w:p w14:paraId="52E73724" w14:textId="77777777" w:rsidR="00AE16BB" w:rsidRPr="008902F2" w:rsidRDefault="00AE16BB" w:rsidP="00AE16BB">
            <w:pPr>
              <w:spacing w:after="0" w:line="240" w:lineRule="auto"/>
              <w:jc w:val="left"/>
              <w:rPr>
                <w:rFonts w:ascii="Times New Roman" w:eastAsia="Times New Roman" w:hAnsi="Times New Roman"/>
                <w:b/>
                <w:bCs/>
                <w:sz w:val="16"/>
                <w:szCs w:val="18"/>
                <w:lang w:val="en-GB" w:eastAsia="tr-TR"/>
              </w:rPr>
            </w:pPr>
          </w:p>
        </w:tc>
        <w:tc>
          <w:tcPr>
            <w:tcW w:w="359" w:type="pct"/>
            <w:tcBorders>
              <w:top w:val="nil"/>
              <w:left w:val="single" w:sz="8" w:space="0" w:color="auto"/>
              <w:bottom w:val="single" w:sz="8" w:space="0" w:color="auto"/>
              <w:right w:val="single" w:sz="8" w:space="0" w:color="auto"/>
            </w:tcBorders>
            <w:shd w:val="clear" w:color="auto" w:fill="auto"/>
            <w:noWrap/>
            <w:vAlign w:val="center"/>
            <w:hideMark/>
          </w:tcPr>
          <w:p w14:paraId="0B3B422A" w14:textId="77777777" w:rsidR="00AE16BB" w:rsidRPr="008902F2" w:rsidRDefault="00AE16BB" w:rsidP="00AE16BB">
            <w:pPr>
              <w:spacing w:after="0" w:line="240" w:lineRule="auto"/>
              <w:jc w:val="right"/>
              <w:rPr>
                <w:rFonts w:ascii="Times New Roman" w:eastAsia="Times New Roman" w:hAnsi="Times New Roman"/>
                <w:b/>
                <w:bCs/>
                <w:sz w:val="16"/>
                <w:szCs w:val="18"/>
                <w:lang w:val="en-GB" w:eastAsia="tr-TR"/>
              </w:rPr>
            </w:pPr>
            <w:r w:rsidRPr="008902F2">
              <w:rPr>
                <w:rFonts w:ascii="Times New Roman" w:eastAsia="Times New Roman" w:hAnsi="Times New Roman"/>
                <w:b/>
                <w:bCs/>
                <w:sz w:val="16"/>
                <w:szCs w:val="18"/>
                <w:lang w:val="en-GB" w:eastAsia="tr-TR"/>
              </w:rPr>
              <w:t>6.481.369.379,87</w:t>
            </w:r>
          </w:p>
        </w:tc>
        <w:tc>
          <w:tcPr>
            <w:tcW w:w="326" w:type="pct"/>
            <w:tcBorders>
              <w:top w:val="nil"/>
              <w:left w:val="nil"/>
              <w:bottom w:val="single" w:sz="8" w:space="0" w:color="auto"/>
              <w:right w:val="nil"/>
            </w:tcBorders>
            <w:shd w:val="clear" w:color="auto" w:fill="auto"/>
            <w:noWrap/>
            <w:vAlign w:val="center"/>
            <w:hideMark/>
          </w:tcPr>
          <w:p w14:paraId="7B6606D1" w14:textId="77777777" w:rsidR="00AE16BB" w:rsidRPr="008902F2" w:rsidRDefault="00AE16BB" w:rsidP="00AE16BB">
            <w:pPr>
              <w:spacing w:after="0" w:line="240" w:lineRule="auto"/>
              <w:jc w:val="right"/>
              <w:rPr>
                <w:rFonts w:ascii="Times New Roman" w:eastAsia="Times New Roman" w:hAnsi="Times New Roman"/>
                <w:b/>
                <w:bCs/>
                <w:sz w:val="16"/>
                <w:szCs w:val="18"/>
                <w:lang w:val="en-GB" w:eastAsia="tr-TR"/>
              </w:rPr>
            </w:pPr>
            <w:r w:rsidRPr="008902F2">
              <w:rPr>
                <w:rFonts w:ascii="Times New Roman" w:eastAsia="Times New Roman" w:hAnsi="Times New Roman"/>
                <w:b/>
                <w:sz w:val="16"/>
                <w:szCs w:val="16"/>
                <w:lang w:val="en-GB" w:eastAsia="tr-TR"/>
              </w:rPr>
              <w:t>7.110.076.474,08</w:t>
            </w:r>
          </w:p>
        </w:tc>
        <w:tc>
          <w:tcPr>
            <w:tcW w:w="354" w:type="pct"/>
            <w:tcBorders>
              <w:top w:val="nil"/>
              <w:left w:val="single" w:sz="8" w:space="0" w:color="auto"/>
              <w:bottom w:val="single" w:sz="8" w:space="0" w:color="auto"/>
              <w:right w:val="single" w:sz="8" w:space="0" w:color="auto"/>
            </w:tcBorders>
            <w:shd w:val="clear" w:color="auto" w:fill="auto"/>
            <w:noWrap/>
            <w:vAlign w:val="center"/>
          </w:tcPr>
          <w:p w14:paraId="14207DA9" w14:textId="77777777" w:rsidR="00AE16BB" w:rsidRPr="008902F2" w:rsidRDefault="00AE16BB" w:rsidP="00AE16BB">
            <w:pPr>
              <w:spacing w:after="0" w:line="240" w:lineRule="auto"/>
              <w:jc w:val="right"/>
              <w:rPr>
                <w:rFonts w:ascii="Times New Roman" w:eastAsia="Times New Roman" w:hAnsi="Times New Roman"/>
                <w:b/>
                <w:bCs/>
                <w:sz w:val="16"/>
                <w:szCs w:val="18"/>
                <w:lang w:val="en-GB" w:eastAsia="tr-TR"/>
              </w:rPr>
            </w:pPr>
            <w:r w:rsidRPr="008902F2">
              <w:rPr>
                <w:rFonts w:ascii="Times New Roman" w:eastAsia="Times New Roman" w:hAnsi="Times New Roman"/>
                <w:b/>
                <w:sz w:val="16"/>
                <w:szCs w:val="16"/>
                <w:lang w:val="en-GB" w:eastAsia="tr-TR"/>
              </w:rPr>
              <w:t>7.737.815.588,80</w:t>
            </w:r>
          </w:p>
        </w:tc>
        <w:tc>
          <w:tcPr>
            <w:tcW w:w="339" w:type="pct"/>
          </w:tcPr>
          <w:p w14:paraId="3D816814" w14:textId="77777777" w:rsidR="00AE16BB" w:rsidRPr="008902F2" w:rsidRDefault="00AE16BB" w:rsidP="00AE16BB">
            <w:pPr>
              <w:jc w:val="left"/>
              <w:rPr>
                <w:rFonts w:ascii="Times New Roman" w:hAnsi="Times New Roman"/>
                <w:lang w:val="en-GB"/>
              </w:rPr>
            </w:pPr>
          </w:p>
        </w:tc>
        <w:tc>
          <w:tcPr>
            <w:tcW w:w="339" w:type="pct"/>
          </w:tcPr>
          <w:p w14:paraId="28829D23" w14:textId="77777777" w:rsidR="00AE16BB" w:rsidRPr="008902F2" w:rsidRDefault="00AE16BB" w:rsidP="00AE16BB">
            <w:pPr>
              <w:jc w:val="left"/>
              <w:rPr>
                <w:rFonts w:ascii="Times New Roman" w:hAnsi="Times New Roman"/>
                <w:lang w:val="en-GB"/>
              </w:rPr>
            </w:pPr>
          </w:p>
        </w:tc>
        <w:tc>
          <w:tcPr>
            <w:tcW w:w="339" w:type="pct"/>
          </w:tcPr>
          <w:p w14:paraId="35D30156" w14:textId="77777777" w:rsidR="00AE16BB" w:rsidRPr="008902F2" w:rsidRDefault="00AE16BB" w:rsidP="00AE16BB">
            <w:pPr>
              <w:jc w:val="left"/>
              <w:rPr>
                <w:rFonts w:ascii="Times New Roman" w:hAnsi="Times New Roman"/>
                <w:lang w:val="en-GB"/>
              </w:rPr>
            </w:pPr>
          </w:p>
        </w:tc>
        <w:tc>
          <w:tcPr>
            <w:tcW w:w="337" w:type="pct"/>
            <w:vAlign w:val="center"/>
          </w:tcPr>
          <w:p w14:paraId="7AE70DDD" w14:textId="77777777" w:rsidR="00AE16BB" w:rsidRPr="008902F2" w:rsidRDefault="00AE16BB" w:rsidP="00AE16BB">
            <w:pPr>
              <w:jc w:val="left"/>
              <w:rPr>
                <w:rFonts w:ascii="Times New Roman" w:hAnsi="Times New Roman"/>
                <w:lang w:val="en-GB"/>
              </w:rPr>
            </w:pPr>
            <w:r w:rsidRPr="008902F2">
              <w:rPr>
                <w:rFonts w:ascii="Times New Roman" w:eastAsia="Times New Roman" w:hAnsi="Times New Roman"/>
                <w:b/>
                <w:sz w:val="16"/>
                <w:szCs w:val="16"/>
                <w:lang w:val="en-GB" w:eastAsia="tr-TR"/>
              </w:rPr>
              <w:t>7.110.076.474,08</w:t>
            </w:r>
          </w:p>
        </w:tc>
      </w:tr>
      <w:tr w:rsidR="00AE16BB" w:rsidRPr="008902F2" w14:paraId="4552263F" w14:textId="77777777" w:rsidTr="00AE16BB">
        <w:trPr>
          <w:gridAfter w:val="4"/>
          <w:wAfter w:w="1354" w:type="pct"/>
          <w:trHeight w:val="441"/>
        </w:trPr>
        <w:tc>
          <w:tcPr>
            <w:tcW w:w="722"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1B5F1C43" w14:textId="77777777" w:rsidR="00AE16BB" w:rsidRPr="008902F2" w:rsidRDefault="00AE16BB" w:rsidP="00AE16BB">
            <w:pPr>
              <w:spacing w:after="0" w:line="240" w:lineRule="auto"/>
              <w:jc w:val="left"/>
              <w:rPr>
                <w:rFonts w:ascii="Times New Roman" w:eastAsia="Times New Roman" w:hAnsi="Times New Roman"/>
                <w:b/>
                <w:bCs/>
                <w:sz w:val="16"/>
                <w:lang w:val="en-GB" w:eastAsia="tr-TR"/>
              </w:rPr>
            </w:pPr>
            <w:r w:rsidRPr="008902F2">
              <w:rPr>
                <w:rFonts w:ascii="Times New Roman" w:eastAsia="Times New Roman" w:hAnsi="Times New Roman"/>
                <w:b/>
                <w:bCs/>
                <w:sz w:val="16"/>
                <w:lang w:val="en-GB" w:eastAsia="tr-TR"/>
              </w:rPr>
              <w:t xml:space="preserve">   GRAND TOTAL</w:t>
            </w:r>
          </w:p>
        </w:tc>
        <w:tc>
          <w:tcPr>
            <w:tcW w:w="330" w:type="pct"/>
            <w:tcBorders>
              <w:top w:val="single" w:sz="8" w:space="0" w:color="auto"/>
              <w:left w:val="single" w:sz="8" w:space="0" w:color="auto"/>
              <w:bottom w:val="single" w:sz="4" w:space="0" w:color="auto"/>
              <w:right w:val="single" w:sz="8" w:space="0" w:color="auto"/>
            </w:tcBorders>
            <w:shd w:val="clear" w:color="000000" w:fill="F2F2F2"/>
            <w:noWrap/>
            <w:vAlign w:val="center"/>
          </w:tcPr>
          <w:p w14:paraId="2ACBF4D5"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7.055.762.569,46</w:t>
            </w:r>
          </w:p>
        </w:tc>
        <w:tc>
          <w:tcPr>
            <w:tcW w:w="330" w:type="pct"/>
            <w:tcBorders>
              <w:top w:val="single" w:sz="8" w:space="0" w:color="auto"/>
              <w:left w:val="nil"/>
              <w:bottom w:val="single" w:sz="4" w:space="0" w:color="auto"/>
              <w:right w:val="single" w:sz="8" w:space="0" w:color="auto"/>
            </w:tcBorders>
            <w:shd w:val="clear" w:color="000000" w:fill="F2F2F2"/>
            <w:noWrap/>
            <w:vAlign w:val="center"/>
          </w:tcPr>
          <w:p w14:paraId="6D7C5596"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7.695.763.894,93</w:t>
            </w:r>
          </w:p>
        </w:tc>
        <w:tc>
          <w:tcPr>
            <w:tcW w:w="339" w:type="pct"/>
            <w:tcBorders>
              <w:top w:val="single" w:sz="8" w:space="0" w:color="auto"/>
              <w:left w:val="nil"/>
              <w:bottom w:val="single" w:sz="4" w:space="0" w:color="auto"/>
              <w:right w:val="single" w:sz="8" w:space="0" w:color="auto"/>
            </w:tcBorders>
            <w:shd w:val="clear" w:color="000000" w:fill="F2F2F2"/>
            <w:noWrap/>
            <w:vAlign w:val="center"/>
          </w:tcPr>
          <w:p w14:paraId="55EC3CE6"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8.524.721.075,61</w:t>
            </w:r>
          </w:p>
        </w:tc>
        <w:tc>
          <w:tcPr>
            <w:tcW w:w="886"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62E9227D" w14:textId="77777777" w:rsidR="00AE16BB" w:rsidRPr="008902F2" w:rsidRDefault="00AE16BB" w:rsidP="00AE16BB">
            <w:pPr>
              <w:spacing w:after="0" w:line="240" w:lineRule="auto"/>
              <w:jc w:val="left"/>
              <w:rPr>
                <w:rFonts w:ascii="Times New Roman" w:eastAsia="Times New Roman" w:hAnsi="Times New Roman"/>
                <w:b/>
                <w:bCs/>
                <w:sz w:val="16"/>
                <w:lang w:val="en-GB" w:eastAsia="tr-TR"/>
              </w:rPr>
            </w:pPr>
            <w:r w:rsidRPr="008902F2">
              <w:rPr>
                <w:rFonts w:ascii="Times New Roman" w:eastAsia="Times New Roman" w:hAnsi="Times New Roman"/>
                <w:b/>
                <w:bCs/>
                <w:sz w:val="16"/>
                <w:lang w:val="en-GB" w:eastAsia="tr-TR"/>
              </w:rPr>
              <w:t xml:space="preserve">   GRAND TOTAL</w:t>
            </w:r>
          </w:p>
        </w:tc>
        <w:tc>
          <w:tcPr>
            <w:tcW w:w="359" w:type="pct"/>
            <w:tcBorders>
              <w:top w:val="nil"/>
              <w:left w:val="single" w:sz="8" w:space="0" w:color="auto"/>
              <w:bottom w:val="single" w:sz="8" w:space="0" w:color="auto"/>
              <w:right w:val="single" w:sz="8" w:space="0" w:color="auto"/>
            </w:tcBorders>
            <w:shd w:val="clear" w:color="000000" w:fill="F2F2F2"/>
            <w:noWrap/>
            <w:vAlign w:val="center"/>
            <w:hideMark/>
          </w:tcPr>
          <w:p w14:paraId="24DCF492"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7.055.762.569,46</w:t>
            </w:r>
          </w:p>
        </w:tc>
        <w:tc>
          <w:tcPr>
            <w:tcW w:w="326" w:type="pct"/>
            <w:tcBorders>
              <w:top w:val="nil"/>
              <w:left w:val="nil"/>
              <w:bottom w:val="single" w:sz="8" w:space="0" w:color="auto"/>
              <w:right w:val="single" w:sz="8" w:space="0" w:color="auto"/>
            </w:tcBorders>
            <w:shd w:val="clear" w:color="000000" w:fill="F2F2F2"/>
            <w:noWrap/>
            <w:vAlign w:val="center"/>
            <w:hideMark/>
          </w:tcPr>
          <w:p w14:paraId="4B9F52BD"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7.695.763.894,93</w:t>
            </w:r>
          </w:p>
        </w:tc>
        <w:tc>
          <w:tcPr>
            <w:tcW w:w="354" w:type="pct"/>
            <w:tcBorders>
              <w:top w:val="nil"/>
              <w:left w:val="nil"/>
              <w:bottom w:val="single" w:sz="8" w:space="0" w:color="auto"/>
              <w:right w:val="single" w:sz="8" w:space="0" w:color="auto"/>
            </w:tcBorders>
            <w:shd w:val="clear" w:color="000000" w:fill="F2F2F2"/>
            <w:noWrap/>
            <w:vAlign w:val="center"/>
          </w:tcPr>
          <w:p w14:paraId="3A36045D" w14:textId="77777777" w:rsidR="00AE16BB" w:rsidRPr="008902F2" w:rsidRDefault="00AE16BB" w:rsidP="00AE16BB">
            <w:pPr>
              <w:spacing w:after="0" w:line="240" w:lineRule="auto"/>
              <w:jc w:val="right"/>
              <w:rPr>
                <w:rFonts w:ascii="Times New Roman" w:eastAsia="Times New Roman" w:hAnsi="Times New Roman"/>
                <w:b/>
                <w:bCs/>
                <w:sz w:val="16"/>
                <w:szCs w:val="16"/>
                <w:lang w:val="en-GB" w:eastAsia="tr-TR"/>
              </w:rPr>
            </w:pPr>
            <w:r w:rsidRPr="008902F2">
              <w:rPr>
                <w:rFonts w:ascii="Times New Roman" w:eastAsia="Times New Roman" w:hAnsi="Times New Roman"/>
                <w:b/>
                <w:bCs/>
                <w:sz w:val="16"/>
                <w:szCs w:val="16"/>
                <w:lang w:val="en-GB" w:eastAsia="tr-TR"/>
              </w:rPr>
              <w:t>8.524.721.075,61</w:t>
            </w:r>
          </w:p>
        </w:tc>
      </w:tr>
    </w:tbl>
    <w:p w14:paraId="7B921D25" w14:textId="77777777" w:rsidR="00AE16BB" w:rsidRPr="008902F2" w:rsidRDefault="00AE16BB" w:rsidP="00AE16BB">
      <w:pPr>
        <w:ind w:left="720"/>
        <w:contextualSpacing/>
        <w:rPr>
          <w:rFonts w:ascii="Times New Roman" w:hAnsi="Times New Roman"/>
          <w:b/>
          <w:sz w:val="18"/>
          <w:szCs w:val="18"/>
          <w:highlight w:val="yellow"/>
          <w:lang w:val="en-GB"/>
        </w:rPr>
      </w:pPr>
    </w:p>
    <w:p w14:paraId="2F75019D" w14:textId="77777777" w:rsidR="00AE16BB" w:rsidRPr="008902F2" w:rsidRDefault="00AE16BB" w:rsidP="00AE16BB">
      <w:pPr>
        <w:rPr>
          <w:rFonts w:ascii="Times New Roman" w:hAnsi="Times New Roman"/>
          <w:lang w:val="en-GB"/>
        </w:rPr>
      </w:pPr>
    </w:p>
    <w:p w14:paraId="56813D05" w14:textId="77777777" w:rsidR="00600A08" w:rsidRPr="008902F2" w:rsidRDefault="00600A08" w:rsidP="00FD0F04">
      <w:pPr>
        <w:rPr>
          <w:rFonts w:ascii="Times New Roman" w:hAnsi="Times New Roman"/>
        </w:rPr>
      </w:pPr>
    </w:p>
    <w:sectPr w:rsidR="00600A08" w:rsidRPr="008902F2"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CDC02" w14:textId="77777777" w:rsidR="00A86526" w:rsidRDefault="00A86526" w:rsidP="00297FE1">
      <w:pPr>
        <w:spacing w:after="0" w:line="240" w:lineRule="auto"/>
      </w:pPr>
      <w:r>
        <w:separator/>
      </w:r>
    </w:p>
  </w:endnote>
  <w:endnote w:type="continuationSeparator" w:id="0">
    <w:p w14:paraId="3E2FFF79" w14:textId="77777777" w:rsidR="00A86526" w:rsidRDefault="00A86526"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372141"/>
      <w:docPartObj>
        <w:docPartGallery w:val="Page Numbers (Bottom of Page)"/>
        <w:docPartUnique/>
      </w:docPartObj>
    </w:sdtPr>
    <w:sdtContent>
      <w:p w14:paraId="4A1697B0" w14:textId="6F3AF3C3" w:rsidR="004C0A79" w:rsidRDefault="004C0A79">
        <w:pPr>
          <w:pStyle w:val="AltBilgi"/>
          <w:jc w:val="center"/>
        </w:pPr>
        <w:r>
          <w:fldChar w:fldCharType="begin"/>
        </w:r>
        <w:r>
          <w:instrText>PAGE   \* MERGEFORMAT</w:instrText>
        </w:r>
        <w:r>
          <w:fldChar w:fldCharType="separate"/>
        </w:r>
        <w:r w:rsidR="00AD5C86">
          <w:rPr>
            <w:noProof/>
          </w:rPr>
          <w:t>6</w:t>
        </w:r>
        <w:r>
          <w:rPr>
            <w:noProof/>
          </w:rPr>
          <w:fldChar w:fldCharType="end"/>
        </w:r>
      </w:p>
    </w:sdtContent>
  </w:sdt>
  <w:p w14:paraId="1248DBB4" w14:textId="77777777" w:rsidR="004C0A79" w:rsidRDefault="004C0A7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E9035" w14:textId="77777777" w:rsidR="004C0A79" w:rsidRDefault="004C0A79">
    <w:pPr>
      <w:pStyle w:val="AltBilgi"/>
      <w:jc w:val="center"/>
      <w:rPr>
        <w:noProof/>
      </w:rPr>
    </w:pPr>
  </w:p>
  <w:p w14:paraId="01CDF220" w14:textId="77777777" w:rsidR="004C0A79" w:rsidRDefault="004C0A7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D1F99" w14:textId="77777777" w:rsidR="004C0A79" w:rsidRDefault="004C0A79">
    <w:pPr>
      <w:pStyle w:val="AltBilgi"/>
      <w:jc w:val="center"/>
      <w:rPr>
        <w:noProof/>
      </w:rPr>
    </w:pPr>
    <w:r>
      <w:rPr>
        <w:noProof/>
      </w:rPr>
      <w:t>i</w:t>
    </w:r>
  </w:p>
  <w:p w14:paraId="179632F5" w14:textId="77777777" w:rsidR="004C0A79" w:rsidRDefault="004C0A79">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388EA" w14:textId="77777777" w:rsidR="004C0A79" w:rsidRDefault="004C0A79"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971724"/>
      <w:docPartObj>
        <w:docPartGallery w:val="Page Numbers (Bottom of Page)"/>
        <w:docPartUnique/>
      </w:docPartObj>
    </w:sdtPr>
    <w:sdtContent>
      <w:p w14:paraId="789C5397" w14:textId="26B45F82" w:rsidR="004C0A79" w:rsidRDefault="004C0A79" w:rsidP="00F12D15">
        <w:pPr>
          <w:pStyle w:val="AltBilgi"/>
          <w:jc w:val="center"/>
        </w:pPr>
        <w:r>
          <w:fldChar w:fldCharType="begin"/>
        </w:r>
        <w:r>
          <w:instrText>PAGE   \* MERGEFORMAT</w:instrText>
        </w:r>
        <w:r>
          <w:fldChar w:fldCharType="separate"/>
        </w:r>
        <w:r w:rsidR="00AD5C86">
          <w:rPr>
            <w:noProof/>
          </w:rPr>
          <w:t>7</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582054"/>
      <w:docPartObj>
        <w:docPartGallery w:val="Page Numbers (Bottom of Page)"/>
        <w:docPartUnique/>
      </w:docPartObj>
    </w:sdtPr>
    <w:sdtContent>
      <w:p w14:paraId="387506B6" w14:textId="43CE8C81" w:rsidR="004C0A79" w:rsidRDefault="004C0A79">
        <w:pPr>
          <w:pStyle w:val="AltBilgi"/>
          <w:jc w:val="right"/>
        </w:pPr>
        <w:r>
          <w:fldChar w:fldCharType="begin"/>
        </w:r>
        <w:r>
          <w:instrText>PAGE   \* MERGEFORMAT</w:instrText>
        </w:r>
        <w:r>
          <w:fldChar w:fldCharType="separate"/>
        </w:r>
        <w:r w:rsidR="001D7665">
          <w:rPr>
            <w:noProof/>
          </w:rPr>
          <w:t>201</w:t>
        </w:r>
        <w:r>
          <w:fldChar w:fldCharType="end"/>
        </w:r>
      </w:p>
    </w:sdtContent>
  </w:sdt>
  <w:p w14:paraId="7C8F451C" w14:textId="77777777" w:rsidR="004C0A79" w:rsidRDefault="004C0A79">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B0406" w14:textId="77777777" w:rsidR="004C0A79" w:rsidRDefault="004C0A79" w:rsidP="00F922DE">
    <w:pPr>
      <w:pStyle w:val="AltBilgi"/>
      <w:tabs>
        <w:tab w:val="left" w:pos="4725"/>
        <w:tab w:val="center" w:pos="4961"/>
      </w:tabs>
      <w:jc w:val="center"/>
      <w:rPr>
        <w:noProof/>
      </w:rPr>
    </w:pPr>
    <w:r>
      <w:rPr>
        <w:noProof/>
      </w:rPr>
      <w:t>44</w:t>
    </w:r>
  </w:p>
  <w:p w14:paraId="39E3055F" w14:textId="77777777" w:rsidR="004C0A79" w:rsidRDefault="004C0A79">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BE531" w14:textId="77777777" w:rsidR="004C0A79" w:rsidRDefault="004C0A79" w:rsidP="007650B8">
    <w:pPr>
      <w:pStyle w:val="AltBilgi"/>
      <w:tabs>
        <w:tab w:val="left" w:pos="4725"/>
        <w:tab w:val="center" w:pos="4961"/>
      </w:tabs>
      <w:jc w:val="center"/>
      <w:rPr>
        <w:noProof/>
      </w:rPr>
    </w:pPr>
    <w:r>
      <w:rPr>
        <w:noProof/>
      </w:rPr>
      <w:t>44</w:t>
    </w:r>
  </w:p>
  <w:p w14:paraId="577DBF0D" w14:textId="77777777" w:rsidR="004C0A79" w:rsidRDefault="004C0A7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2AE88" w14:textId="77777777" w:rsidR="00A86526" w:rsidRDefault="00A86526" w:rsidP="00297FE1">
      <w:pPr>
        <w:spacing w:after="0" w:line="240" w:lineRule="auto"/>
      </w:pPr>
      <w:r>
        <w:separator/>
      </w:r>
    </w:p>
  </w:footnote>
  <w:footnote w:type="continuationSeparator" w:id="0">
    <w:p w14:paraId="3151ACCA" w14:textId="77777777" w:rsidR="00A86526" w:rsidRDefault="00A86526" w:rsidP="00297FE1">
      <w:pPr>
        <w:spacing w:after="0" w:line="240" w:lineRule="auto"/>
      </w:pPr>
      <w:r>
        <w:continuationSeparator/>
      </w:r>
    </w:p>
  </w:footnote>
  <w:footnote w:id="1">
    <w:p w14:paraId="61A95889" w14:textId="77777777" w:rsidR="004C0A79" w:rsidRDefault="004C0A79">
      <w:pPr>
        <w:pStyle w:val="DipnotMetni"/>
      </w:pPr>
      <w:r>
        <w:rPr>
          <w:rStyle w:val="DipnotBavurusu"/>
        </w:rPr>
        <w:footnoteRef/>
      </w:r>
      <w:r w:rsidRPr="008A34A2">
        <w:t xml:space="preserve"> Article 17 of the Law on the Amendment of Certain Laws No. 7346 published in the Official Gazette dated 25.12.2021 and numbered 31700 and Article 9 of the Law No. 4628 on the Organization and Duties of the Energy Market Regulatory Authority were added and the Energy Transformation Department was established.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7746"/>
    <w:multiLevelType w:val="hybridMultilevel"/>
    <w:tmpl w:val="0C126B62"/>
    <w:lvl w:ilvl="0" w:tplc="0FE05DD8">
      <w:numFmt w:val="bullet"/>
      <w:lvlText w:val="•"/>
      <w:lvlJc w:val="left"/>
      <w:pPr>
        <w:ind w:left="1065" w:hanging="705"/>
      </w:pPr>
      <w:rPr>
        <w:rFonts w:ascii="Calibri" w:hAnsi="Calibri" w:hint="default"/>
      </w:rPr>
    </w:lvl>
    <w:lvl w:ilvl="1" w:tplc="909A043A">
      <w:start w:val="1"/>
      <w:numFmt w:val="bullet"/>
      <w:lvlText w:val="o"/>
      <w:lvlJc w:val="left"/>
      <w:pPr>
        <w:ind w:left="1440" w:hanging="360"/>
      </w:pPr>
      <w:rPr>
        <w:rFonts w:ascii="Courier New" w:hAnsi="Courier New" w:hint="default"/>
      </w:rPr>
    </w:lvl>
    <w:lvl w:ilvl="2" w:tplc="66843A7E">
      <w:start w:val="1"/>
      <w:numFmt w:val="bullet"/>
      <w:lvlText w:val=""/>
      <w:lvlJc w:val="left"/>
      <w:pPr>
        <w:ind w:left="2160" w:hanging="360"/>
      </w:pPr>
      <w:rPr>
        <w:rFonts w:ascii="Wingdings" w:hAnsi="Wingdings" w:hint="default"/>
      </w:rPr>
    </w:lvl>
    <w:lvl w:ilvl="3" w:tplc="40BCE550">
      <w:start w:val="1"/>
      <w:numFmt w:val="bullet"/>
      <w:lvlText w:val=""/>
      <w:lvlJc w:val="left"/>
      <w:pPr>
        <w:ind w:left="2880" w:hanging="360"/>
      </w:pPr>
      <w:rPr>
        <w:rFonts w:ascii="Symbol" w:hAnsi="Symbol" w:hint="default"/>
      </w:rPr>
    </w:lvl>
    <w:lvl w:ilvl="4" w:tplc="B82E61E4">
      <w:start w:val="1"/>
      <w:numFmt w:val="bullet"/>
      <w:lvlText w:val="o"/>
      <w:lvlJc w:val="left"/>
      <w:pPr>
        <w:ind w:left="3600" w:hanging="360"/>
      </w:pPr>
      <w:rPr>
        <w:rFonts w:ascii="Courier New" w:hAnsi="Courier New" w:hint="default"/>
      </w:rPr>
    </w:lvl>
    <w:lvl w:ilvl="5" w:tplc="D848F2E6">
      <w:start w:val="1"/>
      <w:numFmt w:val="bullet"/>
      <w:lvlText w:val=""/>
      <w:lvlJc w:val="left"/>
      <w:pPr>
        <w:ind w:left="4320" w:hanging="360"/>
      </w:pPr>
      <w:rPr>
        <w:rFonts w:ascii="Wingdings" w:hAnsi="Wingdings" w:hint="default"/>
      </w:rPr>
    </w:lvl>
    <w:lvl w:ilvl="6" w:tplc="0C42A178">
      <w:start w:val="1"/>
      <w:numFmt w:val="bullet"/>
      <w:lvlText w:val=""/>
      <w:lvlJc w:val="left"/>
      <w:pPr>
        <w:ind w:left="5040" w:hanging="360"/>
      </w:pPr>
      <w:rPr>
        <w:rFonts w:ascii="Symbol" w:hAnsi="Symbol" w:hint="default"/>
      </w:rPr>
    </w:lvl>
    <w:lvl w:ilvl="7" w:tplc="F44460B6">
      <w:start w:val="1"/>
      <w:numFmt w:val="bullet"/>
      <w:lvlText w:val="o"/>
      <w:lvlJc w:val="left"/>
      <w:pPr>
        <w:ind w:left="5760" w:hanging="360"/>
      </w:pPr>
      <w:rPr>
        <w:rFonts w:ascii="Courier New" w:hAnsi="Courier New" w:hint="default"/>
      </w:rPr>
    </w:lvl>
    <w:lvl w:ilvl="8" w:tplc="87B80136">
      <w:start w:val="1"/>
      <w:numFmt w:val="bullet"/>
      <w:lvlText w:val=""/>
      <w:lvlJc w:val="left"/>
      <w:pPr>
        <w:ind w:left="6480" w:hanging="360"/>
      </w:pPr>
      <w:rPr>
        <w:rFonts w:ascii="Wingdings" w:hAnsi="Wingdings" w:hint="default"/>
      </w:rPr>
    </w:lvl>
  </w:abstractNum>
  <w:abstractNum w:abstractNumId="1" w15:restartNumberingAfterBreak="0">
    <w:nsid w:val="01A66720"/>
    <w:multiLevelType w:val="hybridMultilevel"/>
    <w:tmpl w:val="E848910C"/>
    <w:lvl w:ilvl="0" w:tplc="27680F2A">
      <w:start w:val="2"/>
      <w:numFmt w:val="decimal"/>
      <w:lvlText w:val="(%1)"/>
      <w:lvlJc w:val="left"/>
      <w:pPr>
        <w:ind w:left="1608" w:hanging="392"/>
      </w:pPr>
      <w:rPr>
        <w:rFonts w:ascii="Calibri" w:eastAsia="Calibri" w:hAnsi="Calibri" w:cs="Calibri" w:hint="default"/>
        <w:b w:val="0"/>
        <w:bCs w:val="0"/>
        <w:i/>
        <w:iCs/>
        <w:spacing w:val="0"/>
        <w:w w:val="100"/>
        <w:sz w:val="22"/>
        <w:szCs w:val="22"/>
        <w:lang w:val="tr-TR" w:eastAsia="en-US" w:bidi="ar-SA"/>
      </w:rPr>
    </w:lvl>
    <w:lvl w:ilvl="1" w:tplc="3660528A">
      <w:start w:val="1"/>
      <w:numFmt w:val="lowerLetter"/>
      <w:lvlText w:val="%2)"/>
      <w:lvlJc w:val="left"/>
      <w:pPr>
        <w:ind w:left="1608" w:hanging="252"/>
      </w:pPr>
      <w:rPr>
        <w:rFonts w:ascii="Calibri" w:eastAsia="Calibri" w:hAnsi="Calibri" w:cs="Calibri" w:hint="default"/>
        <w:b w:val="0"/>
        <w:bCs w:val="0"/>
        <w:i/>
        <w:iCs/>
        <w:spacing w:val="-1"/>
        <w:w w:val="100"/>
        <w:sz w:val="22"/>
        <w:szCs w:val="22"/>
        <w:lang w:val="tr-TR" w:eastAsia="en-US" w:bidi="ar-SA"/>
      </w:rPr>
    </w:lvl>
    <w:lvl w:ilvl="2" w:tplc="014401D4">
      <w:numFmt w:val="bullet"/>
      <w:lvlText w:val="•"/>
      <w:lvlJc w:val="left"/>
      <w:pPr>
        <w:ind w:left="3313" w:hanging="252"/>
      </w:pPr>
      <w:rPr>
        <w:rFonts w:hint="default"/>
        <w:lang w:val="tr-TR" w:eastAsia="en-US" w:bidi="ar-SA"/>
      </w:rPr>
    </w:lvl>
    <w:lvl w:ilvl="3" w:tplc="98821852">
      <w:numFmt w:val="bullet"/>
      <w:lvlText w:val="•"/>
      <w:lvlJc w:val="left"/>
      <w:pPr>
        <w:ind w:left="4169" w:hanging="252"/>
      </w:pPr>
      <w:rPr>
        <w:rFonts w:hint="default"/>
        <w:lang w:val="tr-TR" w:eastAsia="en-US" w:bidi="ar-SA"/>
      </w:rPr>
    </w:lvl>
    <w:lvl w:ilvl="4" w:tplc="47060E48">
      <w:numFmt w:val="bullet"/>
      <w:lvlText w:val="•"/>
      <w:lvlJc w:val="left"/>
      <w:pPr>
        <w:ind w:left="5026" w:hanging="252"/>
      </w:pPr>
      <w:rPr>
        <w:rFonts w:hint="default"/>
        <w:lang w:val="tr-TR" w:eastAsia="en-US" w:bidi="ar-SA"/>
      </w:rPr>
    </w:lvl>
    <w:lvl w:ilvl="5" w:tplc="31B0A27E">
      <w:numFmt w:val="bullet"/>
      <w:lvlText w:val="•"/>
      <w:lvlJc w:val="left"/>
      <w:pPr>
        <w:ind w:left="5883" w:hanging="252"/>
      </w:pPr>
      <w:rPr>
        <w:rFonts w:hint="default"/>
        <w:lang w:val="tr-TR" w:eastAsia="en-US" w:bidi="ar-SA"/>
      </w:rPr>
    </w:lvl>
    <w:lvl w:ilvl="6" w:tplc="32622CAE">
      <w:numFmt w:val="bullet"/>
      <w:lvlText w:val="•"/>
      <w:lvlJc w:val="left"/>
      <w:pPr>
        <w:ind w:left="6739" w:hanging="252"/>
      </w:pPr>
      <w:rPr>
        <w:rFonts w:hint="default"/>
        <w:lang w:val="tr-TR" w:eastAsia="en-US" w:bidi="ar-SA"/>
      </w:rPr>
    </w:lvl>
    <w:lvl w:ilvl="7" w:tplc="821E3DE4">
      <w:numFmt w:val="bullet"/>
      <w:lvlText w:val="•"/>
      <w:lvlJc w:val="left"/>
      <w:pPr>
        <w:ind w:left="7596" w:hanging="252"/>
      </w:pPr>
      <w:rPr>
        <w:rFonts w:hint="default"/>
        <w:lang w:val="tr-TR" w:eastAsia="en-US" w:bidi="ar-SA"/>
      </w:rPr>
    </w:lvl>
    <w:lvl w:ilvl="8" w:tplc="B37AC4E6">
      <w:numFmt w:val="bullet"/>
      <w:lvlText w:val="•"/>
      <w:lvlJc w:val="left"/>
      <w:pPr>
        <w:ind w:left="8453" w:hanging="252"/>
      </w:pPr>
      <w:rPr>
        <w:rFonts w:hint="default"/>
        <w:lang w:val="tr-TR" w:eastAsia="en-US" w:bidi="ar-SA"/>
      </w:rPr>
    </w:lvl>
  </w:abstractNum>
  <w:abstractNum w:abstractNumId="2" w15:restartNumberingAfterBreak="0">
    <w:nsid w:val="026D3E75"/>
    <w:multiLevelType w:val="hybridMultilevel"/>
    <w:tmpl w:val="9B9EAC0C"/>
    <w:lvl w:ilvl="0" w:tplc="DECE00C8">
      <w:start w:val="13"/>
      <w:numFmt w:val="decimal"/>
      <w:lvlText w:val="(%1)"/>
      <w:lvlJc w:val="left"/>
      <w:pPr>
        <w:ind w:left="1575" w:hanging="444"/>
      </w:pPr>
      <w:rPr>
        <w:rFonts w:ascii="Calibri" w:eastAsia="Calibri" w:hAnsi="Calibri" w:cs="Calibri" w:hint="default"/>
        <w:b w:val="0"/>
        <w:bCs w:val="0"/>
        <w:i/>
        <w:iCs/>
        <w:spacing w:val="0"/>
        <w:w w:val="100"/>
        <w:sz w:val="22"/>
        <w:szCs w:val="22"/>
        <w:lang w:val="tr-TR" w:eastAsia="en-US" w:bidi="ar-SA"/>
      </w:rPr>
    </w:lvl>
    <w:lvl w:ilvl="1" w:tplc="3D847DF8">
      <w:numFmt w:val="bullet"/>
      <w:lvlText w:val="•"/>
      <w:lvlJc w:val="left"/>
      <w:pPr>
        <w:ind w:left="2356" w:hanging="444"/>
      </w:pPr>
      <w:rPr>
        <w:rFonts w:hint="default"/>
        <w:lang w:val="tr-TR" w:eastAsia="en-US" w:bidi="ar-SA"/>
      </w:rPr>
    </w:lvl>
    <w:lvl w:ilvl="2" w:tplc="161A48D0">
      <w:numFmt w:val="bullet"/>
      <w:lvlText w:val="•"/>
      <w:lvlJc w:val="left"/>
      <w:pPr>
        <w:ind w:left="3133" w:hanging="444"/>
      </w:pPr>
      <w:rPr>
        <w:rFonts w:hint="default"/>
        <w:lang w:val="tr-TR" w:eastAsia="en-US" w:bidi="ar-SA"/>
      </w:rPr>
    </w:lvl>
    <w:lvl w:ilvl="3" w:tplc="A4A49F98">
      <w:numFmt w:val="bullet"/>
      <w:lvlText w:val="•"/>
      <w:lvlJc w:val="left"/>
      <w:pPr>
        <w:ind w:left="3909" w:hanging="444"/>
      </w:pPr>
      <w:rPr>
        <w:rFonts w:hint="default"/>
        <w:lang w:val="tr-TR" w:eastAsia="en-US" w:bidi="ar-SA"/>
      </w:rPr>
    </w:lvl>
    <w:lvl w:ilvl="4" w:tplc="34CA90FC">
      <w:numFmt w:val="bullet"/>
      <w:lvlText w:val="•"/>
      <w:lvlJc w:val="left"/>
      <w:pPr>
        <w:ind w:left="4686" w:hanging="444"/>
      </w:pPr>
      <w:rPr>
        <w:rFonts w:hint="default"/>
        <w:lang w:val="tr-TR" w:eastAsia="en-US" w:bidi="ar-SA"/>
      </w:rPr>
    </w:lvl>
    <w:lvl w:ilvl="5" w:tplc="B210914C">
      <w:numFmt w:val="bullet"/>
      <w:lvlText w:val="•"/>
      <w:lvlJc w:val="left"/>
      <w:pPr>
        <w:ind w:left="5463" w:hanging="444"/>
      </w:pPr>
      <w:rPr>
        <w:rFonts w:hint="default"/>
        <w:lang w:val="tr-TR" w:eastAsia="en-US" w:bidi="ar-SA"/>
      </w:rPr>
    </w:lvl>
    <w:lvl w:ilvl="6" w:tplc="7F74E7EE">
      <w:numFmt w:val="bullet"/>
      <w:lvlText w:val="•"/>
      <w:lvlJc w:val="left"/>
      <w:pPr>
        <w:ind w:left="6239" w:hanging="444"/>
      </w:pPr>
      <w:rPr>
        <w:rFonts w:hint="default"/>
        <w:lang w:val="tr-TR" w:eastAsia="en-US" w:bidi="ar-SA"/>
      </w:rPr>
    </w:lvl>
    <w:lvl w:ilvl="7" w:tplc="27E4D628">
      <w:numFmt w:val="bullet"/>
      <w:lvlText w:val="•"/>
      <w:lvlJc w:val="left"/>
      <w:pPr>
        <w:ind w:left="7016" w:hanging="444"/>
      </w:pPr>
      <w:rPr>
        <w:rFonts w:hint="default"/>
        <w:lang w:val="tr-TR" w:eastAsia="en-US" w:bidi="ar-SA"/>
      </w:rPr>
    </w:lvl>
    <w:lvl w:ilvl="8" w:tplc="5C8C0098">
      <w:numFmt w:val="bullet"/>
      <w:lvlText w:val="•"/>
      <w:lvlJc w:val="left"/>
      <w:pPr>
        <w:ind w:left="7793" w:hanging="444"/>
      </w:pPr>
      <w:rPr>
        <w:rFonts w:hint="default"/>
        <w:lang w:val="tr-TR" w:eastAsia="en-US" w:bidi="ar-SA"/>
      </w:rPr>
    </w:lvl>
  </w:abstractNum>
  <w:abstractNum w:abstractNumId="3" w15:restartNumberingAfterBreak="0">
    <w:nsid w:val="03EA3B9A"/>
    <w:multiLevelType w:val="hybridMultilevel"/>
    <w:tmpl w:val="4158500E"/>
    <w:lvl w:ilvl="0" w:tplc="89201A14">
      <w:start w:val="1"/>
      <w:numFmt w:val="bullet"/>
      <w:lvlText w:val=""/>
      <w:lvlJc w:val="left"/>
      <w:pPr>
        <w:ind w:left="1440" w:hanging="360"/>
      </w:pPr>
      <w:rPr>
        <w:rFonts w:ascii="Symbol" w:hAnsi="Symbol" w:hint="default"/>
      </w:rPr>
    </w:lvl>
    <w:lvl w:ilvl="1" w:tplc="FB5C8AEA">
      <w:start w:val="1"/>
      <w:numFmt w:val="bullet"/>
      <w:lvlText w:val="o"/>
      <w:lvlJc w:val="left"/>
      <w:pPr>
        <w:ind w:left="1440" w:hanging="360"/>
      </w:pPr>
      <w:rPr>
        <w:rFonts w:ascii="Courier New" w:hAnsi="Courier New" w:hint="default"/>
      </w:rPr>
    </w:lvl>
    <w:lvl w:ilvl="2" w:tplc="97D07B4E">
      <w:start w:val="1"/>
      <w:numFmt w:val="bullet"/>
      <w:lvlText w:val=""/>
      <w:lvlJc w:val="left"/>
      <w:pPr>
        <w:ind w:left="2160" w:hanging="360"/>
      </w:pPr>
      <w:rPr>
        <w:rFonts w:ascii="Wingdings" w:hAnsi="Wingdings" w:hint="default"/>
      </w:rPr>
    </w:lvl>
    <w:lvl w:ilvl="3" w:tplc="F1C6C5BC">
      <w:start w:val="1"/>
      <w:numFmt w:val="bullet"/>
      <w:lvlText w:val=""/>
      <w:lvlJc w:val="left"/>
      <w:pPr>
        <w:ind w:left="2880" w:hanging="360"/>
      </w:pPr>
      <w:rPr>
        <w:rFonts w:ascii="Symbol" w:hAnsi="Symbol" w:hint="default"/>
      </w:rPr>
    </w:lvl>
    <w:lvl w:ilvl="4" w:tplc="366E6D82">
      <w:start w:val="1"/>
      <w:numFmt w:val="bullet"/>
      <w:lvlText w:val="o"/>
      <w:lvlJc w:val="left"/>
      <w:pPr>
        <w:ind w:left="3600" w:hanging="360"/>
      </w:pPr>
      <w:rPr>
        <w:rFonts w:ascii="Courier New" w:hAnsi="Courier New" w:hint="default"/>
      </w:rPr>
    </w:lvl>
    <w:lvl w:ilvl="5" w:tplc="B68A510A">
      <w:start w:val="1"/>
      <w:numFmt w:val="bullet"/>
      <w:lvlText w:val=""/>
      <w:lvlJc w:val="left"/>
      <w:pPr>
        <w:ind w:left="4320" w:hanging="360"/>
      </w:pPr>
      <w:rPr>
        <w:rFonts w:ascii="Wingdings" w:hAnsi="Wingdings" w:hint="default"/>
      </w:rPr>
    </w:lvl>
    <w:lvl w:ilvl="6" w:tplc="3BF80CFC">
      <w:start w:val="1"/>
      <w:numFmt w:val="bullet"/>
      <w:lvlText w:val=""/>
      <w:lvlJc w:val="left"/>
      <w:pPr>
        <w:ind w:left="5040" w:hanging="360"/>
      </w:pPr>
      <w:rPr>
        <w:rFonts w:ascii="Symbol" w:hAnsi="Symbol" w:hint="default"/>
      </w:rPr>
    </w:lvl>
    <w:lvl w:ilvl="7" w:tplc="69706880">
      <w:start w:val="1"/>
      <w:numFmt w:val="bullet"/>
      <w:lvlText w:val="o"/>
      <w:lvlJc w:val="left"/>
      <w:pPr>
        <w:ind w:left="5760" w:hanging="360"/>
      </w:pPr>
      <w:rPr>
        <w:rFonts w:ascii="Courier New" w:hAnsi="Courier New" w:hint="default"/>
      </w:rPr>
    </w:lvl>
    <w:lvl w:ilvl="8" w:tplc="6F6AD3A2">
      <w:start w:val="1"/>
      <w:numFmt w:val="bullet"/>
      <w:lvlText w:val=""/>
      <w:lvlJc w:val="left"/>
      <w:pPr>
        <w:ind w:left="6480" w:hanging="360"/>
      </w:pPr>
      <w:rPr>
        <w:rFonts w:ascii="Wingdings" w:hAnsi="Wingdings" w:hint="default"/>
      </w:rPr>
    </w:lvl>
  </w:abstractNum>
  <w:abstractNum w:abstractNumId="4" w15:restartNumberingAfterBreak="0">
    <w:nsid w:val="05BBBA96"/>
    <w:multiLevelType w:val="hybridMultilevel"/>
    <w:tmpl w:val="385232AC"/>
    <w:lvl w:ilvl="0" w:tplc="47448CDE">
      <w:start w:val="1"/>
      <w:numFmt w:val="decimal"/>
      <w:lvlText w:val="%1)"/>
      <w:lvlJc w:val="left"/>
      <w:pPr>
        <w:ind w:left="1428" w:hanging="360"/>
      </w:pPr>
    </w:lvl>
    <w:lvl w:ilvl="1" w:tplc="B4CA4C7E">
      <w:start w:val="1"/>
      <w:numFmt w:val="lowerLetter"/>
      <w:lvlText w:val="%2."/>
      <w:lvlJc w:val="left"/>
      <w:pPr>
        <w:ind w:left="1440" w:hanging="360"/>
      </w:pPr>
    </w:lvl>
    <w:lvl w:ilvl="2" w:tplc="E2489764">
      <w:start w:val="1"/>
      <w:numFmt w:val="lowerRoman"/>
      <w:lvlText w:val="%3."/>
      <w:lvlJc w:val="right"/>
      <w:pPr>
        <w:ind w:left="2160" w:hanging="180"/>
      </w:pPr>
    </w:lvl>
    <w:lvl w:ilvl="3" w:tplc="77BCC9E4">
      <w:start w:val="1"/>
      <w:numFmt w:val="decimal"/>
      <w:lvlText w:val="%4."/>
      <w:lvlJc w:val="left"/>
      <w:pPr>
        <w:ind w:left="2880" w:hanging="360"/>
      </w:pPr>
    </w:lvl>
    <w:lvl w:ilvl="4" w:tplc="D882A55E">
      <w:start w:val="1"/>
      <w:numFmt w:val="lowerLetter"/>
      <w:lvlText w:val="%5."/>
      <w:lvlJc w:val="left"/>
      <w:pPr>
        <w:ind w:left="3600" w:hanging="360"/>
      </w:pPr>
    </w:lvl>
    <w:lvl w:ilvl="5" w:tplc="B9EC19D2">
      <w:start w:val="1"/>
      <w:numFmt w:val="lowerRoman"/>
      <w:lvlText w:val="%6."/>
      <w:lvlJc w:val="right"/>
      <w:pPr>
        <w:ind w:left="4320" w:hanging="180"/>
      </w:pPr>
    </w:lvl>
    <w:lvl w:ilvl="6" w:tplc="DED636F4">
      <w:start w:val="1"/>
      <w:numFmt w:val="decimal"/>
      <w:lvlText w:val="%7."/>
      <w:lvlJc w:val="left"/>
      <w:pPr>
        <w:ind w:left="5040" w:hanging="360"/>
      </w:pPr>
    </w:lvl>
    <w:lvl w:ilvl="7" w:tplc="7B804286">
      <w:start w:val="1"/>
      <w:numFmt w:val="lowerLetter"/>
      <w:lvlText w:val="%8."/>
      <w:lvlJc w:val="left"/>
      <w:pPr>
        <w:ind w:left="5760" w:hanging="360"/>
      </w:pPr>
    </w:lvl>
    <w:lvl w:ilvl="8" w:tplc="A35C98E6">
      <w:start w:val="1"/>
      <w:numFmt w:val="lowerRoman"/>
      <w:lvlText w:val="%9."/>
      <w:lvlJc w:val="right"/>
      <w:pPr>
        <w:ind w:left="6480" w:hanging="180"/>
      </w:pPr>
    </w:lvl>
  </w:abstractNum>
  <w:abstractNum w:abstractNumId="5" w15:restartNumberingAfterBreak="0">
    <w:nsid w:val="09D55AFE"/>
    <w:multiLevelType w:val="hybridMultilevel"/>
    <w:tmpl w:val="16226494"/>
    <w:lvl w:ilvl="0" w:tplc="FE0EE49C">
      <w:start w:val="1"/>
      <w:numFmt w:val="decimal"/>
      <w:lvlText w:val="%1."/>
      <w:lvlJc w:val="left"/>
      <w:pPr>
        <w:ind w:left="1827" w:hanging="219"/>
      </w:pPr>
      <w:rPr>
        <w:rFonts w:ascii="Calibri" w:eastAsia="Calibri" w:hAnsi="Calibri" w:cs="Calibri" w:hint="default"/>
        <w:b w:val="0"/>
        <w:bCs w:val="0"/>
        <w:i/>
        <w:iCs/>
        <w:spacing w:val="0"/>
        <w:w w:val="100"/>
        <w:sz w:val="22"/>
        <w:szCs w:val="22"/>
        <w:lang w:val="tr-TR" w:eastAsia="en-US" w:bidi="ar-SA"/>
      </w:rPr>
    </w:lvl>
    <w:lvl w:ilvl="1" w:tplc="DCA2C5AC">
      <w:numFmt w:val="bullet"/>
      <w:lvlText w:val="•"/>
      <w:lvlJc w:val="left"/>
      <w:pPr>
        <w:ind w:left="2654" w:hanging="219"/>
      </w:pPr>
      <w:rPr>
        <w:rFonts w:hint="default"/>
        <w:lang w:val="tr-TR" w:eastAsia="en-US" w:bidi="ar-SA"/>
      </w:rPr>
    </w:lvl>
    <w:lvl w:ilvl="2" w:tplc="F6CEC9E8">
      <w:numFmt w:val="bullet"/>
      <w:lvlText w:val="•"/>
      <w:lvlJc w:val="left"/>
      <w:pPr>
        <w:ind w:left="3489" w:hanging="219"/>
      </w:pPr>
      <w:rPr>
        <w:rFonts w:hint="default"/>
        <w:lang w:val="tr-TR" w:eastAsia="en-US" w:bidi="ar-SA"/>
      </w:rPr>
    </w:lvl>
    <w:lvl w:ilvl="3" w:tplc="6EBC7B32">
      <w:numFmt w:val="bullet"/>
      <w:lvlText w:val="•"/>
      <w:lvlJc w:val="left"/>
      <w:pPr>
        <w:ind w:left="4323" w:hanging="219"/>
      </w:pPr>
      <w:rPr>
        <w:rFonts w:hint="default"/>
        <w:lang w:val="tr-TR" w:eastAsia="en-US" w:bidi="ar-SA"/>
      </w:rPr>
    </w:lvl>
    <w:lvl w:ilvl="4" w:tplc="C0C27F9A">
      <w:numFmt w:val="bullet"/>
      <w:lvlText w:val="•"/>
      <w:lvlJc w:val="left"/>
      <w:pPr>
        <w:ind w:left="5158" w:hanging="219"/>
      </w:pPr>
      <w:rPr>
        <w:rFonts w:hint="default"/>
        <w:lang w:val="tr-TR" w:eastAsia="en-US" w:bidi="ar-SA"/>
      </w:rPr>
    </w:lvl>
    <w:lvl w:ilvl="5" w:tplc="A2B21C12">
      <w:numFmt w:val="bullet"/>
      <w:lvlText w:val="•"/>
      <w:lvlJc w:val="left"/>
      <w:pPr>
        <w:ind w:left="5993" w:hanging="219"/>
      </w:pPr>
      <w:rPr>
        <w:rFonts w:hint="default"/>
        <w:lang w:val="tr-TR" w:eastAsia="en-US" w:bidi="ar-SA"/>
      </w:rPr>
    </w:lvl>
    <w:lvl w:ilvl="6" w:tplc="3F8895D2">
      <w:numFmt w:val="bullet"/>
      <w:lvlText w:val="•"/>
      <w:lvlJc w:val="left"/>
      <w:pPr>
        <w:ind w:left="6827" w:hanging="219"/>
      </w:pPr>
      <w:rPr>
        <w:rFonts w:hint="default"/>
        <w:lang w:val="tr-TR" w:eastAsia="en-US" w:bidi="ar-SA"/>
      </w:rPr>
    </w:lvl>
    <w:lvl w:ilvl="7" w:tplc="451480BA">
      <w:numFmt w:val="bullet"/>
      <w:lvlText w:val="•"/>
      <w:lvlJc w:val="left"/>
      <w:pPr>
        <w:ind w:left="7662" w:hanging="219"/>
      </w:pPr>
      <w:rPr>
        <w:rFonts w:hint="default"/>
        <w:lang w:val="tr-TR" w:eastAsia="en-US" w:bidi="ar-SA"/>
      </w:rPr>
    </w:lvl>
    <w:lvl w:ilvl="8" w:tplc="DB364EE8">
      <w:numFmt w:val="bullet"/>
      <w:lvlText w:val="•"/>
      <w:lvlJc w:val="left"/>
      <w:pPr>
        <w:ind w:left="8497" w:hanging="219"/>
      </w:pPr>
      <w:rPr>
        <w:rFonts w:hint="default"/>
        <w:lang w:val="tr-TR" w:eastAsia="en-US" w:bidi="ar-SA"/>
      </w:rPr>
    </w:lvl>
  </w:abstractNum>
  <w:abstractNum w:abstractNumId="6" w15:restartNumberingAfterBreak="0">
    <w:nsid w:val="0A726E27"/>
    <w:multiLevelType w:val="hybridMultilevel"/>
    <w:tmpl w:val="509AAA34"/>
    <w:lvl w:ilvl="0" w:tplc="0CC2F0A2">
      <w:start w:val="2"/>
      <w:numFmt w:val="decimal"/>
      <w:lvlText w:val="(%1)"/>
      <w:lvlJc w:val="left"/>
      <w:pPr>
        <w:ind w:left="1556" w:hanging="365"/>
      </w:pPr>
      <w:rPr>
        <w:rFonts w:ascii="Calibri" w:eastAsia="Calibri" w:hAnsi="Calibri" w:cs="Calibri" w:hint="default"/>
        <w:b w:val="0"/>
        <w:bCs w:val="0"/>
        <w:i/>
        <w:iCs/>
        <w:spacing w:val="0"/>
        <w:w w:val="100"/>
        <w:sz w:val="22"/>
        <w:szCs w:val="22"/>
        <w:lang w:val="tr-TR" w:eastAsia="en-US" w:bidi="ar-SA"/>
      </w:rPr>
    </w:lvl>
    <w:lvl w:ilvl="1" w:tplc="1A96759C">
      <w:numFmt w:val="bullet"/>
      <w:lvlText w:val="•"/>
      <w:lvlJc w:val="left"/>
      <w:pPr>
        <w:ind w:left="2336" w:hanging="365"/>
      </w:pPr>
      <w:rPr>
        <w:rFonts w:hint="default"/>
        <w:lang w:val="tr-TR" w:eastAsia="en-US" w:bidi="ar-SA"/>
      </w:rPr>
    </w:lvl>
    <w:lvl w:ilvl="2" w:tplc="62DAA178">
      <w:numFmt w:val="bullet"/>
      <w:lvlText w:val="•"/>
      <w:lvlJc w:val="left"/>
      <w:pPr>
        <w:ind w:left="3113" w:hanging="365"/>
      </w:pPr>
      <w:rPr>
        <w:rFonts w:hint="default"/>
        <w:lang w:val="tr-TR" w:eastAsia="en-US" w:bidi="ar-SA"/>
      </w:rPr>
    </w:lvl>
    <w:lvl w:ilvl="3" w:tplc="26B08698">
      <w:numFmt w:val="bullet"/>
      <w:lvlText w:val="•"/>
      <w:lvlJc w:val="left"/>
      <w:pPr>
        <w:ind w:left="3889" w:hanging="365"/>
      </w:pPr>
      <w:rPr>
        <w:rFonts w:hint="default"/>
        <w:lang w:val="tr-TR" w:eastAsia="en-US" w:bidi="ar-SA"/>
      </w:rPr>
    </w:lvl>
    <w:lvl w:ilvl="4" w:tplc="DD102B3A">
      <w:numFmt w:val="bullet"/>
      <w:lvlText w:val="•"/>
      <w:lvlJc w:val="left"/>
      <w:pPr>
        <w:ind w:left="4666" w:hanging="365"/>
      </w:pPr>
      <w:rPr>
        <w:rFonts w:hint="default"/>
        <w:lang w:val="tr-TR" w:eastAsia="en-US" w:bidi="ar-SA"/>
      </w:rPr>
    </w:lvl>
    <w:lvl w:ilvl="5" w:tplc="BF3C134C">
      <w:numFmt w:val="bullet"/>
      <w:lvlText w:val="•"/>
      <w:lvlJc w:val="left"/>
      <w:pPr>
        <w:ind w:left="5443" w:hanging="365"/>
      </w:pPr>
      <w:rPr>
        <w:rFonts w:hint="default"/>
        <w:lang w:val="tr-TR" w:eastAsia="en-US" w:bidi="ar-SA"/>
      </w:rPr>
    </w:lvl>
    <w:lvl w:ilvl="6" w:tplc="C5561754">
      <w:numFmt w:val="bullet"/>
      <w:lvlText w:val="•"/>
      <w:lvlJc w:val="left"/>
      <w:pPr>
        <w:ind w:left="6219" w:hanging="365"/>
      </w:pPr>
      <w:rPr>
        <w:rFonts w:hint="default"/>
        <w:lang w:val="tr-TR" w:eastAsia="en-US" w:bidi="ar-SA"/>
      </w:rPr>
    </w:lvl>
    <w:lvl w:ilvl="7" w:tplc="4F60A8B4">
      <w:numFmt w:val="bullet"/>
      <w:lvlText w:val="•"/>
      <w:lvlJc w:val="left"/>
      <w:pPr>
        <w:ind w:left="6996" w:hanging="365"/>
      </w:pPr>
      <w:rPr>
        <w:rFonts w:hint="default"/>
        <w:lang w:val="tr-TR" w:eastAsia="en-US" w:bidi="ar-SA"/>
      </w:rPr>
    </w:lvl>
    <w:lvl w:ilvl="8" w:tplc="9288CFA4">
      <w:numFmt w:val="bullet"/>
      <w:lvlText w:val="•"/>
      <w:lvlJc w:val="left"/>
      <w:pPr>
        <w:ind w:left="7773" w:hanging="365"/>
      </w:pPr>
      <w:rPr>
        <w:rFonts w:hint="default"/>
        <w:lang w:val="tr-TR" w:eastAsia="en-US" w:bidi="ar-SA"/>
      </w:rPr>
    </w:lvl>
  </w:abstractNum>
  <w:abstractNum w:abstractNumId="7" w15:restartNumberingAfterBreak="0">
    <w:nsid w:val="0B7E2108"/>
    <w:multiLevelType w:val="hybridMultilevel"/>
    <w:tmpl w:val="C7743AEE"/>
    <w:lvl w:ilvl="0" w:tplc="174E7846">
      <w:start w:val="2"/>
      <w:numFmt w:val="lowerLetter"/>
      <w:lvlText w:val="%1)"/>
      <w:lvlJc w:val="left"/>
      <w:pPr>
        <w:ind w:left="1555" w:hanging="243"/>
      </w:pPr>
      <w:rPr>
        <w:rFonts w:ascii="Calibri" w:eastAsia="Calibri" w:hAnsi="Calibri" w:cs="Calibri" w:hint="default"/>
        <w:b w:val="0"/>
        <w:bCs w:val="0"/>
        <w:i/>
        <w:iCs/>
        <w:spacing w:val="-1"/>
        <w:w w:val="100"/>
        <w:sz w:val="22"/>
        <w:szCs w:val="22"/>
        <w:lang w:val="tr-TR" w:eastAsia="en-US" w:bidi="ar-SA"/>
      </w:rPr>
    </w:lvl>
    <w:lvl w:ilvl="1" w:tplc="A39E706E">
      <w:numFmt w:val="bullet"/>
      <w:lvlText w:val="•"/>
      <w:lvlJc w:val="left"/>
      <w:pPr>
        <w:ind w:left="2336" w:hanging="243"/>
      </w:pPr>
      <w:rPr>
        <w:rFonts w:hint="default"/>
        <w:lang w:val="tr-TR" w:eastAsia="en-US" w:bidi="ar-SA"/>
      </w:rPr>
    </w:lvl>
    <w:lvl w:ilvl="2" w:tplc="AB86A260">
      <w:numFmt w:val="bullet"/>
      <w:lvlText w:val="•"/>
      <w:lvlJc w:val="left"/>
      <w:pPr>
        <w:ind w:left="3113" w:hanging="243"/>
      </w:pPr>
      <w:rPr>
        <w:rFonts w:hint="default"/>
        <w:lang w:val="tr-TR" w:eastAsia="en-US" w:bidi="ar-SA"/>
      </w:rPr>
    </w:lvl>
    <w:lvl w:ilvl="3" w:tplc="E0BAFE84">
      <w:numFmt w:val="bullet"/>
      <w:lvlText w:val="•"/>
      <w:lvlJc w:val="left"/>
      <w:pPr>
        <w:ind w:left="3889" w:hanging="243"/>
      </w:pPr>
      <w:rPr>
        <w:rFonts w:hint="default"/>
        <w:lang w:val="tr-TR" w:eastAsia="en-US" w:bidi="ar-SA"/>
      </w:rPr>
    </w:lvl>
    <w:lvl w:ilvl="4" w:tplc="9A88BA20">
      <w:numFmt w:val="bullet"/>
      <w:lvlText w:val="•"/>
      <w:lvlJc w:val="left"/>
      <w:pPr>
        <w:ind w:left="4666" w:hanging="243"/>
      </w:pPr>
      <w:rPr>
        <w:rFonts w:hint="default"/>
        <w:lang w:val="tr-TR" w:eastAsia="en-US" w:bidi="ar-SA"/>
      </w:rPr>
    </w:lvl>
    <w:lvl w:ilvl="5" w:tplc="050E5578">
      <w:numFmt w:val="bullet"/>
      <w:lvlText w:val="•"/>
      <w:lvlJc w:val="left"/>
      <w:pPr>
        <w:ind w:left="5443" w:hanging="243"/>
      </w:pPr>
      <w:rPr>
        <w:rFonts w:hint="default"/>
        <w:lang w:val="tr-TR" w:eastAsia="en-US" w:bidi="ar-SA"/>
      </w:rPr>
    </w:lvl>
    <w:lvl w:ilvl="6" w:tplc="72ACD330">
      <w:numFmt w:val="bullet"/>
      <w:lvlText w:val="•"/>
      <w:lvlJc w:val="left"/>
      <w:pPr>
        <w:ind w:left="6219" w:hanging="243"/>
      </w:pPr>
      <w:rPr>
        <w:rFonts w:hint="default"/>
        <w:lang w:val="tr-TR" w:eastAsia="en-US" w:bidi="ar-SA"/>
      </w:rPr>
    </w:lvl>
    <w:lvl w:ilvl="7" w:tplc="70E6A7A0">
      <w:numFmt w:val="bullet"/>
      <w:lvlText w:val="•"/>
      <w:lvlJc w:val="left"/>
      <w:pPr>
        <w:ind w:left="6996" w:hanging="243"/>
      </w:pPr>
      <w:rPr>
        <w:rFonts w:hint="default"/>
        <w:lang w:val="tr-TR" w:eastAsia="en-US" w:bidi="ar-SA"/>
      </w:rPr>
    </w:lvl>
    <w:lvl w:ilvl="8" w:tplc="47FE5016">
      <w:numFmt w:val="bullet"/>
      <w:lvlText w:val="•"/>
      <w:lvlJc w:val="left"/>
      <w:pPr>
        <w:ind w:left="7773" w:hanging="243"/>
      </w:pPr>
      <w:rPr>
        <w:rFonts w:hint="default"/>
        <w:lang w:val="tr-TR" w:eastAsia="en-US" w:bidi="ar-SA"/>
      </w:rPr>
    </w:lvl>
  </w:abstractNum>
  <w:abstractNum w:abstractNumId="8" w15:restartNumberingAfterBreak="0">
    <w:nsid w:val="0CB94087"/>
    <w:multiLevelType w:val="hybridMultilevel"/>
    <w:tmpl w:val="ACA608C0"/>
    <w:lvl w:ilvl="0" w:tplc="04090001">
      <w:start w:val="1"/>
      <w:numFmt w:val="bullet"/>
      <w:lvlText w:val=""/>
      <w:lvlJc w:val="left"/>
      <w:pPr>
        <w:ind w:left="1557" w:hanging="360"/>
      </w:pPr>
      <w:rPr>
        <w:rFonts w:ascii="Symbol" w:hAnsi="Symbol" w:hint="default"/>
      </w:rPr>
    </w:lvl>
    <w:lvl w:ilvl="1" w:tplc="04090003" w:tentative="1">
      <w:start w:val="1"/>
      <w:numFmt w:val="bullet"/>
      <w:lvlText w:val="o"/>
      <w:lvlJc w:val="left"/>
      <w:pPr>
        <w:ind w:left="2277" w:hanging="360"/>
      </w:pPr>
      <w:rPr>
        <w:rFonts w:ascii="Courier New" w:hAnsi="Courier New" w:cs="Courier New" w:hint="default"/>
      </w:rPr>
    </w:lvl>
    <w:lvl w:ilvl="2" w:tplc="04090005" w:tentative="1">
      <w:start w:val="1"/>
      <w:numFmt w:val="bullet"/>
      <w:lvlText w:val=""/>
      <w:lvlJc w:val="left"/>
      <w:pPr>
        <w:ind w:left="2997" w:hanging="360"/>
      </w:pPr>
      <w:rPr>
        <w:rFonts w:ascii="Wingdings" w:hAnsi="Wingdings" w:hint="default"/>
      </w:rPr>
    </w:lvl>
    <w:lvl w:ilvl="3" w:tplc="04090001" w:tentative="1">
      <w:start w:val="1"/>
      <w:numFmt w:val="bullet"/>
      <w:lvlText w:val=""/>
      <w:lvlJc w:val="left"/>
      <w:pPr>
        <w:ind w:left="3717" w:hanging="360"/>
      </w:pPr>
      <w:rPr>
        <w:rFonts w:ascii="Symbol" w:hAnsi="Symbol" w:hint="default"/>
      </w:rPr>
    </w:lvl>
    <w:lvl w:ilvl="4" w:tplc="04090003" w:tentative="1">
      <w:start w:val="1"/>
      <w:numFmt w:val="bullet"/>
      <w:lvlText w:val="o"/>
      <w:lvlJc w:val="left"/>
      <w:pPr>
        <w:ind w:left="4437" w:hanging="360"/>
      </w:pPr>
      <w:rPr>
        <w:rFonts w:ascii="Courier New" w:hAnsi="Courier New" w:cs="Courier New" w:hint="default"/>
      </w:rPr>
    </w:lvl>
    <w:lvl w:ilvl="5" w:tplc="04090005" w:tentative="1">
      <w:start w:val="1"/>
      <w:numFmt w:val="bullet"/>
      <w:lvlText w:val=""/>
      <w:lvlJc w:val="left"/>
      <w:pPr>
        <w:ind w:left="5157" w:hanging="360"/>
      </w:pPr>
      <w:rPr>
        <w:rFonts w:ascii="Wingdings" w:hAnsi="Wingdings" w:hint="default"/>
      </w:rPr>
    </w:lvl>
    <w:lvl w:ilvl="6" w:tplc="04090001" w:tentative="1">
      <w:start w:val="1"/>
      <w:numFmt w:val="bullet"/>
      <w:lvlText w:val=""/>
      <w:lvlJc w:val="left"/>
      <w:pPr>
        <w:ind w:left="5877" w:hanging="360"/>
      </w:pPr>
      <w:rPr>
        <w:rFonts w:ascii="Symbol" w:hAnsi="Symbol" w:hint="default"/>
      </w:rPr>
    </w:lvl>
    <w:lvl w:ilvl="7" w:tplc="04090003" w:tentative="1">
      <w:start w:val="1"/>
      <w:numFmt w:val="bullet"/>
      <w:lvlText w:val="o"/>
      <w:lvlJc w:val="left"/>
      <w:pPr>
        <w:ind w:left="6597" w:hanging="360"/>
      </w:pPr>
      <w:rPr>
        <w:rFonts w:ascii="Courier New" w:hAnsi="Courier New" w:cs="Courier New" w:hint="default"/>
      </w:rPr>
    </w:lvl>
    <w:lvl w:ilvl="8" w:tplc="04090005" w:tentative="1">
      <w:start w:val="1"/>
      <w:numFmt w:val="bullet"/>
      <w:lvlText w:val=""/>
      <w:lvlJc w:val="left"/>
      <w:pPr>
        <w:ind w:left="7317" w:hanging="360"/>
      </w:pPr>
      <w:rPr>
        <w:rFonts w:ascii="Wingdings" w:hAnsi="Wingdings" w:hint="default"/>
      </w:rPr>
    </w:lvl>
  </w:abstractNum>
  <w:abstractNum w:abstractNumId="9" w15:restartNumberingAfterBreak="0">
    <w:nsid w:val="0F142A4F"/>
    <w:multiLevelType w:val="hybridMultilevel"/>
    <w:tmpl w:val="B9F819A6"/>
    <w:lvl w:ilvl="0" w:tplc="3972322E">
      <w:start w:val="1"/>
      <w:numFmt w:val="lowerLetter"/>
      <w:lvlText w:val="%1)"/>
      <w:lvlJc w:val="left"/>
      <w:pPr>
        <w:ind w:left="1576" w:hanging="226"/>
      </w:pPr>
      <w:rPr>
        <w:rFonts w:ascii="Calibri" w:eastAsia="Calibri" w:hAnsi="Calibri" w:cs="Calibri" w:hint="default"/>
        <w:b w:val="0"/>
        <w:bCs w:val="0"/>
        <w:i/>
        <w:iCs/>
        <w:spacing w:val="-1"/>
        <w:w w:val="100"/>
        <w:sz w:val="22"/>
        <w:szCs w:val="22"/>
        <w:lang w:val="tr-TR" w:eastAsia="en-US" w:bidi="ar-SA"/>
      </w:rPr>
    </w:lvl>
    <w:lvl w:ilvl="1" w:tplc="887A11A6">
      <w:numFmt w:val="bullet"/>
      <w:lvlText w:val="•"/>
      <w:lvlJc w:val="left"/>
      <w:pPr>
        <w:ind w:left="2356" w:hanging="226"/>
      </w:pPr>
      <w:rPr>
        <w:rFonts w:hint="default"/>
        <w:lang w:val="tr-TR" w:eastAsia="en-US" w:bidi="ar-SA"/>
      </w:rPr>
    </w:lvl>
    <w:lvl w:ilvl="2" w:tplc="6D363C48">
      <w:numFmt w:val="bullet"/>
      <w:lvlText w:val="•"/>
      <w:lvlJc w:val="left"/>
      <w:pPr>
        <w:ind w:left="3133" w:hanging="226"/>
      </w:pPr>
      <w:rPr>
        <w:rFonts w:hint="default"/>
        <w:lang w:val="tr-TR" w:eastAsia="en-US" w:bidi="ar-SA"/>
      </w:rPr>
    </w:lvl>
    <w:lvl w:ilvl="3" w:tplc="E9F4B614">
      <w:numFmt w:val="bullet"/>
      <w:lvlText w:val="•"/>
      <w:lvlJc w:val="left"/>
      <w:pPr>
        <w:ind w:left="3909" w:hanging="226"/>
      </w:pPr>
      <w:rPr>
        <w:rFonts w:hint="default"/>
        <w:lang w:val="tr-TR" w:eastAsia="en-US" w:bidi="ar-SA"/>
      </w:rPr>
    </w:lvl>
    <w:lvl w:ilvl="4" w:tplc="D46CEEC0">
      <w:numFmt w:val="bullet"/>
      <w:lvlText w:val="•"/>
      <w:lvlJc w:val="left"/>
      <w:pPr>
        <w:ind w:left="4686" w:hanging="226"/>
      </w:pPr>
      <w:rPr>
        <w:rFonts w:hint="default"/>
        <w:lang w:val="tr-TR" w:eastAsia="en-US" w:bidi="ar-SA"/>
      </w:rPr>
    </w:lvl>
    <w:lvl w:ilvl="5" w:tplc="033A0956">
      <w:numFmt w:val="bullet"/>
      <w:lvlText w:val="•"/>
      <w:lvlJc w:val="left"/>
      <w:pPr>
        <w:ind w:left="5463" w:hanging="226"/>
      </w:pPr>
      <w:rPr>
        <w:rFonts w:hint="default"/>
        <w:lang w:val="tr-TR" w:eastAsia="en-US" w:bidi="ar-SA"/>
      </w:rPr>
    </w:lvl>
    <w:lvl w:ilvl="6" w:tplc="9B080896">
      <w:numFmt w:val="bullet"/>
      <w:lvlText w:val="•"/>
      <w:lvlJc w:val="left"/>
      <w:pPr>
        <w:ind w:left="6239" w:hanging="226"/>
      </w:pPr>
      <w:rPr>
        <w:rFonts w:hint="default"/>
        <w:lang w:val="tr-TR" w:eastAsia="en-US" w:bidi="ar-SA"/>
      </w:rPr>
    </w:lvl>
    <w:lvl w:ilvl="7" w:tplc="A70C20E8">
      <w:numFmt w:val="bullet"/>
      <w:lvlText w:val="•"/>
      <w:lvlJc w:val="left"/>
      <w:pPr>
        <w:ind w:left="7016" w:hanging="226"/>
      </w:pPr>
      <w:rPr>
        <w:rFonts w:hint="default"/>
        <w:lang w:val="tr-TR" w:eastAsia="en-US" w:bidi="ar-SA"/>
      </w:rPr>
    </w:lvl>
    <w:lvl w:ilvl="8" w:tplc="D7B6F34E">
      <w:numFmt w:val="bullet"/>
      <w:lvlText w:val="•"/>
      <w:lvlJc w:val="left"/>
      <w:pPr>
        <w:ind w:left="7793" w:hanging="226"/>
      </w:pPr>
      <w:rPr>
        <w:rFonts w:hint="default"/>
        <w:lang w:val="tr-TR" w:eastAsia="en-US" w:bidi="ar-SA"/>
      </w:rPr>
    </w:lvl>
  </w:abstractNum>
  <w:abstractNum w:abstractNumId="10" w15:restartNumberingAfterBreak="0">
    <w:nsid w:val="12F165F4"/>
    <w:multiLevelType w:val="hybridMultilevel"/>
    <w:tmpl w:val="295061FC"/>
    <w:lvl w:ilvl="0" w:tplc="792E613C">
      <w:numFmt w:val="bullet"/>
      <w:lvlText w:val=""/>
      <w:lvlJc w:val="left"/>
      <w:pPr>
        <w:ind w:left="836" w:hanging="361"/>
      </w:pPr>
      <w:rPr>
        <w:rFonts w:ascii="Symbol" w:eastAsia="Symbol" w:hAnsi="Symbol" w:cs="Symbol" w:hint="default"/>
        <w:b w:val="0"/>
        <w:bCs w:val="0"/>
        <w:i w:val="0"/>
        <w:iCs w:val="0"/>
        <w:spacing w:val="0"/>
        <w:w w:val="100"/>
        <w:sz w:val="22"/>
        <w:szCs w:val="22"/>
        <w:lang w:val="tr-TR" w:eastAsia="en-US" w:bidi="ar-SA"/>
      </w:rPr>
    </w:lvl>
    <w:lvl w:ilvl="1" w:tplc="CD581F22">
      <w:numFmt w:val="bullet"/>
      <w:lvlText w:val=""/>
      <w:lvlJc w:val="left"/>
      <w:pPr>
        <w:ind w:left="1534" w:hanging="286"/>
      </w:pPr>
      <w:rPr>
        <w:rFonts w:ascii="Symbol" w:eastAsia="Symbol" w:hAnsi="Symbol" w:cs="Symbol" w:hint="default"/>
        <w:b w:val="0"/>
        <w:bCs w:val="0"/>
        <w:i w:val="0"/>
        <w:iCs w:val="0"/>
        <w:spacing w:val="0"/>
        <w:w w:val="100"/>
        <w:sz w:val="22"/>
        <w:szCs w:val="22"/>
        <w:lang w:val="tr-TR" w:eastAsia="en-US" w:bidi="ar-SA"/>
      </w:rPr>
    </w:lvl>
    <w:lvl w:ilvl="2" w:tplc="A242632C">
      <w:numFmt w:val="bullet"/>
      <w:lvlText w:val="•"/>
      <w:lvlJc w:val="left"/>
      <w:pPr>
        <w:ind w:left="2405" w:hanging="286"/>
      </w:pPr>
      <w:rPr>
        <w:rFonts w:hint="default"/>
        <w:lang w:val="tr-TR" w:eastAsia="en-US" w:bidi="ar-SA"/>
      </w:rPr>
    </w:lvl>
    <w:lvl w:ilvl="3" w:tplc="11A2C5C2">
      <w:numFmt w:val="bullet"/>
      <w:lvlText w:val="•"/>
      <w:lvlJc w:val="left"/>
      <w:pPr>
        <w:ind w:left="3270" w:hanging="286"/>
      </w:pPr>
      <w:rPr>
        <w:rFonts w:hint="default"/>
        <w:lang w:val="tr-TR" w:eastAsia="en-US" w:bidi="ar-SA"/>
      </w:rPr>
    </w:lvl>
    <w:lvl w:ilvl="4" w:tplc="2152CDF2">
      <w:numFmt w:val="bullet"/>
      <w:lvlText w:val="•"/>
      <w:lvlJc w:val="left"/>
      <w:pPr>
        <w:ind w:left="4135" w:hanging="286"/>
      </w:pPr>
      <w:rPr>
        <w:rFonts w:hint="default"/>
        <w:lang w:val="tr-TR" w:eastAsia="en-US" w:bidi="ar-SA"/>
      </w:rPr>
    </w:lvl>
    <w:lvl w:ilvl="5" w:tplc="3DC6263E">
      <w:numFmt w:val="bullet"/>
      <w:lvlText w:val="•"/>
      <w:lvlJc w:val="left"/>
      <w:pPr>
        <w:ind w:left="5000" w:hanging="286"/>
      </w:pPr>
      <w:rPr>
        <w:rFonts w:hint="default"/>
        <w:lang w:val="tr-TR" w:eastAsia="en-US" w:bidi="ar-SA"/>
      </w:rPr>
    </w:lvl>
    <w:lvl w:ilvl="6" w:tplc="847049E8">
      <w:numFmt w:val="bullet"/>
      <w:lvlText w:val="•"/>
      <w:lvlJc w:val="left"/>
      <w:pPr>
        <w:ind w:left="5865" w:hanging="286"/>
      </w:pPr>
      <w:rPr>
        <w:rFonts w:hint="default"/>
        <w:lang w:val="tr-TR" w:eastAsia="en-US" w:bidi="ar-SA"/>
      </w:rPr>
    </w:lvl>
    <w:lvl w:ilvl="7" w:tplc="A588ECAE">
      <w:numFmt w:val="bullet"/>
      <w:lvlText w:val="•"/>
      <w:lvlJc w:val="left"/>
      <w:pPr>
        <w:ind w:left="6730" w:hanging="286"/>
      </w:pPr>
      <w:rPr>
        <w:rFonts w:hint="default"/>
        <w:lang w:val="tr-TR" w:eastAsia="en-US" w:bidi="ar-SA"/>
      </w:rPr>
    </w:lvl>
    <w:lvl w:ilvl="8" w:tplc="7E144CA0">
      <w:numFmt w:val="bullet"/>
      <w:lvlText w:val="•"/>
      <w:lvlJc w:val="left"/>
      <w:pPr>
        <w:ind w:left="7596" w:hanging="286"/>
      </w:pPr>
      <w:rPr>
        <w:rFonts w:hint="default"/>
        <w:lang w:val="tr-TR" w:eastAsia="en-US" w:bidi="ar-SA"/>
      </w:rPr>
    </w:lvl>
  </w:abstractNum>
  <w:abstractNum w:abstractNumId="11" w15:restartNumberingAfterBreak="0">
    <w:nsid w:val="12F504DC"/>
    <w:multiLevelType w:val="hybridMultilevel"/>
    <w:tmpl w:val="54F6B5A2"/>
    <w:lvl w:ilvl="0" w:tplc="81FC1AE4">
      <w:start w:val="7"/>
      <w:numFmt w:val="decimal"/>
      <w:lvlText w:val="(%1)"/>
      <w:lvlJc w:val="left"/>
      <w:pPr>
        <w:ind w:left="1576" w:hanging="286"/>
      </w:pPr>
      <w:rPr>
        <w:rFonts w:ascii="Calibri" w:eastAsia="Calibri" w:hAnsi="Calibri" w:cs="Calibri" w:hint="default"/>
        <w:b w:val="0"/>
        <w:bCs w:val="0"/>
        <w:i/>
        <w:iCs/>
        <w:spacing w:val="0"/>
        <w:w w:val="100"/>
        <w:sz w:val="22"/>
        <w:szCs w:val="22"/>
        <w:lang w:val="tr-TR" w:eastAsia="en-US" w:bidi="ar-SA"/>
      </w:rPr>
    </w:lvl>
    <w:lvl w:ilvl="1" w:tplc="DB667F8E">
      <w:numFmt w:val="bullet"/>
      <w:lvlText w:val="•"/>
      <w:lvlJc w:val="left"/>
      <w:pPr>
        <w:ind w:left="2356" w:hanging="286"/>
      </w:pPr>
      <w:rPr>
        <w:rFonts w:hint="default"/>
        <w:lang w:val="tr-TR" w:eastAsia="en-US" w:bidi="ar-SA"/>
      </w:rPr>
    </w:lvl>
    <w:lvl w:ilvl="2" w:tplc="E0944878">
      <w:numFmt w:val="bullet"/>
      <w:lvlText w:val="•"/>
      <w:lvlJc w:val="left"/>
      <w:pPr>
        <w:ind w:left="3133" w:hanging="286"/>
      </w:pPr>
      <w:rPr>
        <w:rFonts w:hint="default"/>
        <w:lang w:val="tr-TR" w:eastAsia="en-US" w:bidi="ar-SA"/>
      </w:rPr>
    </w:lvl>
    <w:lvl w:ilvl="3" w:tplc="A1D26890">
      <w:numFmt w:val="bullet"/>
      <w:lvlText w:val="•"/>
      <w:lvlJc w:val="left"/>
      <w:pPr>
        <w:ind w:left="3909" w:hanging="286"/>
      </w:pPr>
      <w:rPr>
        <w:rFonts w:hint="default"/>
        <w:lang w:val="tr-TR" w:eastAsia="en-US" w:bidi="ar-SA"/>
      </w:rPr>
    </w:lvl>
    <w:lvl w:ilvl="4" w:tplc="D376EA6A">
      <w:numFmt w:val="bullet"/>
      <w:lvlText w:val="•"/>
      <w:lvlJc w:val="left"/>
      <w:pPr>
        <w:ind w:left="4686" w:hanging="286"/>
      </w:pPr>
      <w:rPr>
        <w:rFonts w:hint="default"/>
        <w:lang w:val="tr-TR" w:eastAsia="en-US" w:bidi="ar-SA"/>
      </w:rPr>
    </w:lvl>
    <w:lvl w:ilvl="5" w:tplc="95729FB2">
      <w:numFmt w:val="bullet"/>
      <w:lvlText w:val="•"/>
      <w:lvlJc w:val="left"/>
      <w:pPr>
        <w:ind w:left="5463" w:hanging="286"/>
      </w:pPr>
      <w:rPr>
        <w:rFonts w:hint="default"/>
        <w:lang w:val="tr-TR" w:eastAsia="en-US" w:bidi="ar-SA"/>
      </w:rPr>
    </w:lvl>
    <w:lvl w:ilvl="6" w:tplc="FD043780">
      <w:numFmt w:val="bullet"/>
      <w:lvlText w:val="•"/>
      <w:lvlJc w:val="left"/>
      <w:pPr>
        <w:ind w:left="6239" w:hanging="286"/>
      </w:pPr>
      <w:rPr>
        <w:rFonts w:hint="default"/>
        <w:lang w:val="tr-TR" w:eastAsia="en-US" w:bidi="ar-SA"/>
      </w:rPr>
    </w:lvl>
    <w:lvl w:ilvl="7" w:tplc="8362BEB2">
      <w:numFmt w:val="bullet"/>
      <w:lvlText w:val="•"/>
      <w:lvlJc w:val="left"/>
      <w:pPr>
        <w:ind w:left="7016" w:hanging="286"/>
      </w:pPr>
      <w:rPr>
        <w:rFonts w:hint="default"/>
        <w:lang w:val="tr-TR" w:eastAsia="en-US" w:bidi="ar-SA"/>
      </w:rPr>
    </w:lvl>
    <w:lvl w:ilvl="8" w:tplc="4E0210AC">
      <w:numFmt w:val="bullet"/>
      <w:lvlText w:val="•"/>
      <w:lvlJc w:val="left"/>
      <w:pPr>
        <w:ind w:left="7793" w:hanging="286"/>
      </w:pPr>
      <w:rPr>
        <w:rFonts w:hint="default"/>
        <w:lang w:val="tr-TR" w:eastAsia="en-US" w:bidi="ar-SA"/>
      </w:rPr>
    </w:lvl>
  </w:abstractNum>
  <w:abstractNum w:abstractNumId="12" w15:restartNumberingAfterBreak="0">
    <w:nsid w:val="15161D70"/>
    <w:multiLevelType w:val="hybridMultilevel"/>
    <w:tmpl w:val="7CB00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339D2E"/>
    <w:multiLevelType w:val="hybridMultilevel"/>
    <w:tmpl w:val="DFE29AD0"/>
    <w:lvl w:ilvl="0" w:tplc="93CC89A0">
      <w:start w:val="1"/>
      <w:numFmt w:val="bullet"/>
      <w:lvlText w:val=""/>
      <w:lvlJc w:val="left"/>
      <w:pPr>
        <w:ind w:left="720" w:hanging="360"/>
      </w:pPr>
      <w:rPr>
        <w:rFonts w:ascii="Symbol" w:hAnsi="Symbol" w:hint="default"/>
      </w:rPr>
    </w:lvl>
    <w:lvl w:ilvl="1" w:tplc="38FED968">
      <w:start w:val="1"/>
      <w:numFmt w:val="bullet"/>
      <w:lvlText w:val="o"/>
      <w:lvlJc w:val="left"/>
      <w:pPr>
        <w:ind w:left="1440" w:hanging="360"/>
      </w:pPr>
      <w:rPr>
        <w:rFonts w:ascii="Courier New" w:hAnsi="Courier New" w:hint="default"/>
      </w:rPr>
    </w:lvl>
    <w:lvl w:ilvl="2" w:tplc="274012CA">
      <w:start w:val="1"/>
      <w:numFmt w:val="bullet"/>
      <w:lvlText w:val=""/>
      <w:lvlJc w:val="left"/>
      <w:pPr>
        <w:ind w:left="2160" w:hanging="360"/>
      </w:pPr>
      <w:rPr>
        <w:rFonts w:ascii="Wingdings" w:hAnsi="Wingdings" w:hint="default"/>
      </w:rPr>
    </w:lvl>
    <w:lvl w:ilvl="3" w:tplc="0F128BE4">
      <w:start w:val="1"/>
      <w:numFmt w:val="bullet"/>
      <w:lvlText w:val=""/>
      <w:lvlJc w:val="left"/>
      <w:pPr>
        <w:ind w:left="2880" w:hanging="360"/>
      </w:pPr>
      <w:rPr>
        <w:rFonts w:ascii="Symbol" w:hAnsi="Symbol" w:hint="default"/>
      </w:rPr>
    </w:lvl>
    <w:lvl w:ilvl="4" w:tplc="47F64052">
      <w:start w:val="1"/>
      <w:numFmt w:val="bullet"/>
      <w:lvlText w:val="o"/>
      <w:lvlJc w:val="left"/>
      <w:pPr>
        <w:ind w:left="3600" w:hanging="360"/>
      </w:pPr>
      <w:rPr>
        <w:rFonts w:ascii="Courier New" w:hAnsi="Courier New" w:hint="default"/>
      </w:rPr>
    </w:lvl>
    <w:lvl w:ilvl="5" w:tplc="E11A3A50">
      <w:start w:val="1"/>
      <w:numFmt w:val="bullet"/>
      <w:lvlText w:val=""/>
      <w:lvlJc w:val="left"/>
      <w:pPr>
        <w:ind w:left="4320" w:hanging="360"/>
      </w:pPr>
      <w:rPr>
        <w:rFonts w:ascii="Wingdings" w:hAnsi="Wingdings" w:hint="default"/>
      </w:rPr>
    </w:lvl>
    <w:lvl w:ilvl="6" w:tplc="5EAA30B2">
      <w:start w:val="1"/>
      <w:numFmt w:val="bullet"/>
      <w:lvlText w:val=""/>
      <w:lvlJc w:val="left"/>
      <w:pPr>
        <w:ind w:left="5040" w:hanging="360"/>
      </w:pPr>
      <w:rPr>
        <w:rFonts w:ascii="Symbol" w:hAnsi="Symbol" w:hint="default"/>
      </w:rPr>
    </w:lvl>
    <w:lvl w:ilvl="7" w:tplc="86387CD4">
      <w:start w:val="1"/>
      <w:numFmt w:val="bullet"/>
      <w:lvlText w:val="o"/>
      <w:lvlJc w:val="left"/>
      <w:pPr>
        <w:ind w:left="5760" w:hanging="360"/>
      </w:pPr>
      <w:rPr>
        <w:rFonts w:ascii="Courier New" w:hAnsi="Courier New" w:hint="default"/>
      </w:rPr>
    </w:lvl>
    <w:lvl w:ilvl="8" w:tplc="2FB82AA4">
      <w:start w:val="1"/>
      <w:numFmt w:val="bullet"/>
      <w:lvlText w:val=""/>
      <w:lvlJc w:val="left"/>
      <w:pPr>
        <w:ind w:left="6480" w:hanging="360"/>
      </w:pPr>
      <w:rPr>
        <w:rFonts w:ascii="Wingdings" w:hAnsi="Wingdings" w:hint="default"/>
      </w:rPr>
    </w:lvl>
  </w:abstractNum>
  <w:abstractNum w:abstractNumId="14" w15:restartNumberingAfterBreak="0">
    <w:nsid w:val="19181006"/>
    <w:multiLevelType w:val="hybridMultilevel"/>
    <w:tmpl w:val="D68A21AA"/>
    <w:lvl w:ilvl="0" w:tplc="E636577C">
      <w:start w:val="1"/>
      <w:numFmt w:val="bullet"/>
      <w:lvlText w:val=""/>
      <w:lvlJc w:val="left"/>
      <w:pPr>
        <w:ind w:left="720" w:hanging="360"/>
      </w:pPr>
      <w:rPr>
        <w:rFonts w:ascii="Symbol" w:hAnsi="Symbol" w:hint="default"/>
      </w:rPr>
    </w:lvl>
    <w:lvl w:ilvl="1" w:tplc="A34ADBD6">
      <w:start w:val="1"/>
      <w:numFmt w:val="bullet"/>
      <w:lvlText w:val="o"/>
      <w:lvlJc w:val="left"/>
      <w:pPr>
        <w:ind w:left="1440" w:hanging="360"/>
      </w:pPr>
      <w:rPr>
        <w:rFonts w:ascii="Courier New" w:hAnsi="Courier New" w:hint="default"/>
      </w:rPr>
    </w:lvl>
    <w:lvl w:ilvl="2" w:tplc="235852BC">
      <w:start w:val="1"/>
      <w:numFmt w:val="bullet"/>
      <w:lvlText w:val=""/>
      <w:lvlJc w:val="left"/>
      <w:pPr>
        <w:ind w:left="2160" w:hanging="360"/>
      </w:pPr>
      <w:rPr>
        <w:rFonts w:ascii="Wingdings" w:hAnsi="Wingdings" w:hint="default"/>
      </w:rPr>
    </w:lvl>
    <w:lvl w:ilvl="3" w:tplc="89340C0E">
      <w:start w:val="1"/>
      <w:numFmt w:val="bullet"/>
      <w:lvlText w:val=""/>
      <w:lvlJc w:val="left"/>
      <w:pPr>
        <w:ind w:left="2880" w:hanging="360"/>
      </w:pPr>
      <w:rPr>
        <w:rFonts w:ascii="Symbol" w:hAnsi="Symbol" w:hint="default"/>
      </w:rPr>
    </w:lvl>
    <w:lvl w:ilvl="4" w:tplc="E9947AA8">
      <w:start w:val="1"/>
      <w:numFmt w:val="bullet"/>
      <w:lvlText w:val="o"/>
      <w:lvlJc w:val="left"/>
      <w:pPr>
        <w:ind w:left="3600" w:hanging="360"/>
      </w:pPr>
      <w:rPr>
        <w:rFonts w:ascii="Courier New" w:hAnsi="Courier New" w:hint="default"/>
      </w:rPr>
    </w:lvl>
    <w:lvl w:ilvl="5" w:tplc="F898998E">
      <w:start w:val="1"/>
      <w:numFmt w:val="bullet"/>
      <w:lvlText w:val=""/>
      <w:lvlJc w:val="left"/>
      <w:pPr>
        <w:ind w:left="4320" w:hanging="360"/>
      </w:pPr>
      <w:rPr>
        <w:rFonts w:ascii="Wingdings" w:hAnsi="Wingdings" w:hint="default"/>
      </w:rPr>
    </w:lvl>
    <w:lvl w:ilvl="6" w:tplc="5928BFC8">
      <w:start w:val="1"/>
      <w:numFmt w:val="bullet"/>
      <w:lvlText w:val=""/>
      <w:lvlJc w:val="left"/>
      <w:pPr>
        <w:ind w:left="5040" w:hanging="360"/>
      </w:pPr>
      <w:rPr>
        <w:rFonts w:ascii="Symbol" w:hAnsi="Symbol" w:hint="default"/>
      </w:rPr>
    </w:lvl>
    <w:lvl w:ilvl="7" w:tplc="D818CF86">
      <w:start w:val="1"/>
      <w:numFmt w:val="bullet"/>
      <w:lvlText w:val="o"/>
      <w:lvlJc w:val="left"/>
      <w:pPr>
        <w:ind w:left="5760" w:hanging="360"/>
      </w:pPr>
      <w:rPr>
        <w:rFonts w:ascii="Courier New" w:hAnsi="Courier New" w:hint="default"/>
      </w:rPr>
    </w:lvl>
    <w:lvl w:ilvl="8" w:tplc="D6228226">
      <w:start w:val="1"/>
      <w:numFmt w:val="bullet"/>
      <w:lvlText w:val=""/>
      <w:lvlJc w:val="left"/>
      <w:pPr>
        <w:ind w:left="6480" w:hanging="360"/>
      </w:pPr>
      <w:rPr>
        <w:rFonts w:ascii="Wingdings" w:hAnsi="Wingdings" w:hint="default"/>
      </w:rPr>
    </w:lvl>
  </w:abstractNum>
  <w:abstractNum w:abstractNumId="15" w15:restartNumberingAfterBreak="0">
    <w:nsid w:val="196918D9"/>
    <w:multiLevelType w:val="hybridMultilevel"/>
    <w:tmpl w:val="BC26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E359C5"/>
    <w:multiLevelType w:val="hybridMultilevel"/>
    <w:tmpl w:val="5C4E78F0"/>
    <w:lvl w:ilvl="0" w:tplc="285E0858">
      <w:start w:val="1"/>
      <w:numFmt w:val="decimal"/>
      <w:lvlText w:val="%1)"/>
      <w:lvlJc w:val="left"/>
      <w:pPr>
        <w:ind w:left="837" w:hanging="260"/>
      </w:pPr>
      <w:rPr>
        <w:rFonts w:ascii="Calibri" w:eastAsia="Calibri" w:hAnsi="Calibri" w:cs="Calibri" w:hint="default"/>
        <w:b/>
        <w:bCs/>
        <w:i w:val="0"/>
        <w:iCs w:val="0"/>
        <w:spacing w:val="0"/>
        <w:w w:val="100"/>
        <w:sz w:val="22"/>
        <w:szCs w:val="22"/>
        <w:lang w:val="tr-TR" w:eastAsia="en-US" w:bidi="ar-SA"/>
      </w:rPr>
    </w:lvl>
    <w:lvl w:ilvl="1" w:tplc="9A46DC22">
      <w:start w:val="1"/>
      <w:numFmt w:val="lowerLetter"/>
      <w:lvlText w:val="%2)"/>
      <w:lvlJc w:val="left"/>
      <w:pPr>
        <w:ind w:left="1060" w:hanging="224"/>
      </w:pPr>
      <w:rPr>
        <w:rFonts w:ascii="Calibri" w:eastAsia="Calibri" w:hAnsi="Calibri" w:cs="Calibri" w:hint="default"/>
        <w:b w:val="0"/>
        <w:bCs w:val="0"/>
        <w:i w:val="0"/>
        <w:iCs w:val="0"/>
        <w:spacing w:val="-1"/>
        <w:w w:val="100"/>
        <w:sz w:val="22"/>
        <w:szCs w:val="22"/>
        <w:lang w:val="tr-TR" w:eastAsia="en-US" w:bidi="ar-SA"/>
      </w:rPr>
    </w:lvl>
    <w:lvl w:ilvl="2" w:tplc="A5F2A1BE">
      <w:numFmt w:val="bullet"/>
      <w:lvlText w:val="•"/>
      <w:lvlJc w:val="left"/>
      <w:pPr>
        <w:ind w:left="1978" w:hanging="224"/>
      </w:pPr>
      <w:rPr>
        <w:rFonts w:hint="default"/>
        <w:lang w:val="tr-TR" w:eastAsia="en-US" w:bidi="ar-SA"/>
      </w:rPr>
    </w:lvl>
    <w:lvl w:ilvl="3" w:tplc="A216C494">
      <w:numFmt w:val="bullet"/>
      <w:lvlText w:val="•"/>
      <w:lvlJc w:val="left"/>
      <w:pPr>
        <w:ind w:left="2896" w:hanging="224"/>
      </w:pPr>
      <w:rPr>
        <w:rFonts w:hint="default"/>
        <w:lang w:val="tr-TR" w:eastAsia="en-US" w:bidi="ar-SA"/>
      </w:rPr>
    </w:lvl>
    <w:lvl w:ilvl="4" w:tplc="EB081712">
      <w:numFmt w:val="bullet"/>
      <w:lvlText w:val="•"/>
      <w:lvlJc w:val="left"/>
      <w:pPr>
        <w:ind w:left="3815" w:hanging="224"/>
      </w:pPr>
      <w:rPr>
        <w:rFonts w:hint="default"/>
        <w:lang w:val="tr-TR" w:eastAsia="en-US" w:bidi="ar-SA"/>
      </w:rPr>
    </w:lvl>
    <w:lvl w:ilvl="5" w:tplc="8F84575E">
      <w:numFmt w:val="bullet"/>
      <w:lvlText w:val="•"/>
      <w:lvlJc w:val="left"/>
      <w:pPr>
        <w:ind w:left="4733" w:hanging="224"/>
      </w:pPr>
      <w:rPr>
        <w:rFonts w:hint="default"/>
        <w:lang w:val="tr-TR" w:eastAsia="en-US" w:bidi="ar-SA"/>
      </w:rPr>
    </w:lvl>
    <w:lvl w:ilvl="6" w:tplc="095ED15A">
      <w:numFmt w:val="bullet"/>
      <w:lvlText w:val="•"/>
      <w:lvlJc w:val="left"/>
      <w:pPr>
        <w:ind w:left="5652" w:hanging="224"/>
      </w:pPr>
      <w:rPr>
        <w:rFonts w:hint="default"/>
        <w:lang w:val="tr-TR" w:eastAsia="en-US" w:bidi="ar-SA"/>
      </w:rPr>
    </w:lvl>
    <w:lvl w:ilvl="7" w:tplc="12D01A60">
      <w:numFmt w:val="bullet"/>
      <w:lvlText w:val="•"/>
      <w:lvlJc w:val="left"/>
      <w:pPr>
        <w:ind w:left="6570" w:hanging="224"/>
      </w:pPr>
      <w:rPr>
        <w:rFonts w:hint="default"/>
        <w:lang w:val="tr-TR" w:eastAsia="en-US" w:bidi="ar-SA"/>
      </w:rPr>
    </w:lvl>
    <w:lvl w:ilvl="8" w:tplc="548CD054">
      <w:numFmt w:val="bullet"/>
      <w:lvlText w:val="•"/>
      <w:lvlJc w:val="left"/>
      <w:pPr>
        <w:ind w:left="7489" w:hanging="224"/>
      </w:pPr>
      <w:rPr>
        <w:rFonts w:hint="default"/>
        <w:lang w:val="tr-TR" w:eastAsia="en-US" w:bidi="ar-SA"/>
      </w:rPr>
    </w:lvl>
  </w:abstractNum>
  <w:abstractNum w:abstractNumId="17" w15:restartNumberingAfterBreak="0">
    <w:nsid w:val="1A7C3F61"/>
    <w:multiLevelType w:val="hybridMultilevel"/>
    <w:tmpl w:val="421A69E2"/>
    <w:lvl w:ilvl="0" w:tplc="04090011">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1D366471"/>
    <w:multiLevelType w:val="hybridMultilevel"/>
    <w:tmpl w:val="27BA7A96"/>
    <w:lvl w:ilvl="0" w:tplc="2DAA5C86">
      <w:start w:val="1"/>
      <w:numFmt w:val="lowerLetter"/>
      <w:lvlText w:val="%1)"/>
      <w:lvlJc w:val="left"/>
      <w:pPr>
        <w:ind w:left="1608" w:hanging="220"/>
      </w:pPr>
      <w:rPr>
        <w:rFonts w:ascii="Calibri" w:eastAsia="Calibri" w:hAnsi="Calibri" w:cs="Calibri" w:hint="default"/>
        <w:b w:val="0"/>
        <w:bCs w:val="0"/>
        <w:i/>
        <w:iCs/>
        <w:spacing w:val="-1"/>
        <w:w w:val="100"/>
        <w:sz w:val="22"/>
        <w:szCs w:val="22"/>
        <w:lang w:val="tr-TR" w:eastAsia="en-US" w:bidi="ar-SA"/>
      </w:rPr>
    </w:lvl>
    <w:lvl w:ilvl="1" w:tplc="125832C0">
      <w:numFmt w:val="bullet"/>
      <w:lvlText w:val="•"/>
      <w:lvlJc w:val="left"/>
      <w:pPr>
        <w:ind w:left="2456" w:hanging="220"/>
      </w:pPr>
      <w:rPr>
        <w:rFonts w:hint="default"/>
        <w:lang w:val="tr-TR" w:eastAsia="en-US" w:bidi="ar-SA"/>
      </w:rPr>
    </w:lvl>
    <w:lvl w:ilvl="2" w:tplc="78248AC2">
      <w:numFmt w:val="bullet"/>
      <w:lvlText w:val="•"/>
      <w:lvlJc w:val="left"/>
      <w:pPr>
        <w:ind w:left="3313" w:hanging="220"/>
      </w:pPr>
      <w:rPr>
        <w:rFonts w:hint="default"/>
        <w:lang w:val="tr-TR" w:eastAsia="en-US" w:bidi="ar-SA"/>
      </w:rPr>
    </w:lvl>
    <w:lvl w:ilvl="3" w:tplc="BFA802DA">
      <w:numFmt w:val="bullet"/>
      <w:lvlText w:val="•"/>
      <w:lvlJc w:val="left"/>
      <w:pPr>
        <w:ind w:left="4169" w:hanging="220"/>
      </w:pPr>
      <w:rPr>
        <w:rFonts w:hint="default"/>
        <w:lang w:val="tr-TR" w:eastAsia="en-US" w:bidi="ar-SA"/>
      </w:rPr>
    </w:lvl>
    <w:lvl w:ilvl="4" w:tplc="B100CB22">
      <w:numFmt w:val="bullet"/>
      <w:lvlText w:val="•"/>
      <w:lvlJc w:val="left"/>
      <w:pPr>
        <w:ind w:left="5026" w:hanging="220"/>
      </w:pPr>
      <w:rPr>
        <w:rFonts w:hint="default"/>
        <w:lang w:val="tr-TR" w:eastAsia="en-US" w:bidi="ar-SA"/>
      </w:rPr>
    </w:lvl>
    <w:lvl w:ilvl="5" w:tplc="5E30E6E0">
      <w:numFmt w:val="bullet"/>
      <w:lvlText w:val="•"/>
      <w:lvlJc w:val="left"/>
      <w:pPr>
        <w:ind w:left="5883" w:hanging="220"/>
      </w:pPr>
      <w:rPr>
        <w:rFonts w:hint="default"/>
        <w:lang w:val="tr-TR" w:eastAsia="en-US" w:bidi="ar-SA"/>
      </w:rPr>
    </w:lvl>
    <w:lvl w:ilvl="6" w:tplc="D56634D4">
      <w:numFmt w:val="bullet"/>
      <w:lvlText w:val="•"/>
      <w:lvlJc w:val="left"/>
      <w:pPr>
        <w:ind w:left="6739" w:hanging="220"/>
      </w:pPr>
      <w:rPr>
        <w:rFonts w:hint="default"/>
        <w:lang w:val="tr-TR" w:eastAsia="en-US" w:bidi="ar-SA"/>
      </w:rPr>
    </w:lvl>
    <w:lvl w:ilvl="7" w:tplc="065405A0">
      <w:numFmt w:val="bullet"/>
      <w:lvlText w:val="•"/>
      <w:lvlJc w:val="left"/>
      <w:pPr>
        <w:ind w:left="7596" w:hanging="220"/>
      </w:pPr>
      <w:rPr>
        <w:rFonts w:hint="default"/>
        <w:lang w:val="tr-TR" w:eastAsia="en-US" w:bidi="ar-SA"/>
      </w:rPr>
    </w:lvl>
    <w:lvl w:ilvl="8" w:tplc="4B9E49C6">
      <w:numFmt w:val="bullet"/>
      <w:lvlText w:val="•"/>
      <w:lvlJc w:val="left"/>
      <w:pPr>
        <w:ind w:left="8453" w:hanging="220"/>
      </w:pPr>
      <w:rPr>
        <w:rFonts w:hint="default"/>
        <w:lang w:val="tr-TR" w:eastAsia="en-US" w:bidi="ar-SA"/>
      </w:rPr>
    </w:lvl>
  </w:abstractNum>
  <w:abstractNum w:abstractNumId="19" w15:restartNumberingAfterBreak="0">
    <w:nsid w:val="1E333926"/>
    <w:multiLevelType w:val="hybridMultilevel"/>
    <w:tmpl w:val="5D26F336"/>
    <w:lvl w:ilvl="0" w:tplc="E56871E8">
      <w:start w:val="1"/>
      <w:numFmt w:val="lowerLetter"/>
      <w:lvlText w:val="%1)"/>
      <w:lvlJc w:val="left"/>
      <w:pPr>
        <w:ind w:left="1608" w:hanging="315"/>
      </w:pPr>
      <w:rPr>
        <w:rFonts w:ascii="Calibri" w:eastAsia="Calibri" w:hAnsi="Calibri" w:cs="Calibri" w:hint="default"/>
        <w:b w:val="0"/>
        <w:bCs w:val="0"/>
        <w:i/>
        <w:iCs/>
        <w:spacing w:val="-1"/>
        <w:w w:val="100"/>
        <w:sz w:val="22"/>
        <w:szCs w:val="22"/>
        <w:lang w:val="tr-TR" w:eastAsia="en-US" w:bidi="ar-SA"/>
      </w:rPr>
    </w:lvl>
    <w:lvl w:ilvl="1" w:tplc="42E4883C">
      <w:numFmt w:val="bullet"/>
      <w:lvlText w:val="•"/>
      <w:lvlJc w:val="left"/>
      <w:pPr>
        <w:ind w:left="2456" w:hanging="315"/>
      </w:pPr>
      <w:rPr>
        <w:rFonts w:hint="default"/>
        <w:lang w:val="tr-TR" w:eastAsia="en-US" w:bidi="ar-SA"/>
      </w:rPr>
    </w:lvl>
    <w:lvl w:ilvl="2" w:tplc="F6FA88E4">
      <w:numFmt w:val="bullet"/>
      <w:lvlText w:val="•"/>
      <w:lvlJc w:val="left"/>
      <w:pPr>
        <w:ind w:left="3313" w:hanging="315"/>
      </w:pPr>
      <w:rPr>
        <w:rFonts w:hint="default"/>
        <w:lang w:val="tr-TR" w:eastAsia="en-US" w:bidi="ar-SA"/>
      </w:rPr>
    </w:lvl>
    <w:lvl w:ilvl="3" w:tplc="3276685E">
      <w:numFmt w:val="bullet"/>
      <w:lvlText w:val="•"/>
      <w:lvlJc w:val="left"/>
      <w:pPr>
        <w:ind w:left="4169" w:hanging="315"/>
      </w:pPr>
      <w:rPr>
        <w:rFonts w:hint="default"/>
        <w:lang w:val="tr-TR" w:eastAsia="en-US" w:bidi="ar-SA"/>
      </w:rPr>
    </w:lvl>
    <w:lvl w:ilvl="4" w:tplc="55FE8302">
      <w:numFmt w:val="bullet"/>
      <w:lvlText w:val="•"/>
      <w:lvlJc w:val="left"/>
      <w:pPr>
        <w:ind w:left="5026" w:hanging="315"/>
      </w:pPr>
      <w:rPr>
        <w:rFonts w:hint="default"/>
        <w:lang w:val="tr-TR" w:eastAsia="en-US" w:bidi="ar-SA"/>
      </w:rPr>
    </w:lvl>
    <w:lvl w:ilvl="5" w:tplc="6A721854">
      <w:numFmt w:val="bullet"/>
      <w:lvlText w:val="•"/>
      <w:lvlJc w:val="left"/>
      <w:pPr>
        <w:ind w:left="5883" w:hanging="315"/>
      </w:pPr>
      <w:rPr>
        <w:rFonts w:hint="default"/>
        <w:lang w:val="tr-TR" w:eastAsia="en-US" w:bidi="ar-SA"/>
      </w:rPr>
    </w:lvl>
    <w:lvl w:ilvl="6" w:tplc="C872466E">
      <w:numFmt w:val="bullet"/>
      <w:lvlText w:val="•"/>
      <w:lvlJc w:val="left"/>
      <w:pPr>
        <w:ind w:left="6739" w:hanging="315"/>
      </w:pPr>
      <w:rPr>
        <w:rFonts w:hint="default"/>
        <w:lang w:val="tr-TR" w:eastAsia="en-US" w:bidi="ar-SA"/>
      </w:rPr>
    </w:lvl>
    <w:lvl w:ilvl="7" w:tplc="6596A95C">
      <w:numFmt w:val="bullet"/>
      <w:lvlText w:val="•"/>
      <w:lvlJc w:val="left"/>
      <w:pPr>
        <w:ind w:left="7596" w:hanging="315"/>
      </w:pPr>
      <w:rPr>
        <w:rFonts w:hint="default"/>
        <w:lang w:val="tr-TR" w:eastAsia="en-US" w:bidi="ar-SA"/>
      </w:rPr>
    </w:lvl>
    <w:lvl w:ilvl="8" w:tplc="CD523CF8">
      <w:numFmt w:val="bullet"/>
      <w:lvlText w:val="•"/>
      <w:lvlJc w:val="left"/>
      <w:pPr>
        <w:ind w:left="8453" w:hanging="315"/>
      </w:pPr>
      <w:rPr>
        <w:rFonts w:hint="default"/>
        <w:lang w:val="tr-TR" w:eastAsia="en-US" w:bidi="ar-SA"/>
      </w:rPr>
    </w:lvl>
  </w:abstractNum>
  <w:abstractNum w:abstractNumId="20" w15:restartNumberingAfterBreak="0">
    <w:nsid w:val="1F802B47"/>
    <w:multiLevelType w:val="multilevel"/>
    <w:tmpl w:val="BFDA8FA0"/>
    <w:lvl w:ilvl="0">
      <w:start w:val="2"/>
      <w:numFmt w:val="decimal"/>
      <w:lvlText w:val="%1"/>
      <w:lvlJc w:val="left"/>
      <w:pPr>
        <w:ind w:left="869" w:hanging="752"/>
      </w:pPr>
      <w:rPr>
        <w:rFonts w:hint="default"/>
        <w:lang w:val="tr-TR" w:eastAsia="en-US" w:bidi="ar-SA"/>
      </w:rPr>
    </w:lvl>
    <w:lvl w:ilvl="1">
      <w:start w:val="3"/>
      <w:numFmt w:val="decimal"/>
      <w:lvlText w:val="%1.%2"/>
      <w:lvlJc w:val="left"/>
      <w:pPr>
        <w:ind w:left="869" w:hanging="752"/>
      </w:pPr>
      <w:rPr>
        <w:rFonts w:hint="default"/>
        <w:lang w:val="tr-TR" w:eastAsia="en-US" w:bidi="ar-SA"/>
      </w:rPr>
    </w:lvl>
    <w:lvl w:ilvl="2">
      <w:start w:val="3"/>
      <w:numFmt w:val="decimal"/>
      <w:lvlText w:val="%1.%2.%3"/>
      <w:lvlJc w:val="left"/>
      <w:pPr>
        <w:ind w:left="869" w:hanging="752"/>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38" w:hanging="361"/>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608"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5">
      <w:numFmt w:val="bullet"/>
      <w:lvlText w:val="•"/>
      <w:lvlJc w:val="left"/>
      <w:pPr>
        <w:ind w:left="4812" w:hanging="360"/>
      </w:pPr>
      <w:rPr>
        <w:rFonts w:hint="default"/>
        <w:lang w:val="tr-TR" w:eastAsia="en-US" w:bidi="ar-SA"/>
      </w:rPr>
    </w:lvl>
    <w:lvl w:ilvl="6">
      <w:numFmt w:val="bullet"/>
      <w:lvlText w:val="•"/>
      <w:lvlJc w:val="left"/>
      <w:pPr>
        <w:ind w:left="5883" w:hanging="360"/>
      </w:pPr>
      <w:rPr>
        <w:rFonts w:hint="default"/>
        <w:lang w:val="tr-TR" w:eastAsia="en-US" w:bidi="ar-SA"/>
      </w:rPr>
    </w:lvl>
    <w:lvl w:ilvl="7">
      <w:numFmt w:val="bullet"/>
      <w:lvlText w:val="•"/>
      <w:lvlJc w:val="left"/>
      <w:pPr>
        <w:ind w:left="6954" w:hanging="360"/>
      </w:pPr>
      <w:rPr>
        <w:rFonts w:hint="default"/>
        <w:lang w:val="tr-TR" w:eastAsia="en-US" w:bidi="ar-SA"/>
      </w:rPr>
    </w:lvl>
    <w:lvl w:ilvl="8">
      <w:numFmt w:val="bullet"/>
      <w:lvlText w:val="•"/>
      <w:lvlJc w:val="left"/>
      <w:pPr>
        <w:ind w:left="8024" w:hanging="360"/>
      </w:pPr>
      <w:rPr>
        <w:rFonts w:hint="default"/>
        <w:lang w:val="tr-TR" w:eastAsia="en-US" w:bidi="ar-SA"/>
      </w:rPr>
    </w:lvl>
  </w:abstractNum>
  <w:abstractNum w:abstractNumId="21" w15:restartNumberingAfterBreak="0">
    <w:nsid w:val="21AC0243"/>
    <w:multiLevelType w:val="hybridMultilevel"/>
    <w:tmpl w:val="DA08FE78"/>
    <w:lvl w:ilvl="0" w:tplc="0F7EBC16">
      <w:start w:val="2"/>
      <w:numFmt w:val="decimal"/>
      <w:lvlText w:val="(%1)"/>
      <w:lvlJc w:val="left"/>
      <w:pPr>
        <w:ind w:left="1608" w:hanging="327"/>
      </w:pPr>
      <w:rPr>
        <w:rFonts w:ascii="Calibri" w:eastAsia="Calibri" w:hAnsi="Calibri" w:cs="Calibri" w:hint="default"/>
        <w:b w:val="0"/>
        <w:bCs w:val="0"/>
        <w:i/>
        <w:iCs/>
        <w:spacing w:val="0"/>
        <w:w w:val="100"/>
        <w:sz w:val="22"/>
        <w:szCs w:val="22"/>
        <w:lang w:val="tr-TR" w:eastAsia="en-US" w:bidi="ar-SA"/>
      </w:rPr>
    </w:lvl>
    <w:lvl w:ilvl="1" w:tplc="4DFC1482">
      <w:numFmt w:val="bullet"/>
      <w:lvlText w:val="•"/>
      <w:lvlJc w:val="left"/>
      <w:pPr>
        <w:ind w:left="2456" w:hanging="327"/>
      </w:pPr>
      <w:rPr>
        <w:rFonts w:hint="default"/>
        <w:lang w:val="tr-TR" w:eastAsia="en-US" w:bidi="ar-SA"/>
      </w:rPr>
    </w:lvl>
    <w:lvl w:ilvl="2" w:tplc="29B68554">
      <w:numFmt w:val="bullet"/>
      <w:lvlText w:val="•"/>
      <w:lvlJc w:val="left"/>
      <w:pPr>
        <w:ind w:left="3313" w:hanging="327"/>
      </w:pPr>
      <w:rPr>
        <w:rFonts w:hint="default"/>
        <w:lang w:val="tr-TR" w:eastAsia="en-US" w:bidi="ar-SA"/>
      </w:rPr>
    </w:lvl>
    <w:lvl w:ilvl="3" w:tplc="741028D8">
      <w:numFmt w:val="bullet"/>
      <w:lvlText w:val="•"/>
      <w:lvlJc w:val="left"/>
      <w:pPr>
        <w:ind w:left="4169" w:hanging="327"/>
      </w:pPr>
      <w:rPr>
        <w:rFonts w:hint="default"/>
        <w:lang w:val="tr-TR" w:eastAsia="en-US" w:bidi="ar-SA"/>
      </w:rPr>
    </w:lvl>
    <w:lvl w:ilvl="4" w:tplc="6874B1C4">
      <w:numFmt w:val="bullet"/>
      <w:lvlText w:val="•"/>
      <w:lvlJc w:val="left"/>
      <w:pPr>
        <w:ind w:left="5026" w:hanging="327"/>
      </w:pPr>
      <w:rPr>
        <w:rFonts w:hint="default"/>
        <w:lang w:val="tr-TR" w:eastAsia="en-US" w:bidi="ar-SA"/>
      </w:rPr>
    </w:lvl>
    <w:lvl w:ilvl="5" w:tplc="208E2D22">
      <w:numFmt w:val="bullet"/>
      <w:lvlText w:val="•"/>
      <w:lvlJc w:val="left"/>
      <w:pPr>
        <w:ind w:left="5883" w:hanging="327"/>
      </w:pPr>
      <w:rPr>
        <w:rFonts w:hint="default"/>
        <w:lang w:val="tr-TR" w:eastAsia="en-US" w:bidi="ar-SA"/>
      </w:rPr>
    </w:lvl>
    <w:lvl w:ilvl="6" w:tplc="ED3CACD0">
      <w:numFmt w:val="bullet"/>
      <w:lvlText w:val="•"/>
      <w:lvlJc w:val="left"/>
      <w:pPr>
        <w:ind w:left="6739" w:hanging="327"/>
      </w:pPr>
      <w:rPr>
        <w:rFonts w:hint="default"/>
        <w:lang w:val="tr-TR" w:eastAsia="en-US" w:bidi="ar-SA"/>
      </w:rPr>
    </w:lvl>
    <w:lvl w:ilvl="7" w:tplc="299CD0F0">
      <w:numFmt w:val="bullet"/>
      <w:lvlText w:val="•"/>
      <w:lvlJc w:val="left"/>
      <w:pPr>
        <w:ind w:left="7596" w:hanging="327"/>
      </w:pPr>
      <w:rPr>
        <w:rFonts w:hint="default"/>
        <w:lang w:val="tr-TR" w:eastAsia="en-US" w:bidi="ar-SA"/>
      </w:rPr>
    </w:lvl>
    <w:lvl w:ilvl="8" w:tplc="0D94250E">
      <w:numFmt w:val="bullet"/>
      <w:lvlText w:val="•"/>
      <w:lvlJc w:val="left"/>
      <w:pPr>
        <w:ind w:left="8453" w:hanging="327"/>
      </w:pPr>
      <w:rPr>
        <w:rFonts w:hint="default"/>
        <w:lang w:val="tr-TR" w:eastAsia="en-US" w:bidi="ar-SA"/>
      </w:rPr>
    </w:lvl>
  </w:abstractNum>
  <w:abstractNum w:abstractNumId="22" w15:restartNumberingAfterBreak="0">
    <w:nsid w:val="22C357E2"/>
    <w:multiLevelType w:val="hybridMultilevel"/>
    <w:tmpl w:val="9EF4A8F2"/>
    <w:lvl w:ilvl="0" w:tplc="EBB886CC">
      <w:start w:val="1"/>
      <w:numFmt w:val="decimal"/>
      <w:lvlText w:val="%1."/>
      <w:lvlJc w:val="left"/>
      <w:pPr>
        <w:ind w:left="2242" w:hanging="634"/>
      </w:pPr>
      <w:rPr>
        <w:rFonts w:ascii="Calibri" w:eastAsia="Calibri" w:hAnsi="Calibri" w:cs="Calibri" w:hint="default"/>
        <w:b w:val="0"/>
        <w:bCs w:val="0"/>
        <w:i/>
        <w:iCs/>
        <w:spacing w:val="0"/>
        <w:w w:val="100"/>
        <w:sz w:val="22"/>
        <w:szCs w:val="22"/>
        <w:lang w:val="tr-TR" w:eastAsia="en-US" w:bidi="ar-SA"/>
      </w:rPr>
    </w:lvl>
    <w:lvl w:ilvl="1" w:tplc="B0B24E8E">
      <w:numFmt w:val="bullet"/>
      <w:lvlText w:val="•"/>
      <w:lvlJc w:val="left"/>
      <w:pPr>
        <w:ind w:left="3032" w:hanging="634"/>
      </w:pPr>
      <w:rPr>
        <w:rFonts w:hint="default"/>
        <w:lang w:val="tr-TR" w:eastAsia="en-US" w:bidi="ar-SA"/>
      </w:rPr>
    </w:lvl>
    <w:lvl w:ilvl="2" w:tplc="FC20FB9A">
      <w:numFmt w:val="bullet"/>
      <w:lvlText w:val="•"/>
      <w:lvlJc w:val="left"/>
      <w:pPr>
        <w:ind w:left="3825" w:hanging="634"/>
      </w:pPr>
      <w:rPr>
        <w:rFonts w:hint="default"/>
        <w:lang w:val="tr-TR" w:eastAsia="en-US" w:bidi="ar-SA"/>
      </w:rPr>
    </w:lvl>
    <w:lvl w:ilvl="3" w:tplc="F6CED3A6">
      <w:numFmt w:val="bullet"/>
      <w:lvlText w:val="•"/>
      <w:lvlJc w:val="left"/>
      <w:pPr>
        <w:ind w:left="4617" w:hanging="634"/>
      </w:pPr>
      <w:rPr>
        <w:rFonts w:hint="default"/>
        <w:lang w:val="tr-TR" w:eastAsia="en-US" w:bidi="ar-SA"/>
      </w:rPr>
    </w:lvl>
    <w:lvl w:ilvl="4" w:tplc="111A52DA">
      <w:numFmt w:val="bullet"/>
      <w:lvlText w:val="•"/>
      <w:lvlJc w:val="left"/>
      <w:pPr>
        <w:ind w:left="5410" w:hanging="634"/>
      </w:pPr>
      <w:rPr>
        <w:rFonts w:hint="default"/>
        <w:lang w:val="tr-TR" w:eastAsia="en-US" w:bidi="ar-SA"/>
      </w:rPr>
    </w:lvl>
    <w:lvl w:ilvl="5" w:tplc="E8244578">
      <w:numFmt w:val="bullet"/>
      <w:lvlText w:val="•"/>
      <w:lvlJc w:val="left"/>
      <w:pPr>
        <w:ind w:left="6203" w:hanging="634"/>
      </w:pPr>
      <w:rPr>
        <w:rFonts w:hint="default"/>
        <w:lang w:val="tr-TR" w:eastAsia="en-US" w:bidi="ar-SA"/>
      </w:rPr>
    </w:lvl>
    <w:lvl w:ilvl="6" w:tplc="971810C8">
      <w:numFmt w:val="bullet"/>
      <w:lvlText w:val="•"/>
      <w:lvlJc w:val="left"/>
      <w:pPr>
        <w:ind w:left="6995" w:hanging="634"/>
      </w:pPr>
      <w:rPr>
        <w:rFonts w:hint="default"/>
        <w:lang w:val="tr-TR" w:eastAsia="en-US" w:bidi="ar-SA"/>
      </w:rPr>
    </w:lvl>
    <w:lvl w:ilvl="7" w:tplc="41720304">
      <w:numFmt w:val="bullet"/>
      <w:lvlText w:val="•"/>
      <w:lvlJc w:val="left"/>
      <w:pPr>
        <w:ind w:left="7788" w:hanging="634"/>
      </w:pPr>
      <w:rPr>
        <w:rFonts w:hint="default"/>
        <w:lang w:val="tr-TR" w:eastAsia="en-US" w:bidi="ar-SA"/>
      </w:rPr>
    </w:lvl>
    <w:lvl w:ilvl="8" w:tplc="F3A48CC0">
      <w:numFmt w:val="bullet"/>
      <w:lvlText w:val="•"/>
      <w:lvlJc w:val="left"/>
      <w:pPr>
        <w:ind w:left="8581" w:hanging="634"/>
      </w:pPr>
      <w:rPr>
        <w:rFonts w:hint="default"/>
        <w:lang w:val="tr-TR" w:eastAsia="en-US" w:bidi="ar-SA"/>
      </w:rPr>
    </w:lvl>
  </w:abstractNum>
  <w:abstractNum w:abstractNumId="23" w15:restartNumberingAfterBreak="0">
    <w:nsid w:val="24846F6C"/>
    <w:multiLevelType w:val="hybridMultilevel"/>
    <w:tmpl w:val="AE18848E"/>
    <w:lvl w:ilvl="0" w:tplc="DF8E0FFC">
      <w:start w:val="1"/>
      <w:numFmt w:val="bullet"/>
      <w:lvlText w:val=""/>
      <w:lvlJc w:val="left"/>
      <w:pPr>
        <w:ind w:left="2143" w:hanging="360"/>
      </w:pPr>
      <w:rPr>
        <w:rFonts w:ascii="Symbol" w:hAnsi="Symbol" w:hint="default"/>
      </w:rPr>
    </w:lvl>
    <w:lvl w:ilvl="1" w:tplc="73B8C952">
      <w:start w:val="1"/>
      <w:numFmt w:val="bullet"/>
      <w:lvlText w:val="o"/>
      <w:lvlJc w:val="left"/>
      <w:pPr>
        <w:ind w:left="1440" w:hanging="360"/>
      </w:pPr>
      <w:rPr>
        <w:rFonts w:ascii="Courier New" w:hAnsi="Courier New" w:hint="default"/>
      </w:rPr>
    </w:lvl>
    <w:lvl w:ilvl="2" w:tplc="E856C464">
      <w:start w:val="1"/>
      <w:numFmt w:val="bullet"/>
      <w:lvlText w:val=""/>
      <w:lvlJc w:val="left"/>
      <w:pPr>
        <w:ind w:left="2160" w:hanging="360"/>
      </w:pPr>
      <w:rPr>
        <w:rFonts w:ascii="Wingdings" w:hAnsi="Wingdings" w:hint="default"/>
      </w:rPr>
    </w:lvl>
    <w:lvl w:ilvl="3" w:tplc="AE905C34">
      <w:start w:val="1"/>
      <w:numFmt w:val="bullet"/>
      <w:lvlText w:val=""/>
      <w:lvlJc w:val="left"/>
      <w:pPr>
        <w:ind w:left="2880" w:hanging="360"/>
      </w:pPr>
      <w:rPr>
        <w:rFonts w:ascii="Symbol" w:hAnsi="Symbol" w:hint="default"/>
      </w:rPr>
    </w:lvl>
    <w:lvl w:ilvl="4" w:tplc="B49433EA">
      <w:start w:val="1"/>
      <w:numFmt w:val="bullet"/>
      <w:lvlText w:val="o"/>
      <w:lvlJc w:val="left"/>
      <w:pPr>
        <w:ind w:left="3600" w:hanging="360"/>
      </w:pPr>
      <w:rPr>
        <w:rFonts w:ascii="Courier New" w:hAnsi="Courier New" w:hint="default"/>
      </w:rPr>
    </w:lvl>
    <w:lvl w:ilvl="5" w:tplc="25582492">
      <w:start w:val="1"/>
      <w:numFmt w:val="bullet"/>
      <w:lvlText w:val=""/>
      <w:lvlJc w:val="left"/>
      <w:pPr>
        <w:ind w:left="4320" w:hanging="360"/>
      </w:pPr>
      <w:rPr>
        <w:rFonts w:ascii="Wingdings" w:hAnsi="Wingdings" w:hint="default"/>
      </w:rPr>
    </w:lvl>
    <w:lvl w:ilvl="6" w:tplc="4A447BC0">
      <w:start w:val="1"/>
      <w:numFmt w:val="bullet"/>
      <w:lvlText w:val=""/>
      <w:lvlJc w:val="left"/>
      <w:pPr>
        <w:ind w:left="5040" w:hanging="360"/>
      </w:pPr>
      <w:rPr>
        <w:rFonts w:ascii="Symbol" w:hAnsi="Symbol" w:hint="default"/>
      </w:rPr>
    </w:lvl>
    <w:lvl w:ilvl="7" w:tplc="EC2AA152">
      <w:start w:val="1"/>
      <w:numFmt w:val="bullet"/>
      <w:lvlText w:val="o"/>
      <w:lvlJc w:val="left"/>
      <w:pPr>
        <w:ind w:left="5760" w:hanging="360"/>
      </w:pPr>
      <w:rPr>
        <w:rFonts w:ascii="Courier New" w:hAnsi="Courier New" w:hint="default"/>
      </w:rPr>
    </w:lvl>
    <w:lvl w:ilvl="8" w:tplc="7348114C">
      <w:start w:val="1"/>
      <w:numFmt w:val="bullet"/>
      <w:lvlText w:val=""/>
      <w:lvlJc w:val="left"/>
      <w:pPr>
        <w:ind w:left="6480" w:hanging="360"/>
      </w:pPr>
      <w:rPr>
        <w:rFonts w:ascii="Wingdings" w:hAnsi="Wingdings" w:hint="default"/>
      </w:rPr>
    </w:lvl>
  </w:abstractNum>
  <w:abstractNum w:abstractNumId="24" w15:restartNumberingAfterBreak="0">
    <w:nsid w:val="24F16768"/>
    <w:multiLevelType w:val="hybridMultilevel"/>
    <w:tmpl w:val="97C030B8"/>
    <w:lvl w:ilvl="0" w:tplc="6EA29BAE">
      <w:start w:val="1"/>
      <w:numFmt w:val="decimal"/>
      <w:lvlText w:val="%1)"/>
      <w:lvlJc w:val="left"/>
      <w:pPr>
        <w:ind w:left="1250" w:hanging="360"/>
      </w:pPr>
      <w:rPr>
        <w:rFonts w:ascii="Calibri" w:eastAsia="Calibri" w:hAnsi="Calibri" w:cs="Calibri" w:hint="default"/>
        <w:b/>
        <w:bCs/>
        <w:i w:val="0"/>
        <w:iCs w:val="0"/>
        <w:spacing w:val="0"/>
        <w:w w:val="100"/>
        <w:sz w:val="22"/>
        <w:szCs w:val="22"/>
        <w:lang w:val="tr-TR" w:eastAsia="en-US" w:bidi="ar-SA"/>
      </w:rPr>
    </w:lvl>
    <w:lvl w:ilvl="1" w:tplc="0DD4CF66">
      <w:numFmt w:val="bullet"/>
      <w:lvlText w:val="•"/>
      <w:lvlJc w:val="left"/>
      <w:pPr>
        <w:ind w:left="2048" w:hanging="360"/>
      </w:pPr>
      <w:rPr>
        <w:rFonts w:hint="default"/>
        <w:lang w:val="tr-TR" w:eastAsia="en-US" w:bidi="ar-SA"/>
      </w:rPr>
    </w:lvl>
    <w:lvl w:ilvl="2" w:tplc="0E6A3730">
      <w:numFmt w:val="bullet"/>
      <w:lvlText w:val="•"/>
      <w:lvlJc w:val="left"/>
      <w:pPr>
        <w:ind w:left="2857" w:hanging="360"/>
      </w:pPr>
      <w:rPr>
        <w:rFonts w:hint="default"/>
        <w:lang w:val="tr-TR" w:eastAsia="en-US" w:bidi="ar-SA"/>
      </w:rPr>
    </w:lvl>
    <w:lvl w:ilvl="3" w:tplc="8A22C33E">
      <w:numFmt w:val="bullet"/>
      <w:lvlText w:val="•"/>
      <w:lvlJc w:val="left"/>
      <w:pPr>
        <w:ind w:left="3665" w:hanging="360"/>
      </w:pPr>
      <w:rPr>
        <w:rFonts w:hint="default"/>
        <w:lang w:val="tr-TR" w:eastAsia="en-US" w:bidi="ar-SA"/>
      </w:rPr>
    </w:lvl>
    <w:lvl w:ilvl="4" w:tplc="CD163C28">
      <w:numFmt w:val="bullet"/>
      <w:lvlText w:val="•"/>
      <w:lvlJc w:val="left"/>
      <w:pPr>
        <w:ind w:left="4474" w:hanging="360"/>
      </w:pPr>
      <w:rPr>
        <w:rFonts w:hint="default"/>
        <w:lang w:val="tr-TR" w:eastAsia="en-US" w:bidi="ar-SA"/>
      </w:rPr>
    </w:lvl>
    <w:lvl w:ilvl="5" w:tplc="35288FE4">
      <w:numFmt w:val="bullet"/>
      <w:lvlText w:val="•"/>
      <w:lvlJc w:val="left"/>
      <w:pPr>
        <w:ind w:left="5283" w:hanging="360"/>
      </w:pPr>
      <w:rPr>
        <w:rFonts w:hint="default"/>
        <w:lang w:val="tr-TR" w:eastAsia="en-US" w:bidi="ar-SA"/>
      </w:rPr>
    </w:lvl>
    <w:lvl w:ilvl="6" w:tplc="8FD09D30">
      <w:numFmt w:val="bullet"/>
      <w:lvlText w:val="•"/>
      <w:lvlJc w:val="left"/>
      <w:pPr>
        <w:ind w:left="6091" w:hanging="360"/>
      </w:pPr>
      <w:rPr>
        <w:rFonts w:hint="default"/>
        <w:lang w:val="tr-TR" w:eastAsia="en-US" w:bidi="ar-SA"/>
      </w:rPr>
    </w:lvl>
    <w:lvl w:ilvl="7" w:tplc="EB743ED6">
      <w:numFmt w:val="bullet"/>
      <w:lvlText w:val="•"/>
      <w:lvlJc w:val="left"/>
      <w:pPr>
        <w:ind w:left="6900" w:hanging="360"/>
      </w:pPr>
      <w:rPr>
        <w:rFonts w:hint="default"/>
        <w:lang w:val="tr-TR" w:eastAsia="en-US" w:bidi="ar-SA"/>
      </w:rPr>
    </w:lvl>
    <w:lvl w:ilvl="8" w:tplc="1DDABA3E">
      <w:numFmt w:val="bullet"/>
      <w:lvlText w:val="•"/>
      <w:lvlJc w:val="left"/>
      <w:pPr>
        <w:ind w:left="7709" w:hanging="360"/>
      </w:pPr>
      <w:rPr>
        <w:rFonts w:hint="default"/>
        <w:lang w:val="tr-TR" w:eastAsia="en-US" w:bidi="ar-SA"/>
      </w:rPr>
    </w:lvl>
  </w:abstractNum>
  <w:abstractNum w:abstractNumId="25" w15:restartNumberingAfterBreak="0">
    <w:nsid w:val="250D19A7"/>
    <w:multiLevelType w:val="hybridMultilevel"/>
    <w:tmpl w:val="57CED822"/>
    <w:lvl w:ilvl="0" w:tplc="29D2A712">
      <w:numFmt w:val="bullet"/>
      <w:lvlText w:val="-"/>
      <w:lvlJc w:val="left"/>
      <w:pPr>
        <w:ind w:left="720" w:hanging="360"/>
      </w:pPr>
      <w:rPr>
        <w:rFonts w:ascii="Times New Roman" w:hAnsi="Times New Roman" w:hint="default"/>
      </w:rPr>
    </w:lvl>
    <w:lvl w:ilvl="1" w:tplc="05A29BEA">
      <w:start w:val="1"/>
      <w:numFmt w:val="bullet"/>
      <w:lvlText w:val="o"/>
      <w:lvlJc w:val="left"/>
      <w:pPr>
        <w:ind w:left="1440" w:hanging="360"/>
      </w:pPr>
      <w:rPr>
        <w:rFonts w:ascii="Courier New" w:hAnsi="Courier New" w:hint="default"/>
      </w:rPr>
    </w:lvl>
    <w:lvl w:ilvl="2" w:tplc="F4F4CC52">
      <w:start w:val="1"/>
      <w:numFmt w:val="bullet"/>
      <w:lvlText w:val=""/>
      <w:lvlJc w:val="left"/>
      <w:pPr>
        <w:ind w:left="2160" w:hanging="360"/>
      </w:pPr>
      <w:rPr>
        <w:rFonts w:ascii="Wingdings" w:hAnsi="Wingdings" w:hint="default"/>
      </w:rPr>
    </w:lvl>
    <w:lvl w:ilvl="3" w:tplc="EC668780">
      <w:start w:val="1"/>
      <w:numFmt w:val="bullet"/>
      <w:lvlText w:val=""/>
      <w:lvlJc w:val="left"/>
      <w:pPr>
        <w:ind w:left="2880" w:hanging="360"/>
      </w:pPr>
      <w:rPr>
        <w:rFonts w:ascii="Symbol" w:hAnsi="Symbol" w:hint="default"/>
      </w:rPr>
    </w:lvl>
    <w:lvl w:ilvl="4" w:tplc="E3B89C00">
      <w:start w:val="1"/>
      <w:numFmt w:val="bullet"/>
      <w:lvlText w:val="o"/>
      <w:lvlJc w:val="left"/>
      <w:pPr>
        <w:ind w:left="3600" w:hanging="360"/>
      </w:pPr>
      <w:rPr>
        <w:rFonts w:ascii="Courier New" w:hAnsi="Courier New" w:hint="default"/>
      </w:rPr>
    </w:lvl>
    <w:lvl w:ilvl="5" w:tplc="5AD28FF2">
      <w:start w:val="1"/>
      <w:numFmt w:val="bullet"/>
      <w:lvlText w:val=""/>
      <w:lvlJc w:val="left"/>
      <w:pPr>
        <w:ind w:left="4320" w:hanging="360"/>
      </w:pPr>
      <w:rPr>
        <w:rFonts w:ascii="Wingdings" w:hAnsi="Wingdings" w:hint="default"/>
      </w:rPr>
    </w:lvl>
    <w:lvl w:ilvl="6" w:tplc="DD4675AA">
      <w:start w:val="1"/>
      <w:numFmt w:val="bullet"/>
      <w:lvlText w:val=""/>
      <w:lvlJc w:val="left"/>
      <w:pPr>
        <w:ind w:left="5040" w:hanging="360"/>
      </w:pPr>
      <w:rPr>
        <w:rFonts w:ascii="Symbol" w:hAnsi="Symbol" w:hint="default"/>
      </w:rPr>
    </w:lvl>
    <w:lvl w:ilvl="7" w:tplc="6F162428">
      <w:start w:val="1"/>
      <w:numFmt w:val="bullet"/>
      <w:lvlText w:val="o"/>
      <w:lvlJc w:val="left"/>
      <w:pPr>
        <w:ind w:left="5760" w:hanging="360"/>
      </w:pPr>
      <w:rPr>
        <w:rFonts w:ascii="Courier New" w:hAnsi="Courier New" w:hint="default"/>
      </w:rPr>
    </w:lvl>
    <w:lvl w:ilvl="8" w:tplc="84960998">
      <w:start w:val="1"/>
      <w:numFmt w:val="bullet"/>
      <w:lvlText w:val=""/>
      <w:lvlJc w:val="left"/>
      <w:pPr>
        <w:ind w:left="6480" w:hanging="360"/>
      </w:pPr>
      <w:rPr>
        <w:rFonts w:ascii="Wingdings" w:hAnsi="Wingdings" w:hint="default"/>
      </w:rPr>
    </w:lvl>
  </w:abstractNum>
  <w:abstractNum w:abstractNumId="26"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7BD2CEE"/>
    <w:multiLevelType w:val="hybridMultilevel"/>
    <w:tmpl w:val="DEFADC6E"/>
    <w:lvl w:ilvl="0" w:tplc="F88EE8D4">
      <w:start w:val="9"/>
      <w:numFmt w:val="decimal"/>
      <w:lvlText w:val="(%1)"/>
      <w:lvlJc w:val="left"/>
      <w:pPr>
        <w:ind w:left="1576" w:hanging="344"/>
      </w:pPr>
      <w:rPr>
        <w:rFonts w:ascii="Calibri" w:eastAsia="Calibri" w:hAnsi="Calibri" w:cs="Calibri" w:hint="default"/>
        <w:b w:val="0"/>
        <w:bCs w:val="0"/>
        <w:i/>
        <w:iCs/>
        <w:spacing w:val="0"/>
        <w:w w:val="100"/>
        <w:sz w:val="22"/>
        <w:szCs w:val="22"/>
        <w:lang w:val="tr-TR" w:eastAsia="en-US" w:bidi="ar-SA"/>
      </w:rPr>
    </w:lvl>
    <w:lvl w:ilvl="1" w:tplc="CC5C7A28">
      <w:numFmt w:val="bullet"/>
      <w:lvlText w:val="•"/>
      <w:lvlJc w:val="left"/>
      <w:pPr>
        <w:ind w:left="2356" w:hanging="344"/>
      </w:pPr>
      <w:rPr>
        <w:rFonts w:hint="default"/>
        <w:lang w:val="tr-TR" w:eastAsia="en-US" w:bidi="ar-SA"/>
      </w:rPr>
    </w:lvl>
    <w:lvl w:ilvl="2" w:tplc="E0BC2A52">
      <w:numFmt w:val="bullet"/>
      <w:lvlText w:val="•"/>
      <w:lvlJc w:val="left"/>
      <w:pPr>
        <w:ind w:left="3133" w:hanging="344"/>
      </w:pPr>
      <w:rPr>
        <w:rFonts w:hint="default"/>
        <w:lang w:val="tr-TR" w:eastAsia="en-US" w:bidi="ar-SA"/>
      </w:rPr>
    </w:lvl>
    <w:lvl w:ilvl="3" w:tplc="FB1E6182">
      <w:numFmt w:val="bullet"/>
      <w:lvlText w:val="•"/>
      <w:lvlJc w:val="left"/>
      <w:pPr>
        <w:ind w:left="3909" w:hanging="344"/>
      </w:pPr>
      <w:rPr>
        <w:rFonts w:hint="default"/>
        <w:lang w:val="tr-TR" w:eastAsia="en-US" w:bidi="ar-SA"/>
      </w:rPr>
    </w:lvl>
    <w:lvl w:ilvl="4" w:tplc="315CFBC2">
      <w:numFmt w:val="bullet"/>
      <w:lvlText w:val="•"/>
      <w:lvlJc w:val="left"/>
      <w:pPr>
        <w:ind w:left="4686" w:hanging="344"/>
      </w:pPr>
      <w:rPr>
        <w:rFonts w:hint="default"/>
        <w:lang w:val="tr-TR" w:eastAsia="en-US" w:bidi="ar-SA"/>
      </w:rPr>
    </w:lvl>
    <w:lvl w:ilvl="5" w:tplc="C5168FDE">
      <w:numFmt w:val="bullet"/>
      <w:lvlText w:val="•"/>
      <w:lvlJc w:val="left"/>
      <w:pPr>
        <w:ind w:left="5463" w:hanging="344"/>
      </w:pPr>
      <w:rPr>
        <w:rFonts w:hint="default"/>
        <w:lang w:val="tr-TR" w:eastAsia="en-US" w:bidi="ar-SA"/>
      </w:rPr>
    </w:lvl>
    <w:lvl w:ilvl="6" w:tplc="DD80F89A">
      <w:numFmt w:val="bullet"/>
      <w:lvlText w:val="•"/>
      <w:lvlJc w:val="left"/>
      <w:pPr>
        <w:ind w:left="6239" w:hanging="344"/>
      </w:pPr>
      <w:rPr>
        <w:rFonts w:hint="default"/>
        <w:lang w:val="tr-TR" w:eastAsia="en-US" w:bidi="ar-SA"/>
      </w:rPr>
    </w:lvl>
    <w:lvl w:ilvl="7" w:tplc="E1AAEE4A">
      <w:numFmt w:val="bullet"/>
      <w:lvlText w:val="•"/>
      <w:lvlJc w:val="left"/>
      <w:pPr>
        <w:ind w:left="7016" w:hanging="344"/>
      </w:pPr>
      <w:rPr>
        <w:rFonts w:hint="default"/>
        <w:lang w:val="tr-TR" w:eastAsia="en-US" w:bidi="ar-SA"/>
      </w:rPr>
    </w:lvl>
    <w:lvl w:ilvl="8" w:tplc="3B46632E">
      <w:numFmt w:val="bullet"/>
      <w:lvlText w:val="•"/>
      <w:lvlJc w:val="left"/>
      <w:pPr>
        <w:ind w:left="7793" w:hanging="344"/>
      </w:pPr>
      <w:rPr>
        <w:rFonts w:hint="default"/>
        <w:lang w:val="tr-TR" w:eastAsia="en-US" w:bidi="ar-SA"/>
      </w:rPr>
    </w:lvl>
  </w:abstractNum>
  <w:abstractNum w:abstractNumId="28" w15:restartNumberingAfterBreak="0">
    <w:nsid w:val="2A0C3E2C"/>
    <w:multiLevelType w:val="multilevel"/>
    <w:tmpl w:val="3796EB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A356291"/>
    <w:multiLevelType w:val="multilevel"/>
    <w:tmpl w:val="4EFED290"/>
    <w:lvl w:ilvl="0">
      <w:start w:val="2"/>
      <w:numFmt w:val="decimal"/>
      <w:lvlText w:val="%1"/>
      <w:lvlJc w:val="left"/>
      <w:pPr>
        <w:ind w:left="550" w:hanging="435"/>
      </w:pPr>
      <w:rPr>
        <w:rFonts w:hint="default"/>
        <w:lang w:val="tr-TR" w:eastAsia="en-US" w:bidi="ar-SA"/>
      </w:rPr>
    </w:lvl>
    <w:lvl w:ilvl="1">
      <w:start w:val="4"/>
      <w:numFmt w:val="decimal"/>
      <w:lvlText w:val="%1.%2."/>
      <w:lvlJc w:val="left"/>
      <w:pPr>
        <w:ind w:left="550" w:hanging="435"/>
      </w:pPr>
      <w:rPr>
        <w:rFonts w:ascii="Calibri" w:eastAsia="Calibri" w:hAnsi="Calibri" w:cs="Calibri" w:hint="default"/>
        <w:b w:val="0"/>
        <w:bCs w:val="0"/>
        <w:i w:val="0"/>
        <w:iCs w:val="0"/>
        <w:spacing w:val="-1"/>
        <w:w w:val="100"/>
        <w:sz w:val="22"/>
        <w:szCs w:val="22"/>
        <w:lang w:val="tr-TR" w:eastAsia="en-US" w:bidi="ar-SA"/>
      </w:rPr>
    </w:lvl>
    <w:lvl w:ilvl="2">
      <w:start w:val="1"/>
      <w:numFmt w:val="decimal"/>
      <w:lvlText w:val="%1.%2.%3."/>
      <w:lvlJc w:val="left"/>
      <w:pPr>
        <w:ind w:left="728" w:hanging="613"/>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36" w:hanging="361"/>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557" w:hanging="360"/>
      </w:pPr>
      <w:rPr>
        <w:rFonts w:ascii="Times New Roman" w:eastAsia="Times New Roman" w:hAnsi="Times New Roman" w:cs="Times New Roman" w:hint="default"/>
        <w:spacing w:val="0"/>
        <w:w w:val="100"/>
        <w:lang w:val="tr-TR" w:eastAsia="en-US" w:bidi="ar-SA"/>
      </w:rPr>
    </w:lvl>
    <w:lvl w:ilvl="5">
      <w:numFmt w:val="bullet"/>
      <w:lvlText w:val="•"/>
      <w:lvlJc w:val="left"/>
      <w:pPr>
        <w:ind w:left="2994" w:hanging="360"/>
      </w:pPr>
      <w:rPr>
        <w:rFonts w:hint="default"/>
        <w:lang w:val="tr-TR" w:eastAsia="en-US" w:bidi="ar-SA"/>
      </w:rPr>
    </w:lvl>
    <w:lvl w:ilvl="6">
      <w:numFmt w:val="bullet"/>
      <w:lvlText w:val="•"/>
      <w:lvlJc w:val="left"/>
      <w:pPr>
        <w:ind w:left="4428" w:hanging="360"/>
      </w:pPr>
      <w:rPr>
        <w:rFonts w:hint="default"/>
        <w:lang w:val="tr-TR" w:eastAsia="en-US" w:bidi="ar-SA"/>
      </w:rPr>
    </w:lvl>
    <w:lvl w:ilvl="7">
      <w:numFmt w:val="bullet"/>
      <w:lvlText w:val="•"/>
      <w:lvlJc w:val="left"/>
      <w:pPr>
        <w:ind w:left="5863" w:hanging="360"/>
      </w:pPr>
      <w:rPr>
        <w:rFonts w:hint="default"/>
        <w:lang w:val="tr-TR" w:eastAsia="en-US" w:bidi="ar-SA"/>
      </w:rPr>
    </w:lvl>
    <w:lvl w:ilvl="8">
      <w:numFmt w:val="bullet"/>
      <w:lvlText w:val="•"/>
      <w:lvlJc w:val="left"/>
      <w:pPr>
        <w:ind w:left="7297" w:hanging="360"/>
      </w:pPr>
      <w:rPr>
        <w:rFonts w:hint="default"/>
        <w:lang w:val="tr-TR" w:eastAsia="en-US" w:bidi="ar-SA"/>
      </w:rPr>
    </w:lvl>
  </w:abstractNum>
  <w:abstractNum w:abstractNumId="30" w15:restartNumberingAfterBreak="0">
    <w:nsid w:val="2AF36A63"/>
    <w:multiLevelType w:val="hybridMultilevel"/>
    <w:tmpl w:val="E73EBB84"/>
    <w:lvl w:ilvl="0" w:tplc="04090011">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2B4948DA"/>
    <w:multiLevelType w:val="hybridMultilevel"/>
    <w:tmpl w:val="4B7C530C"/>
    <w:lvl w:ilvl="0" w:tplc="8056DE18">
      <w:start w:val="1"/>
      <w:numFmt w:val="decimal"/>
      <w:lvlText w:val="%1)"/>
      <w:lvlJc w:val="left"/>
      <w:pPr>
        <w:ind w:left="1109" w:hanging="303"/>
      </w:pPr>
      <w:rPr>
        <w:rFonts w:ascii="Calibri" w:eastAsia="Calibri" w:hAnsi="Calibri" w:cs="Calibri" w:hint="default"/>
        <w:b/>
        <w:bCs/>
        <w:i w:val="0"/>
        <w:iCs w:val="0"/>
        <w:spacing w:val="0"/>
        <w:w w:val="100"/>
        <w:sz w:val="22"/>
        <w:szCs w:val="22"/>
        <w:lang w:val="tr-TR" w:eastAsia="en-US" w:bidi="ar-SA"/>
      </w:rPr>
    </w:lvl>
    <w:lvl w:ilvl="1" w:tplc="CAFE01CA">
      <w:numFmt w:val="bullet"/>
      <w:lvlText w:val="•"/>
      <w:lvlJc w:val="left"/>
      <w:pPr>
        <w:ind w:left="1922" w:hanging="303"/>
      </w:pPr>
      <w:rPr>
        <w:rFonts w:hint="default"/>
        <w:lang w:val="tr-TR" w:eastAsia="en-US" w:bidi="ar-SA"/>
      </w:rPr>
    </w:lvl>
    <w:lvl w:ilvl="2" w:tplc="11E00BE8">
      <w:numFmt w:val="bullet"/>
      <w:lvlText w:val="•"/>
      <w:lvlJc w:val="left"/>
      <w:pPr>
        <w:ind w:left="2745" w:hanging="303"/>
      </w:pPr>
      <w:rPr>
        <w:rFonts w:hint="default"/>
        <w:lang w:val="tr-TR" w:eastAsia="en-US" w:bidi="ar-SA"/>
      </w:rPr>
    </w:lvl>
    <w:lvl w:ilvl="3" w:tplc="2384C464">
      <w:numFmt w:val="bullet"/>
      <w:lvlText w:val="•"/>
      <w:lvlJc w:val="left"/>
      <w:pPr>
        <w:ind w:left="3567" w:hanging="303"/>
      </w:pPr>
      <w:rPr>
        <w:rFonts w:hint="default"/>
        <w:lang w:val="tr-TR" w:eastAsia="en-US" w:bidi="ar-SA"/>
      </w:rPr>
    </w:lvl>
    <w:lvl w:ilvl="4" w:tplc="E5F8EB84">
      <w:numFmt w:val="bullet"/>
      <w:lvlText w:val="•"/>
      <w:lvlJc w:val="left"/>
      <w:pPr>
        <w:ind w:left="4390" w:hanging="303"/>
      </w:pPr>
      <w:rPr>
        <w:rFonts w:hint="default"/>
        <w:lang w:val="tr-TR" w:eastAsia="en-US" w:bidi="ar-SA"/>
      </w:rPr>
    </w:lvl>
    <w:lvl w:ilvl="5" w:tplc="DB3C0948">
      <w:numFmt w:val="bullet"/>
      <w:lvlText w:val="•"/>
      <w:lvlJc w:val="left"/>
      <w:pPr>
        <w:ind w:left="5213" w:hanging="303"/>
      </w:pPr>
      <w:rPr>
        <w:rFonts w:hint="default"/>
        <w:lang w:val="tr-TR" w:eastAsia="en-US" w:bidi="ar-SA"/>
      </w:rPr>
    </w:lvl>
    <w:lvl w:ilvl="6" w:tplc="9064F036">
      <w:numFmt w:val="bullet"/>
      <w:lvlText w:val="•"/>
      <w:lvlJc w:val="left"/>
      <w:pPr>
        <w:ind w:left="6035" w:hanging="303"/>
      </w:pPr>
      <w:rPr>
        <w:rFonts w:hint="default"/>
        <w:lang w:val="tr-TR" w:eastAsia="en-US" w:bidi="ar-SA"/>
      </w:rPr>
    </w:lvl>
    <w:lvl w:ilvl="7" w:tplc="03B0AFF2">
      <w:numFmt w:val="bullet"/>
      <w:lvlText w:val="•"/>
      <w:lvlJc w:val="left"/>
      <w:pPr>
        <w:ind w:left="6858" w:hanging="303"/>
      </w:pPr>
      <w:rPr>
        <w:rFonts w:hint="default"/>
        <w:lang w:val="tr-TR" w:eastAsia="en-US" w:bidi="ar-SA"/>
      </w:rPr>
    </w:lvl>
    <w:lvl w:ilvl="8" w:tplc="7AB85A36">
      <w:numFmt w:val="bullet"/>
      <w:lvlText w:val="•"/>
      <w:lvlJc w:val="left"/>
      <w:pPr>
        <w:ind w:left="7681" w:hanging="303"/>
      </w:pPr>
      <w:rPr>
        <w:rFonts w:hint="default"/>
        <w:lang w:val="tr-TR" w:eastAsia="en-US" w:bidi="ar-SA"/>
      </w:rPr>
    </w:lvl>
  </w:abstractNum>
  <w:abstractNum w:abstractNumId="32" w15:restartNumberingAfterBreak="0">
    <w:nsid w:val="2B9102EE"/>
    <w:multiLevelType w:val="multilevel"/>
    <w:tmpl w:val="233285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CB606BC"/>
    <w:multiLevelType w:val="hybridMultilevel"/>
    <w:tmpl w:val="3558E99C"/>
    <w:lvl w:ilvl="0" w:tplc="9098B8EA">
      <w:start w:val="1"/>
      <w:numFmt w:val="decimal"/>
      <w:lvlText w:val="%1."/>
      <w:lvlJc w:val="left"/>
      <w:pPr>
        <w:ind w:left="2242" w:hanging="634"/>
      </w:pPr>
      <w:rPr>
        <w:rFonts w:ascii="Calibri" w:eastAsia="Calibri" w:hAnsi="Calibri" w:cs="Calibri" w:hint="default"/>
        <w:b w:val="0"/>
        <w:bCs w:val="0"/>
        <w:i/>
        <w:iCs/>
        <w:spacing w:val="0"/>
        <w:w w:val="100"/>
        <w:sz w:val="22"/>
        <w:szCs w:val="22"/>
        <w:lang w:val="tr-TR" w:eastAsia="en-US" w:bidi="ar-SA"/>
      </w:rPr>
    </w:lvl>
    <w:lvl w:ilvl="1" w:tplc="A0845AFC">
      <w:numFmt w:val="bullet"/>
      <w:lvlText w:val="•"/>
      <w:lvlJc w:val="left"/>
      <w:pPr>
        <w:ind w:left="3032" w:hanging="634"/>
      </w:pPr>
      <w:rPr>
        <w:rFonts w:hint="default"/>
        <w:lang w:val="tr-TR" w:eastAsia="en-US" w:bidi="ar-SA"/>
      </w:rPr>
    </w:lvl>
    <w:lvl w:ilvl="2" w:tplc="F6E2C91C">
      <w:numFmt w:val="bullet"/>
      <w:lvlText w:val="•"/>
      <w:lvlJc w:val="left"/>
      <w:pPr>
        <w:ind w:left="3825" w:hanging="634"/>
      </w:pPr>
      <w:rPr>
        <w:rFonts w:hint="default"/>
        <w:lang w:val="tr-TR" w:eastAsia="en-US" w:bidi="ar-SA"/>
      </w:rPr>
    </w:lvl>
    <w:lvl w:ilvl="3" w:tplc="C92AFF1C">
      <w:numFmt w:val="bullet"/>
      <w:lvlText w:val="•"/>
      <w:lvlJc w:val="left"/>
      <w:pPr>
        <w:ind w:left="4617" w:hanging="634"/>
      </w:pPr>
      <w:rPr>
        <w:rFonts w:hint="default"/>
        <w:lang w:val="tr-TR" w:eastAsia="en-US" w:bidi="ar-SA"/>
      </w:rPr>
    </w:lvl>
    <w:lvl w:ilvl="4" w:tplc="6A5EFD6C">
      <w:numFmt w:val="bullet"/>
      <w:lvlText w:val="•"/>
      <w:lvlJc w:val="left"/>
      <w:pPr>
        <w:ind w:left="5410" w:hanging="634"/>
      </w:pPr>
      <w:rPr>
        <w:rFonts w:hint="default"/>
        <w:lang w:val="tr-TR" w:eastAsia="en-US" w:bidi="ar-SA"/>
      </w:rPr>
    </w:lvl>
    <w:lvl w:ilvl="5" w:tplc="E6C24002">
      <w:numFmt w:val="bullet"/>
      <w:lvlText w:val="•"/>
      <w:lvlJc w:val="left"/>
      <w:pPr>
        <w:ind w:left="6203" w:hanging="634"/>
      </w:pPr>
      <w:rPr>
        <w:rFonts w:hint="default"/>
        <w:lang w:val="tr-TR" w:eastAsia="en-US" w:bidi="ar-SA"/>
      </w:rPr>
    </w:lvl>
    <w:lvl w:ilvl="6" w:tplc="E528B4F6">
      <w:numFmt w:val="bullet"/>
      <w:lvlText w:val="•"/>
      <w:lvlJc w:val="left"/>
      <w:pPr>
        <w:ind w:left="6995" w:hanging="634"/>
      </w:pPr>
      <w:rPr>
        <w:rFonts w:hint="default"/>
        <w:lang w:val="tr-TR" w:eastAsia="en-US" w:bidi="ar-SA"/>
      </w:rPr>
    </w:lvl>
    <w:lvl w:ilvl="7" w:tplc="B5366292">
      <w:numFmt w:val="bullet"/>
      <w:lvlText w:val="•"/>
      <w:lvlJc w:val="left"/>
      <w:pPr>
        <w:ind w:left="7788" w:hanging="634"/>
      </w:pPr>
      <w:rPr>
        <w:rFonts w:hint="default"/>
        <w:lang w:val="tr-TR" w:eastAsia="en-US" w:bidi="ar-SA"/>
      </w:rPr>
    </w:lvl>
    <w:lvl w:ilvl="8" w:tplc="E5BAB5AE">
      <w:numFmt w:val="bullet"/>
      <w:lvlText w:val="•"/>
      <w:lvlJc w:val="left"/>
      <w:pPr>
        <w:ind w:left="8581" w:hanging="634"/>
      </w:pPr>
      <w:rPr>
        <w:rFonts w:hint="default"/>
        <w:lang w:val="tr-TR" w:eastAsia="en-US" w:bidi="ar-SA"/>
      </w:rPr>
    </w:lvl>
  </w:abstractNum>
  <w:abstractNum w:abstractNumId="34" w15:restartNumberingAfterBreak="0">
    <w:nsid w:val="2DB42792"/>
    <w:multiLevelType w:val="hybridMultilevel"/>
    <w:tmpl w:val="34483CC6"/>
    <w:lvl w:ilvl="0" w:tplc="F6C0DC44">
      <w:start w:val="28"/>
      <w:numFmt w:val="bullet"/>
      <w:lvlText w:val="•"/>
      <w:lvlJc w:val="left"/>
      <w:pPr>
        <w:ind w:left="1068" w:hanging="708"/>
      </w:pPr>
      <w:rPr>
        <w:rFonts w:ascii="Times New Roman" w:hAnsi="Times New Roman" w:hint="default"/>
      </w:rPr>
    </w:lvl>
    <w:lvl w:ilvl="1" w:tplc="9EBABE0E">
      <w:start w:val="1"/>
      <w:numFmt w:val="bullet"/>
      <w:lvlText w:val="o"/>
      <w:lvlJc w:val="left"/>
      <w:pPr>
        <w:ind w:left="1440" w:hanging="360"/>
      </w:pPr>
      <w:rPr>
        <w:rFonts w:ascii="Courier New" w:hAnsi="Courier New" w:hint="default"/>
      </w:rPr>
    </w:lvl>
    <w:lvl w:ilvl="2" w:tplc="C060C5DC">
      <w:start w:val="1"/>
      <w:numFmt w:val="bullet"/>
      <w:lvlText w:val=""/>
      <w:lvlJc w:val="left"/>
      <w:pPr>
        <w:ind w:left="2160" w:hanging="360"/>
      </w:pPr>
      <w:rPr>
        <w:rFonts w:ascii="Wingdings" w:hAnsi="Wingdings" w:hint="default"/>
      </w:rPr>
    </w:lvl>
    <w:lvl w:ilvl="3" w:tplc="15EC450C">
      <w:start w:val="1"/>
      <w:numFmt w:val="bullet"/>
      <w:lvlText w:val=""/>
      <w:lvlJc w:val="left"/>
      <w:pPr>
        <w:ind w:left="2880" w:hanging="360"/>
      </w:pPr>
      <w:rPr>
        <w:rFonts w:ascii="Symbol" w:hAnsi="Symbol" w:hint="default"/>
      </w:rPr>
    </w:lvl>
    <w:lvl w:ilvl="4" w:tplc="30663D86">
      <w:start w:val="1"/>
      <w:numFmt w:val="bullet"/>
      <w:lvlText w:val="o"/>
      <w:lvlJc w:val="left"/>
      <w:pPr>
        <w:ind w:left="3600" w:hanging="360"/>
      </w:pPr>
      <w:rPr>
        <w:rFonts w:ascii="Courier New" w:hAnsi="Courier New" w:hint="default"/>
      </w:rPr>
    </w:lvl>
    <w:lvl w:ilvl="5" w:tplc="B7EC51A6">
      <w:start w:val="1"/>
      <w:numFmt w:val="bullet"/>
      <w:lvlText w:val=""/>
      <w:lvlJc w:val="left"/>
      <w:pPr>
        <w:ind w:left="4320" w:hanging="360"/>
      </w:pPr>
      <w:rPr>
        <w:rFonts w:ascii="Wingdings" w:hAnsi="Wingdings" w:hint="default"/>
      </w:rPr>
    </w:lvl>
    <w:lvl w:ilvl="6" w:tplc="C4E40276">
      <w:start w:val="1"/>
      <w:numFmt w:val="bullet"/>
      <w:lvlText w:val=""/>
      <w:lvlJc w:val="left"/>
      <w:pPr>
        <w:ind w:left="5040" w:hanging="360"/>
      </w:pPr>
      <w:rPr>
        <w:rFonts w:ascii="Symbol" w:hAnsi="Symbol" w:hint="default"/>
      </w:rPr>
    </w:lvl>
    <w:lvl w:ilvl="7" w:tplc="C3E0F130">
      <w:start w:val="1"/>
      <w:numFmt w:val="bullet"/>
      <w:lvlText w:val="o"/>
      <w:lvlJc w:val="left"/>
      <w:pPr>
        <w:ind w:left="5760" w:hanging="360"/>
      </w:pPr>
      <w:rPr>
        <w:rFonts w:ascii="Courier New" w:hAnsi="Courier New" w:hint="default"/>
      </w:rPr>
    </w:lvl>
    <w:lvl w:ilvl="8" w:tplc="698EC25C">
      <w:start w:val="1"/>
      <w:numFmt w:val="bullet"/>
      <w:lvlText w:val=""/>
      <w:lvlJc w:val="left"/>
      <w:pPr>
        <w:ind w:left="6480" w:hanging="360"/>
      </w:pPr>
      <w:rPr>
        <w:rFonts w:ascii="Wingdings" w:hAnsi="Wingdings" w:hint="default"/>
      </w:rPr>
    </w:lvl>
  </w:abstractNum>
  <w:abstractNum w:abstractNumId="35" w15:restartNumberingAfterBreak="0">
    <w:nsid w:val="2EF934FF"/>
    <w:multiLevelType w:val="hybridMultilevel"/>
    <w:tmpl w:val="A568184E"/>
    <w:lvl w:ilvl="0" w:tplc="E0A48200">
      <w:start w:val="1"/>
      <w:numFmt w:val="decimal"/>
      <w:lvlText w:val="%1)"/>
      <w:lvlJc w:val="left"/>
      <w:pPr>
        <w:ind w:left="1109" w:hanging="281"/>
      </w:pPr>
      <w:rPr>
        <w:rFonts w:ascii="Calibri" w:eastAsia="Calibri" w:hAnsi="Calibri" w:cs="Calibri" w:hint="default"/>
        <w:b/>
        <w:bCs/>
        <w:i w:val="0"/>
        <w:iCs w:val="0"/>
        <w:spacing w:val="0"/>
        <w:w w:val="100"/>
        <w:sz w:val="22"/>
        <w:szCs w:val="22"/>
        <w:lang w:val="tr-TR" w:eastAsia="en-US" w:bidi="ar-SA"/>
      </w:rPr>
    </w:lvl>
    <w:lvl w:ilvl="1" w:tplc="D330788A">
      <w:numFmt w:val="bullet"/>
      <w:lvlText w:val="•"/>
      <w:lvlJc w:val="left"/>
      <w:pPr>
        <w:ind w:left="1922" w:hanging="281"/>
      </w:pPr>
      <w:rPr>
        <w:rFonts w:hint="default"/>
        <w:lang w:val="tr-TR" w:eastAsia="en-US" w:bidi="ar-SA"/>
      </w:rPr>
    </w:lvl>
    <w:lvl w:ilvl="2" w:tplc="C38E9448">
      <w:numFmt w:val="bullet"/>
      <w:lvlText w:val="•"/>
      <w:lvlJc w:val="left"/>
      <w:pPr>
        <w:ind w:left="2745" w:hanging="281"/>
      </w:pPr>
      <w:rPr>
        <w:rFonts w:hint="default"/>
        <w:lang w:val="tr-TR" w:eastAsia="en-US" w:bidi="ar-SA"/>
      </w:rPr>
    </w:lvl>
    <w:lvl w:ilvl="3" w:tplc="033EBB9C">
      <w:numFmt w:val="bullet"/>
      <w:lvlText w:val="•"/>
      <w:lvlJc w:val="left"/>
      <w:pPr>
        <w:ind w:left="3567" w:hanging="281"/>
      </w:pPr>
      <w:rPr>
        <w:rFonts w:hint="default"/>
        <w:lang w:val="tr-TR" w:eastAsia="en-US" w:bidi="ar-SA"/>
      </w:rPr>
    </w:lvl>
    <w:lvl w:ilvl="4" w:tplc="C5606CEC">
      <w:numFmt w:val="bullet"/>
      <w:lvlText w:val="•"/>
      <w:lvlJc w:val="left"/>
      <w:pPr>
        <w:ind w:left="4390" w:hanging="281"/>
      </w:pPr>
      <w:rPr>
        <w:rFonts w:hint="default"/>
        <w:lang w:val="tr-TR" w:eastAsia="en-US" w:bidi="ar-SA"/>
      </w:rPr>
    </w:lvl>
    <w:lvl w:ilvl="5" w:tplc="FBD84F1C">
      <w:numFmt w:val="bullet"/>
      <w:lvlText w:val="•"/>
      <w:lvlJc w:val="left"/>
      <w:pPr>
        <w:ind w:left="5213" w:hanging="281"/>
      </w:pPr>
      <w:rPr>
        <w:rFonts w:hint="default"/>
        <w:lang w:val="tr-TR" w:eastAsia="en-US" w:bidi="ar-SA"/>
      </w:rPr>
    </w:lvl>
    <w:lvl w:ilvl="6" w:tplc="59F6C490">
      <w:numFmt w:val="bullet"/>
      <w:lvlText w:val="•"/>
      <w:lvlJc w:val="left"/>
      <w:pPr>
        <w:ind w:left="6035" w:hanging="281"/>
      </w:pPr>
      <w:rPr>
        <w:rFonts w:hint="default"/>
        <w:lang w:val="tr-TR" w:eastAsia="en-US" w:bidi="ar-SA"/>
      </w:rPr>
    </w:lvl>
    <w:lvl w:ilvl="7" w:tplc="7D5A5CF8">
      <w:numFmt w:val="bullet"/>
      <w:lvlText w:val="•"/>
      <w:lvlJc w:val="left"/>
      <w:pPr>
        <w:ind w:left="6858" w:hanging="281"/>
      </w:pPr>
      <w:rPr>
        <w:rFonts w:hint="default"/>
        <w:lang w:val="tr-TR" w:eastAsia="en-US" w:bidi="ar-SA"/>
      </w:rPr>
    </w:lvl>
    <w:lvl w:ilvl="8" w:tplc="ECC85DF8">
      <w:numFmt w:val="bullet"/>
      <w:lvlText w:val="•"/>
      <w:lvlJc w:val="left"/>
      <w:pPr>
        <w:ind w:left="7681" w:hanging="281"/>
      </w:pPr>
      <w:rPr>
        <w:rFonts w:hint="default"/>
        <w:lang w:val="tr-TR" w:eastAsia="en-US" w:bidi="ar-SA"/>
      </w:rPr>
    </w:lvl>
  </w:abstractNum>
  <w:abstractNum w:abstractNumId="36" w15:restartNumberingAfterBreak="0">
    <w:nsid w:val="2F9B0587"/>
    <w:multiLevelType w:val="hybridMultilevel"/>
    <w:tmpl w:val="9A204BC2"/>
    <w:lvl w:ilvl="0" w:tplc="C77A48C8">
      <w:numFmt w:val="bullet"/>
      <w:lvlText w:val=""/>
      <w:lvlJc w:val="left"/>
      <w:pPr>
        <w:ind w:left="855" w:hanging="361"/>
      </w:pPr>
      <w:rPr>
        <w:rFonts w:ascii="Symbol" w:eastAsia="Symbol" w:hAnsi="Symbol" w:cs="Symbol" w:hint="default"/>
        <w:b w:val="0"/>
        <w:bCs w:val="0"/>
        <w:i w:val="0"/>
        <w:iCs w:val="0"/>
        <w:spacing w:val="0"/>
        <w:w w:val="100"/>
        <w:sz w:val="22"/>
        <w:szCs w:val="22"/>
        <w:lang w:val="tr-TR" w:eastAsia="en-US" w:bidi="ar-SA"/>
      </w:rPr>
    </w:lvl>
    <w:lvl w:ilvl="1" w:tplc="79D20EAC">
      <w:numFmt w:val="bullet"/>
      <w:lvlText w:val="-"/>
      <w:lvlJc w:val="left"/>
      <w:pPr>
        <w:ind w:left="157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2" w:tplc="2A2E6D42">
      <w:start w:val="1"/>
      <w:numFmt w:val="lowerLetter"/>
      <w:lvlText w:val="%3)"/>
      <w:lvlJc w:val="left"/>
      <w:pPr>
        <w:ind w:left="1806" w:hanging="231"/>
      </w:pPr>
      <w:rPr>
        <w:rFonts w:ascii="Calibri" w:eastAsia="Calibri" w:hAnsi="Calibri" w:cs="Calibri" w:hint="default"/>
        <w:b w:val="0"/>
        <w:bCs w:val="0"/>
        <w:i/>
        <w:iCs/>
        <w:spacing w:val="-1"/>
        <w:w w:val="100"/>
        <w:sz w:val="22"/>
        <w:szCs w:val="22"/>
        <w:lang w:val="tr-TR" w:eastAsia="en-US" w:bidi="ar-SA"/>
      </w:rPr>
    </w:lvl>
    <w:lvl w:ilvl="3" w:tplc="F5345A9C">
      <w:numFmt w:val="bullet"/>
      <w:lvlText w:val="•"/>
      <w:lvlJc w:val="left"/>
      <w:pPr>
        <w:ind w:left="2743" w:hanging="231"/>
      </w:pPr>
      <w:rPr>
        <w:rFonts w:hint="default"/>
        <w:lang w:val="tr-TR" w:eastAsia="en-US" w:bidi="ar-SA"/>
      </w:rPr>
    </w:lvl>
    <w:lvl w:ilvl="4" w:tplc="7C2CFFD2">
      <w:numFmt w:val="bullet"/>
      <w:lvlText w:val="•"/>
      <w:lvlJc w:val="left"/>
      <w:pPr>
        <w:ind w:left="3686" w:hanging="231"/>
      </w:pPr>
      <w:rPr>
        <w:rFonts w:hint="default"/>
        <w:lang w:val="tr-TR" w:eastAsia="en-US" w:bidi="ar-SA"/>
      </w:rPr>
    </w:lvl>
    <w:lvl w:ilvl="5" w:tplc="E644814C">
      <w:numFmt w:val="bullet"/>
      <w:lvlText w:val="•"/>
      <w:lvlJc w:val="left"/>
      <w:pPr>
        <w:ind w:left="4629" w:hanging="231"/>
      </w:pPr>
      <w:rPr>
        <w:rFonts w:hint="default"/>
        <w:lang w:val="tr-TR" w:eastAsia="en-US" w:bidi="ar-SA"/>
      </w:rPr>
    </w:lvl>
    <w:lvl w:ilvl="6" w:tplc="CDDA99E6">
      <w:numFmt w:val="bullet"/>
      <w:lvlText w:val="•"/>
      <w:lvlJc w:val="left"/>
      <w:pPr>
        <w:ind w:left="5573" w:hanging="231"/>
      </w:pPr>
      <w:rPr>
        <w:rFonts w:hint="default"/>
        <w:lang w:val="tr-TR" w:eastAsia="en-US" w:bidi="ar-SA"/>
      </w:rPr>
    </w:lvl>
    <w:lvl w:ilvl="7" w:tplc="76D8BE34">
      <w:numFmt w:val="bullet"/>
      <w:lvlText w:val="•"/>
      <w:lvlJc w:val="left"/>
      <w:pPr>
        <w:ind w:left="6516" w:hanging="231"/>
      </w:pPr>
      <w:rPr>
        <w:rFonts w:hint="default"/>
        <w:lang w:val="tr-TR" w:eastAsia="en-US" w:bidi="ar-SA"/>
      </w:rPr>
    </w:lvl>
    <w:lvl w:ilvl="8" w:tplc="67DCCE92">
      <w:numFmt w:val="bullet"/>
      <w:lvlText w:val="•"/>
      <w:lvlJc w:val="left"/>
      <w:pPr>
        <w:ind w:left="7459" w:hanging="231"/>
      </w:pPr>
      <w:rPr>
        <w:rFonts w:hint="default"/>
        <w:lang w:val="tr-TR" w:eastAsia="en-US" w:bidi="ar-SA"/>
      </w:rPr>
    </w:lvl>
  </w:abstractNum>
  <w:abstractNum w:abstractNumId="37" w15:restartNumberingAfterBreak="0">
    <w:nsid w:val="317B3099"/>
    <w:multiLevelType w:val="hybridMultilevel"/>
    <w:tmpl w:val="A51806EE"/>
    <w:lvl w:ilvl="0" w:tplc="10BEB33E">
      <w:start w:val="1"/>
      <w:numFmt w:val="decimal"/>
      <w:lvlText w:val="%1."/>
      <w:lvlJc w:val="left"/>
      <w:pPr>
        <w:ind w:left="1440" w:hanging="360"/>
      </w:pPr>
    </w:lvl>
    <w:lvl w:ilvl="1" w:tplc="DEE6BFCE">
      <w:start w:val="1"/>
      <w:numFmt w:val="lowerLetter"/>
      <w:lvlText w:val="%2."/>
      <w:lvlJc w:val="left"/>
      <w:pPr>
        <w:ind w:left="1440" w:hanging="360"/>
      </w:pPr>
    </w:lvl>
    <w:lvl w:ilvl="2" w:tplc="CB449206">
      <w:start w:val="1"/>
      <w:numFmt w:val="lowerRoman"/>
      <w:lvlText w:val="%3."/>
      <w:lvlJc w:val="right"/>
      <w:pPr>
        <w:ind w:left="2160" w:hanging="180"/>
      </w:pPr>
    </w:lvl>
    <w:lvl w:ilvl="3" w:tplc="8348F022">
      <w:start w:val="1"/>
      <w:numFmt w:val="decimal"/>
      <w:lvlText w:val="%4."/>
      <w:lvlJc w:val="left"/>
      <w:pPr>
        <w:ind w:left="2880" w:hanging="360"/>
      </w:pPr>
    </w:lvl>
    <w:lvl w:ilvl="4" w:tplc="FA5C59E6">
      <w:start w:val="1"/>
      <w:numFmt w:val="lowerLetter"/>
      <w:lvlText w:val="%5."/>
      <w:lvlJc w:val="left"/>
      <w:pPr>
        <w:ind w:left="3600" w:hanging="360"/>
      </w:pPr>
    </w:lvl>
    <w:lvl w:ilvl="5" w:tplc="6348414E">
      <w:start w:val="1"/>
      <w:numFmt w:val="lowerRoman"/>
      <w:lvlText w:val="%6."/>
      <w:lvlJc w:val="right"/>
      <w:pPr>
        <w:ind w:left="4320" w:hanging="180"/>
      </w:pPr>
    </w:lvl>
    <w:lvl w:ilvl="6" w:tplc="C3A62B86">
      <w:start w:val="1"/>
      <w:numFmt w:val="decimal"/>
      <w:lvlText w:val="%7."/>
      <w:lvlJc w:val="left"/>
      <w:pPr>
        <w:ind w:left="5040" w:hanging="360"/>
      </w:pPr>
    </w:lvl>
    <w:lvl w:ilvl="7" w:tplc="374256C2">
      <w:start w:val="1"/>
      <w:numFmt w:val="lowerLetter"/>
      <w:lvlText w:val="%8."/>
      <w:lvlJc w:val="left"/>
      <w:pPr>
        <w:ind w:left="5760" w:hanging="360"/>
      </w:pPr>
    </w:lvl>
    <w:lvl w:ilvl="8" w:tplc="CEAA0640">
      <w:start w:val="1"/>
      <w:numFmt w:val="lowerRoman"/>
      <w:lvlText w:val="%9."/>
      <w:lvlJc w:val="right"/>
      <w:pPr>
        <w:ind w:left="6480" w:hanging="180"/>
      </w:pPr>
    </w:lvl>
  </w:abstractNum>
  <w:abstractNum w:abstractNumId="38" w15:restartNumberingAfterBreak="0">
    <w:nsid w:val="31BA7B92"/>
    <w:multiLevelType w:val="hybridMultilevel"/>
    <w:tmpl w:val="BA18D23C"/>
    <w:lvl w:ilvl="0" w:tplc="F5649EE2">
      <w:start w:val="1"/>
      <w:numFmt w:val="lowerLetter"/>
      <w:lvlText w:val="%1)"/>
      <w:lvlJc w:val="left"/>
      <w:pPr>
        <w:ind w:left="1576" w:hanging="267"/>
      </w:pPr>
      <w:rPr>
        <w:rFonts w:ascii="Calibri" w:eastAsia="Calibri" w:hAnsi="Calibri" w:cs="Calibri" w:hint="default"/>
        <w:b w:val="0"/>
        <w:bCs w:val="0"/>
        <w:i/>
        <w:iCs/>
        <w:spacing w:val="-1"/>
        <w:w w:val="100"/>
        <w:sz w:val="22"/>
        <w:szCs w:val="22"/>
        <w:lang w:val="tr-TR" w:eastAsia="en-US" w:bidi="ar-SA"/>
      </w:rPr>
    </w:lvl>
    <w:lvl w:ilvl="1" w:tplc="EB2458C4">
      <w:numFmt w:val="bullet"/>
      <w:lvlText w:val="•"/>
      <w:lvlJc w:val="left"/>
      <w:pPr>
        <w:ind w:left="2356" w:hanging="267"/>
      </w:pPr>
      <w:rPr>
        <w:rFonts w:hint="default"/>
        <w:lang w:val="tr-TR" w:eastAsia="en-US" w:bidi="ar-SA"/>
      </w:rPr>
    </w:lvl>
    <w:lvl w:ilvl="2" w:tplc="B36A5998">
      <w:numFmt w:val="bullet"/>
      <w:lvlText w:val="•"/>
      <w:lvlJc w:val="left"/>
      <w:pPr>
        <w:ind w:left="3133" w:hanging="267"/>
      </w:pPr>
      <w:rPr>
        <w:rFonts w:hint="default"/>
        <w:lang w:val="tr-TR" w:eastAsia="en-US" w:bidi="ar-SA"/>
      </w:rPr>
    </w:lvl>
    <w:lvl w:ilvl="3" w:tplc="71425D22">
      <w:numFmt w:val="bullet"/>
      <w:lvlText w:val="•"/>
      <w:lvlJc w:val="left"/>
      <w:pPr>
        <w:ind w:left="3909" w:hanging="267"/>
      </w:pPr>
      <w:rPr>
        <w:rFonts w:hint="default"/>
        <w:lang w:val="tr-TR" w:eastAsia="en-US" w:bidi="ar-SA"/>
      </w:rPr>
    </w:lvl>
    <w:lvl w:ilvl="4" w:tplc="4D90187E">
      <w:numFmt w:val="bullet"/>
      <w:lvlText w:val="•"/>
      <w:lvlJc w:val="left"/>
      <w:pPr>
        <w:ind w:left="4686" w:hanging="267"/>
      </w:pPr>
      <w:rPr>
        <w:rFonts w:hint="default"/>
        <w:lang w:val="tr-TR" w:eastAsia="en-US" w:bidi="ar-SA"/>
      </w:rPr>
    </w:lvl>
    <w:lvl w:ilvl="5" w:tplc="F2CE6780">
      <w:numFmt w:val="bullet"/>
      <w:lvlText w:val="•"/>
      <w:lvlJc w:val="left"/>
      <w:pPr>
        <w:ind w:left="5463" w:hanging="267"/>
      </w:pPr>
      <w:rPr>
        <w:rFonts w:hint="default"/>
        <w:lang w:val="tr-TR" w:eastAsia="en-US" w:bidi="ar-SA"/>
      </w:rPr>
    </w:lvl>
    <w:lvl w:ilvl="6" w:tplc="22E28C5A">
      <w:numFmt w:val="bullet"/>
      <w:lvlText w:val="•"/>
      <w:lvlJc w:val="left"/>
      <w:pPr>
        <w:ind w:left="6239" w:hanging="267"/>
      </w:pPr>
      <w:rPr>
        <w:rFonts w:hint="default"/>
        <w:lang w:val="tr-TR" w:eastAsia="en-US" w:bidi="ar-SA"/>
      </w:rPr>
    </w:lvl>
    <w:lvl w:ilvl="7" w:tplc="F466B006">
      <w:numFmt w:val="bullet"/>
      <w:lvlText w:val="•"/>
      <w:lvlJc w:val="left"/>
      <w:pPr>
        <w:ind w:left="7016" w:hanging="267"/>
      </w:pPr>
      <w:rPr>
        <w:rFonts w:hint="default"/>
        <w:lang w:val="tr-TR" w:eastAsia="en-US" w:bidi="ar-SA"/>
      </w:rPr>
    </w:lvl>
    <w:lvl w:ilvl="8" w:tplc="62920776">
      <w:numFmt w:val="bullet"/>
      <w:lvlText w:val="•"/>
      <w:lvlJc w:val="left"/>
      <w:pPr>
        <w:ind w:left="7793" w:hanging="267"/>
      </w:pPr>
      <w:rPr>
        <w:rFonts w:hint="default"/>
        <w:lang w:val="tr-TR" w:eastAsia="en-US" w:bidi="ar-SA"/>
      </w:rPr>
    </w:lvl>
  </w:abstractNum>
  <w:abstractNum w:abstractNumId="39"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40" w15:restartNumberingAfterBreak="0">
    <w:nsid w:val="33742014"/>
    <w:multiLevelType w:val="multilevel"/>
    <w:tmpl w:val="782C8D12"/>
    <w:lvl w:ilvl="0">
      <w:start w:val="1"/>
      <w:numFmt w:val="decimal"/>
      <w:lvlText w:val="%1"/>
      <w:lvlJc w:val="left"/>
      <w:pPr>
        <w:ind w:left="477" w:hanging="360"/>
      </w:pPr>
      <w:rPr>
        <w:rFonts w:hint="default"/>
        <w:lang w:val="tr-TR" w:eastAsia="en-US" w:bidi="ar-SA"/>
      </w:rPr>
    </w:lvl>
    <w:lvl w:ilvl="1">
      <w:start w:val="2"/>
      <w:numFmt w:val="decimal"/>
      <w:lvlText w:val="%1.%2."/>
      <w:lvlJc w:val="left"/>
      <w:pPr>
        <w:ind w:left="477" w:hanging="360"/>
      </w:pPr>
      <w:rPr>
        <w:rFonts w:ascii="Calibri" w:eastAsia="Calibri" w:hAnsi="Calibri" w:cs="Calibri" w:hint="default"/>
        <w:b/>
        <w:bCs/>
        <w:i w:val="0"/>
        <w:iCs w:val="0"/>
        <w:spacing w:val="-2"/>
        <w:w w:val="100"/>
        <w:sz w:val="20"/>
        <w:szCs w:val="20"/>
        <w:lang w:val="tr-TR" w:eastAsia="en-US" w:bidi="ar-SA"/>
      </w:rPr>
    </w:lvl>
    <w:lvl w:ilvl="2">
      <w:start w:val="1"/>
      <w:numFmt w:val="decimal"/>
      <w:lvlText w:val="%1.%2.%3."/>
      <w:lvlJc w:val="left"/>
      <w:pPr>
        <w:ind w:left="837" w:hanging="721"/>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37" w:hanging="361"/>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55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5">
      <w:start w:val="1"/>
      <w:numFmt w:val="lowerLetter"/>
      <w:lvlText w:val="%6)"/>
      <w:lvlJc w:val="left"/>
      <w:pPr>
        <w:ind w:left="1555" w:hanging="300"/>
      </w:pPr>
      <w:rPr>
        <w:rFonts w:ascii="Calibri" w:eastAsia="Calibri" w:hAnsi="Calibri" w:cs="Calibri" w:hint="default"/>
        <w:b w:val="0"/>
        <w:bCs w:val="0"/>
        <w:i/>
        <w:iCs/>
        <w:spacing w:val="-1"/>
        <w:w w:val="100"/>
        <w:sz w:val="22"/>
        <w:szCs w:val="22"/>
        <w:lang w:val="tr-TR" w:eastAsia="en-US" w:bidi="ar-SA"/>
      </w:rPr>
    </w:lvl>
    <w:lvl w:ilvl="6">
      <w:numFmt w:val="bullet"/>
      <w:lvlText w:val="•"/>
      <w:lvlJc w:val="left"/>
      <w:pPr>
        <w:ind w:left="5014" w:hanging="300"/>
      </w:pPr>
      <w:rPr>
        <w:rFonts w:hint="default"/>
        <w:lang w:val="tr-TR" w:eastAsia="en-US" w:bidi="ar-SA"/>
      </w:rPr>
    </w:lvl>
    <w:lvl w:ilvl="7">
      <w:numFmt w:val="bullet"/>
      <w:lvlText w:val="•"/>
      <w:lvlJc w:val="left"/>
      <w:pPr>
        <w:ind w:left="6092" w:hanging="300"/>
      </w:pPr>
      <w:rPr>
        <w:rFonts w:hint="default"/>
        <w:lang w:val="tr-TR" w:eastAsia="en-US" w:bidi="ar-SA"/>
      </w:rPr>
    </w:lvl>
    <w:lvl w:ilvl="8">
      <w:numFmt w:val="bullet"/>
      <w:lvlText w:val="•"/>
      <w:lvlJc w:val="left"/>
      <w:pPr>
        <w:ind w:left="7170" w:hanging="300"/>
      </w:pPr>
      <w:rPr>
        <w:rFonts w:hint="default"/>
        <w:lang w:val="tr-TR" w:eastAsia="en-US" w:bidi="ar-SA"/>
      </w:rPr>
    </w:lvl>
  </w:abstractNum>
  <w:abstractNum w:abstractNumId="41" w15:restartNumberingAfterBreak="0">
    <w:nsid w:val="33EA4DA2"/>
    <w:multiLevelType w:val="hybridMultilevel"/>
    <w:tmpl w:val="20D0466E"/>
    <w:lvl w:ilvl="0" w:tplc="E4784AD4">
      <w:start w:val="340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34BD9229"/>
    <w:multiLevelType w:val="hybridMultilevel"/>
    <w:tmpl w:val="35FA1CB6"/>
    <w:lvl w:ilvl="0" w:tplc="C3B826D4">
      <w:start w:val="3403"/>
      <w:numFmt w:val="bullet"/>
      <w:lvlText w:val="-"/>
      <w:lvlJc w:val="left"/>
      <w:pPr>
        <w:ind w:left="1440" w:hanging="360"/>
      </w:pPr>
      <w:rPr>
        <w:rFonts w:ascii="Times New Roman" w:hAnsi="Times New Roman" w:hint="default"/>
      </w:rPr>
    </w:lvl>
    <w:lvl w:ilvl="1" w:tplc="EBA47778">
      <w:start w:val="1"/>
      <w:numFmt w:val="bullet"/>
      <w:lvlText w:val="o"/>
      <w:lvlJc w:val="left"/>
      <w:pPr>
        <w:ind w:left="1440" w:hanging="360"/>
      </w:pPr>
      <w:rPr>
        <w:rFonts w:ascii="Courier New" w:hAnsi="Courier New" w:hint="default"/>
      </w:rPr>
    </w:lvl>
    <w:lvl w:ilvl="2" w:tplc="A97689E6">
      <w:start w:val="1"/>
      <w:numFmt w:val="bullet"/>
      <w:lvlText w:val=""/>
      <w:lvlJc w:val="left"/>
      <w:pPr>
        <w:ind w:left="2160" w:hanging="360"/>
      </w:pPr>
      <w:rPr>
        <w:rFonts w:ascii="Wingdings" w:hAnsi="Wingdings" w:hint="default"/>
      </w:rPr>
    </w:lvl>
    <w:lvl w:ilvl="3" w:tplc="C994C5E6">
      <w:start w:val="1"/>
      <w:numFmt w:val="bullet"/>
      <w:lvlText w:val=""/>
      <w:lvlJc w:val="left"/>
      <w:pPr>
        <w:ind w:left="2880" w:hanging="360"/>
      </w:pPr>
      <w:rPr>
        <w:rFonts w:ascii="Symbol" w:hAnsi="Symbol" w:hint="default"/>
      </w:rPr>
    </w:lvl>
    <w:lvl w:ilvl="4" w:tplc="B91A904E">
      <w:start w:val="1"/>
      <w:numFmt w:val="bullet"/>
      <w:lvlText w:val="o"/>
      <w:lvlJc w:val="left"/>
      <w:pPr>
        <w:ind w:left="3600" w:hanging="360"/>
      </w:pPr>
      <w:rPr>
        <w:rFonts w:ascii="Courier New" w:hAnsi="Courier New" w:hint="default"/>
      </w:rPr>
    </w:lvl>
    <w:lvl w:ilvl="5" w:tplc="7BC8309E">
      <w:start w:val="1"/>
      <w:numFmt w:val="bullet"/>
      <w:lvlText w:val=""/>
      <w:lvlJc w:val="left"/>
      <w:pPr>
        <w:ind w:left="4320" w:hanging="360"/>
      </w:pPr>
      <w:rPr>
        <w:rFonts w:ascii="Wingdings" w:hAnsi="Wingdings" w:hint="default"/>
      </w:rPr>
    </w:lvl>
    <w:lvl w:ilvl="6" w:tplc="91FAA0F6">
      <w:start w:val="1"/>
      <w:numFmt w:val="bullet"/>
      <w:lvlText w:val=""/>
      <w:lvlJc w:val="left"/>
      <w:pPr>
        <w:ind w:left="5040" w:hanging="360"/>
      </w:pPr>
      <w:rPr>
        <w:rFonts w:ascii="Symbol" w:hAnsi="Symbol" w:hint="default"/>
      </w:rPr>
    </w:lvl>
    <w:lvl w:ilvl="7" w:tplc="7EAAB4D4">
      <w:start w:val="1"/>
      <w:numFmt w:val="bullet"/>
      <w:lvlText w:val="o"/>
      <w:lvlJc w:val="left"/>
      <w:pPr>
        <w:ind w:left="5760" w:hanging="360"/>
      </w:pPr>
      <w:rPr>
        <w:rFonts w:ascii="Courier New" w:hAnsi="Courier New" w:hint="default"/>
      </w:rPr>
    </w:lvl>
    <w:lvl w:ilvl="8" w:tplc="AB2A13CE">
      <w:start w:val="1"/>
      <w:numFmt w:val="bullet"/>
      <w:lvlText w:val=""/>
      <w:lvlJc w:val="left"/>
      <w:pPr>
        <w:ind w:left="6480" w:hanging="360"/>
      </w:pPr>
      <w:rPr>
        <w:rFonts w:ascii="Wingdings" w:hAnsi="Wingdings" w:hint="default"/>
      </w:rPr>
    </w:lvl>
  </w:abstractNum>
  <w:abstractNum w:abstractNumId="44" w15:restartNumberingAfterBreak="0">
    <w:nsid w:val="35BE6D2E"/>
    <w:multiLevelType w:val="multilevel"/>
    <w:tmpl w:val="50CE495E"/>
    <w:lvl w:ilvl="0">
      <w:start w:val="1"/>
      <w:numFmt w:val="decimal"/>
      <w:lvlText w:val="%1."/>
      <w:lvlJc w:val="left"/>
      <w:pPr>
        <w:ind w:left="496" w:hanging="361"/>
      </w:pPr>
      <w:rPr>
        <w:rFonts w:ascii="Calibri" w:eastAsia="Calibri" w:hAnsi="Calibri" w:cs="Calibri" w:hint="default"/>
        <w:b/>
        <w:bCs/>
        <w:i w:val="0"/>
        <w:iCs w:val="0"/>
        <w:spacing w:val="0"/>
        <w:w w:val="100"/>
        <w:sz w:val="22"/>
        <w:szCs w:val="22"/>
        <w:lang w:val="tr-TR" w:eastAsia="en-US" w:bidi="ar-SA"/>
      </w:rPr>
    </w:lvl>
    <w:lvl w:ilvl="1">
      <w:start w:val="1"/>
      <w:numFmt w:val="decimal"/>
      <w:lvlText w:val="%1.%2."/>
      <w:lvlJc w:val="left"/>
      <w:pPr>
        <w:ind w:left="496" w:hanging="360"/>
      </w:pPr>
      <w:rPr>
        <w:rFonts w:ascii="Calibri" w:eastAsia="Calibri" w:hAnsi="Calibri" w:cs="Calibri" w:hint="default"/>
        <w:b/>
        <w:bCs/>
        <w:i w:val="0"/>
        <w:iCs w:val="0"/>
        <w:spacing w:val="-2"/>
        <w:w w:val="100"/>
        <w:sz w:val="20"/>
        <w:szCs w:val="20"/>
        <w:lang w:val="tr-TR" w:eastAsia="en-US" w:bidi="ar-SA"/>
      </w:rPr>
    </w:lvl>
    <w:lvl w:ilvl="2">
      <w:start w:val="1"/>
      <w:numFmt w:val="decimal"/>
      <w:lvlText w:val="%1.%2.%3."/>
      <w:lvlJc w:val="left"/>
      <w:pPr>
        <w:ind w:left="856" w:hanging="721"/>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56" w:hanging="358"/>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576"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5">
      <w:start w:val="1"/>
      <w:numFmt w:val="lowerLetter"/>
      <w:lvlText w:val="%6)"/>
      <w:lvlJc w:val="left"/>
      <w:pPr>
        <w:ind w:left="1576" w:hanging="233"/>
      </w:pPr>
      <w:rPr>
        <w:rFonts w:ascii="Calibri" w:eastAsia="Calibri" w:hAnsi="Calibri" w:cs="Calibri" w:hint="default"/>
        <w:b w:val="0"/>
        <w:bCs w:val="0"/>
        <w:i/>
        <w:iCs/>
        <w:spacing w:val="-1"/>
        <w:w w:val="100"/>
        <w:sz w:val="22"/>
        <w:szCs w:val="22"/>
        <w:lang w:val="tr-TR" w:eastAsia="en-US" w:bidi="ar-SA"/>
      </w:rPr>
    </w:lvl>
    <w:lvl w:ilvl="6">
      <w:start w:val="1"/>
      <w:numFmt w:val="decimal"/>
      <w:lvlText w:val="%7)"/>
      <w:lvlJc w:val="left"/>
      <w:pPr>
        <w:ind w:left="1806" w:hanging="231"/>
      </w:pPr>
      <w:rPr>
        <w:rFonts w:ascii="Calibri" w:eastAsia="Calibri" w:hAnsi="Calibri" w:cs="Calibri" w:hint="default"/>
        <w:b w:val="0"/>
        <w:bCs w:val="0"/>
        <w:i/>
        <w:iCs/>
        <w:spacing w:val="0"/>
        <w:w w:val="100"/>
        <w:sz w:val="22"/>
        <w:szCs w:val="22"/>
        <w:lang w:val="tr-TR" w:eastAsia="en-US" w:bidi="ar-SA"/>
      </w:rPr>
    </w:lvl>
    <w:lvl w:ilvl="7">
      <w:numFmt w:val="bullet"/>
      <w:lvlText w:val="•"/>
      <w:lvlJc w:val="left"/>
      <w:pPr>
        <w:ind w:left="6112" w:hanging="231"/>
      </w:pPr>
      <w:rPr>
        <w:rFonts w:hint="default"/>
        <w:lang w:val="tr-TR" w:eastAsia="en-US" w:bidi="ar-SA"/>
      </w:rPr>
    </w:lvl>
    <w:lvl w:ilvl="8">
      <w:numFmt w:val="bullet"/>
      <w:lvlText w:val="•"/>
      <w:lvlJc w:val="left"/>
      <w:pPr>
        <w:ind w:left="7190" w:hanging="231"/>
      </w:pPr>
      <w:rPr>
        <w:rFonts w:hint="default"/>
        <w:lang w:val="tr-TR" w:eastAsia="en-US" w:bidi="ar-SA"/>
      </w:rPr>
    </w:lvl>
  </w:abstractNum>
  <w:abstractNum w:abstractNumId="45" w15:restartNumberingAfterBreak="0">
    <w:nsid w:val="36CC79FA"/>
    <w:multiLevelType w:val="hybridMultilevel"/>
    <w:tmpl w:val="6714FA72"/>
    <w:lvl w:ilvl="0" w:tplc="96BE9946">
      <w:start w:val="1"/>
      <w:numFmt w:val="decimal"/>
      <w:lvlText w:val="%1)"/>
      <w:lvlJc w:val="left"/>
      <w:pPr>
        <w:ind w:left="1195" w:hanging="360"/>
      </w:pPr>
      <w:rPr>
        <w:rFonts w:ascii="Calibri" w:eastAsia="Calibri" w:hAnsi="Calibri" w:cs="Calibri" w:hint="default"/>
        <w:b/>
        <w:bCs/>
        <w:i w:val="0"/>
        <w:iCs w:val="0"/>
        <w:spacing w:val="0"/>
        <w:w w:val="100"/>
        <w:sz w:val="22"/>
        <w:szCs w:val="22"/>
        <w:lang w:val="tr-TR" w:eastAsia="en-US" w:bidi="ar-SA"/>
      </w:rPr>
    </w:lvl>
    <w:lvl w:ilvl="1" w:tplc="84CC203E">
      <w:start w:val="1"/>
      <w:numFmt w:val="lowerLetter"/>
      <w:lvlText w:val="%2)"/>
      <w:lvlJc w:val="left"/>
      <w:pPr>
        <w:ind w:left="1195" w:hanging="257"/>
      </w:pPr>
      <w:rPr>
        <w:rFonts w:ascii="Calibri" w:eastAsia="Calibri" w:hAnsi="Calibri" w:cs="Calibri" w:hint="default"/>
        <w:b/>
        <w:bCs/>
        <w:i w:val="0"/>
        <w:iCs w:val="0"/>
        <w:spacing w:val="-1"/>
        <w:w w:val="100"/>
        <w:sz w:val="22"/>
        <w:szCs w:val="22"/>
        <w:lang w:val="tr-TR" w:eastAsia="en-US" w:bidi="ar-SA"/>
      </w:rPr>
    </w:lvl>
    <w:lvl w:ilvl="2" w:tplc="533C876A">
      <w:numFmt w:val="bullet"/>
      <w:lvlText w:val="•"/>
      <w:lvlJc w:val="left"/>
      <w:pPr>
        <w:ind w:left="2825" w:hanging="257"/>
      </w:pPr>
      <w:rPr>
        <w:rFonts w:hint="default"/>
        <w:lang w:val="tr-TR" w:eastAsia="en-US" w:bidi="ar-SA"/>
      </w:rPr>
    </w:lvl>
    <w:lvl w:ilvl="3" w:tplc="6F766C88">
      <w:numFmt w:val="bullet"/>
      <w:lvlText w:val="•"/>
      <w:lvlJc w:val="left"/>
      <w:pPr>
        <w:ind w:left="3637" w:hanging="257"/>
      </w:pPr>
      <w:rPr>
        <w:rFonts w:hint="default"/>
        <w:lang w:val="tr-TR" w:eastAsia="en-US" w:bidi="ar-SA"/>
      </w:rPr>
    </w:lvl>
    <w:lvl w:ilvl="4" w:tplc="1602C398">
      <w:numFmt w:val="bullet"/>
      <w:lvlText w:val="•"/>
      <w:lvlJc w:val="left"/>
      <w:pPr>
        <w:ind w:left="4450" w:hanging="257"/>
      </w:pPr>
      <w:rPr>
        <w:rFonts w:hint="default"/>
        <w:lang w:val="tr-TR" w:eastAsia="en-US" w:bidi="ar-SA"/>
      </w:rPr>
    </w:lvl>
    <w:lvl w:ilvl="5" w:tplc="391A1C7A">
      <w:numFmt w:val="bullet"/>
      <w:lvlText w:val="•"/>
      <w:lvlJc w:val="left"/>
      <w:pPr>
        <w:ind w:left="5263" w:hanging="257"/>
      </w:pPr>
      <w:rPr>
        <w:rFonts w:hint="default"/>
        <w:lang w:val="tr-TR" w:eastAsia="en-US" w:bidi="ar-SA"/>
      </w:rPr>
    </w:lvl>
    <w:lvl w:ilvl="6" w:tplc="B9020B28">
      <w:numFmt w:val="bullet"/>
      <w:lvlText w:val="•"/>
      <w:lvlJc w:val="left"/>
      <w:pPr>
        <w:ind w:left="6075" w:hanging="257"/>
      </w:pPr>
      <w:rPr>
        <w:rFonts w:hint="default"/>
        <w:lang w:val="tr-TR" w:eastAsia="en-US" w:bidi="ar-SA"/>
      </w:rPr>
    </w:lvl>
    <w:lvl w:ilvl="7" w:tplc="67CEA43C">
      <w:numFmt w:val="bullet"/>
      <w:lvlText w:val="•"/>
      <w:lvlJc w:val="left"/>
      <w:pPr>
        <w:ind w:left="6888" w:hanging="257"/>
      </w:pPr>
      <w:rPr>
        <w:rFonts w:hint="default"/>
        <w:lang w:val="tr-TR" w:eastAsia="en-US" w:bidi="ar-SA"/>
      </w:rPr>
    </w:lvl>
    <w:lvl w:ilvl="8" w:tplc="FF7A9F1A">
      <w:numFmt w:val="bullet"/>
      <w:lvlText w:val="•"/>
      <w:lvlJc w:val="left"/>
      <w:pPr>
        <w:ind w:left="7701" w:hanging="257"/>
      </w:pPr>
      <w:rPr>
        <w:rFonts w:hint="default"/>
        <w:lang w:val="tr-TR" w:eastAsia="en-US" w:bidi="ar-SA"/>
      </w:rPr>
    </w:lvl>
  </w:abstractNum>
  <w:abstractNum w:abstractNumId="46" w15:restartNumberingAfterBreak="0">
    <w:nsid w:val="36EA5AFE"/>
    <w:multiLevelType w:val="hybridMultilevel"/>
    <w:tmpl w:val="2C58AE0E"/>
    <w:lvl w:ilvl="0" w:tplc="BE3C93F6">
      <w:start w:val="1"/>
      <w:numFmt w:val="decimal"/>
      <w:lvlText w:val="%1)"/>
      <w:lvlJc w:val="left"/>
      <w:pPr>
        <w:ind w:left="1109" w:hanging="260"/>
      </w:pPr>
      <w:rPr>
        <w:rFonts w:ascii="Calibri" w:eastAsia="Calibri" w:hAnsi="Calibri" w:cs="Calibri" w:hint="default"/>
        <w:b/>
        <w:bCs/>
        <w:i w:val="0"/>
        <w:iCs w:val="0"/>
        <w:spacing w:val="0"/>
        <w:w w:val="100"/>
        <w:sz w:val="22"/>
        <w:szCs w:val="22"/>
        <w:lang w:val="tr-TR" w:eastAsia="en-US" w:bidi="ar-SA"/>
      </w:rPr>
    </w:lvl>
    <w:lvl w:ilvl="1" w:tplc="E37CBD00">
      <w:numFmt w:val="bullet"/>
      <w:lvlText w:val="•"/>
      <w:lvlJc w:val="left"/>
      <w:pPr>
        <w:ind w:left="1922" w:hanging="260"/>
      </w:pPr>
      <w:rPr>
        <w:rFonts w:hint="default"/>
        <w:lang w:val="tr-TR" w:eastAsia="en-US" w:bidi="ar-SA"/>
      </w:rPr>
    </w:lvl>
    <w:lvl w:ilvl="2" w:tplc="1A30F6DC">
      <w:numFmt w:val="bullet"/>
      <w:lvlText w:val="•"/>
      <w:lvlJc w:val="left"/>
      <w:pPr>
        <w:ind w:left="2745" w:hanging="260"/>
      </w:pPr>
      <w:rPr>
        <w:rFonts w:hint="default"/>
        <w:lang w:val="tr-TR" w:eastAsia="en-US" w:bidi="ar-SA"/>
      </w:rPr>
    </w:lvl>
    <w:lvl w:ilvl="3" w:tplc="12525AEC">
      <w:numFmt w:val="bullet"/>
      <w:lvlText w:val="•"/>
      <w:lvlJc w:val="left"/>
      <w:pPr>
        <w:ind w:left="3567" w:hanging="260"/>
      </w:pPr>
      <w:rPr>
        <w:rFonts w:hint="default"/>
        <w:lang w:val="tr-TR" w:eastAsia="en-US" w:bidi="ar-SA"/>
      </w:rPr>
    </w:lvl>
    <w:lvl w:ilvl="4" w:tplc="A06A9C78">
      <w:numFmt w:val="bullet"/>
      <w:lvlText w:val="•"/>
      <w:lvlJc w:val="left"/>
      <w:pPr>
        <w:ind w:left="4390" w:hanging="260"/>
      </w:pPr>
      <w:rPr>
        <w:rFonts w:hint="default"/>
        <w:lang w:val="tr-TR" w:eastAsia="en-US" w:bidi="ar-SA"/>
      </w:rPr>
    </w:lvl>
    <w:lvl w:ilvl="5" w:tplc="54BC20EC">
      <w:numFmt w:val="bullet"/>
      <w:lvlText w:val="•"/>
      <w:lvlJc w:val="left"/>
      <w:pPr>
        <w:ind w:left="5213" w:hanging="260"/>
      </w:pPr>
      <w:rPr>
        <w:rFonts w:hint="default"/>
        <w:lang w:val="tr-TR" w:eastAsia="en-US" w:bidi="ar-SA"/>
      </w:rPr>
    </w:lvl>
    <w:lvl w:ilvl="6" w:tplc="54E0804E">
      <w:numFmt w:val="bullet"/>
      <w:lvlText w:val="•"/>
      <w:lvlJc w:val="left"/>
      <w:pPr>
        <w:ind w:left="6035" w:hanging="260"/>
      </w:pPr>
      <w:rPr>
        <w:rFonts w:hint="default"/>
        <w:lang w:val="tr-TR" w:eastAsia="en-US" w:bidi="ar-SA"/>
      </w:rPr>
    </w:lvl>
    <w:lvl w:ilvl="7" w:tplc="B8263A38">
      <w:numFmt w:val="bullet"/>
      <w:lvlText w:val="•"/>
      <w:lvlJc w:val="left"/>
      <w:pPr>
        <w:ind w:left="6858" w:hanging="260"/>
      </w:pPr>
      <w:rPr>
        <w:rFonts w:hint="default"/>
        <w:lang w:val="tr-TR" w:eastAsia="en-US" w:bidi="ar-SA"/>
      </w:rPr>
    </w:lvl>
    <w:lvl w:ilvl="8" w:tplc="C38ED40C">
      <w:numFmt w:val="bullet"/>
      <w:lvlText w:val="•"/>
      <w:lvlJc w:val="left"/>
      <w:pPr>
        <w:ind w:left="7681" w:hanging="260"/>
      </w:pPr>
      <w:rPr>
        <w:rFonts w:hint="default"/>
        <w:lang w:val="tr-TR" w:eastAsia="en-US" w:bidi="ar-SA"/>
      </w:rPr>
    </w:lvl>
  </w:abstractNum>
  <w:abstractNum w:abstractNumId="47" w15:restartNumberingAfterBreak="0">
    <w:nsid w:val="396F182B"/>
    <w:multiLevelType w:val="multilevel"/>
    <w:tmpl w:val="6B4A6B4C"/>
    <w:lvl w:ilvl="0">
      <w:start w:val="1"/>
      <w:numFmt w:val="bullet"/>
      <w:lvlText w:val=""/>
      <w:lvlJc w:val="left"/>
      <w:pPr>
        <w:ind w:left="477" w:hanging="360"/>
      </w:pPr>
      <w:rPr>
        <w:rFonts w:ascii="Symbol" w:hAnsi="Symbol" w:hint="default"/>
        <w:lang w:val="tr-TR" w:eastAsia="en-US" w:bidi="ar-SA"/>
      </w:rPr>
    </w:lvl>
    <w:lvl w:ilvl="1">
      <w:start w:val="2"/>
      <w:numFmt w:val="decimal"/>
      <w:lvlText w:val="%1.%2."/>
      <w:lvlJc w:val="left"/>
      <w:pPr>
        <w:ind w:left="477" w:hanging="360"/>
      </w:pPr>
      <w:rPr>
        <w:rFonts w:ascii="Calibri" w:eastAsia="Calibri" w:hAnsi="Calibri" w:cs="Calibri" w:hint="default"/>
        <w:b/>
        <w:bCs/>
        <w:i w:val="0"/>
        <w:iCs w:val="0"/>
        <w:spacing w:val="-2"/>
        <w:w w:val="100"/>
        <w:sz w:val="20"/>
        <w:szCs w:val="20"/>
        <w:lang w:val="tr-TR" w:eastAsia="en-US" w:bidi="ar-SA"/>
      </w:rPr>
    </w:lvl>
    <w:lvl w:ilvl="2">
      <w:start w:val="1"/>
      <w:numFmt w:val="decimal"/>
      <w:lvlText w:val="%1.%2.%3."/>
      <w:lvlJc w:val="left"/>
      <w:pPr>
        <w:ind w:left="837" w:hanging="721"/>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37" w:hanging="361"/>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55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5">
      <w:start w:val="1"/>
      <w:numFmt w:val="lowerLetter"/>
      <w:lvlText w:val="%6)"/>
      <w:lvlJc w:val="left"/>
      <w:pPr>
        <w:ind w:left="1555" w:hanging="300"/>
      </w:pPr>
      <w:rPr>
        <w:rFonts w:ascii="Calibri" w:eastAsia="Calibri" w:hAnsi="Calibri" w:cs="Calibri" w:hint="default"/>
        <w:b w:val="0"/>
        <w:bCs w:val="0"/>
        <w:i/>
        <w:iCs/>
        <w:spacing w:val="-1"/>
        <w:w w:val="100"/>
        <w:sz w:val="22"/>
        <w:szCs w:val="22"/>
        <w:lang w:val="tr-TR" w:eastAsia="en-US" w:bidi="ar-SA"/>
      </w:rPr>
    </w:lvl>
    <w:lvl w:ilvl="6">
      <w:numFmt w:val="bullet"/>
      <w:lvlText w:val="•"/>
      <w:lvlJc w:val="left"/>
      <w:pPr>
        <w:ind w:left="5014" w:hanging="300"/>
      </w:pPr>
      <w:rPr>
        <w:rFonts w:hint="default"/>
        <w:lang w:val="tr-TR" w:eastAsia="en-US" w:bidi="ar-SA"/>
      </w:rPr>
    </w:lvl>
    <w:lvl w:ilvl="7">
      <w:numFmt w:val="bullet"/>
      <w:lvlText w:val="•"/>
      <w:lvlJc w:val="left"/>
      <w:pPr>
        <w:ind w:left="6092" w:hanging="300"/>
      </w:pPr>
      <w:rPr>
        <w:rFonts w:hint="default"/>
        <w:lang w:val="tr-TR" w:eastAsia="en-US" w:bidi="ar-SA"/>
      </w:rPr>
    </w:lvl>
    <w:lvl w:ilvl="8">
      <w:numFmt w:val="bullet"/>
      <w:lvlText w:val="•"/>
      <w:lvlJc w:val="left"/>
      <w:pPr>
        <w:ind w:left="7170" w:hanging="300"/>
      </w:pPr>
      <w:rPr>
        <w:rFonts w:hint="default"/>
        <w:lang w:val="tr-TR" w:eastAsia="en-US" w:bidi="ar-SA"/>
      </w:rPr>
    </w:lvl>
  </w:abstractNum>
  <w:abstractNum w:abstractNumId="48" w15:restartNumberingAfterBreak="0">
    <w:nsid w:val="39DB3701"/>
    <w:multiLevelType w:val="multilevel"/>
    <w:tmpl w:val="520C2728"/>
    <w:lvl w:ilvl="0">
      <w:start w:val="1"/>
      <w:numFmt w:val="decimal"/>
      <w:lvlText w:val="%1"/>
      <w:lvlJc w:val="left"/>
      <w:pPr>
        <w:ind w:left="836" w:hanging="721"/>
      </w:pPr>
      <w:rPr>
        <w:rFonts w:hint="default"/>
        <w:lang w:val="tr-TR" w:eastAsia="en-US" w:bidi="ar-SA"/>
      </w:rPr>
    </w:lvl>
    <w:lvl w:ilvl="1">
      <w:start w:val="1"/>
      <w:numFmt w:val="decimal"/>
      <w:lvlText w:val="%1.%2"/>
      <w:lvlJc w:val="left"/>
      <w:pPr>
        <w:ind w:left="836" w:hanging="721"/>
      </w:pPr>
      <w:rPr>
        <w:rFonts w:hint="default"/>
        <w:lang w:val="tr-TR" w:eastAsia="en-US" w:bidi="ar-SA"/>
      </w:rPr>
    </w:lvl>
    <w:lvl w:ilvl="2">
      <w:start w:val="1"/>
      <w:numFmt w:val="decimal"/>
      <w:lvlText w:val="%1.%2.%3."/>
      <w:lvlJc w:val="left"/>
      <w:pPr>
        <w:ind w:left="836" w:hanging="721"/>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29" w:hanging="356"/>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155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5">
      <w:start w:val="1"/>
      <w:numFmt w:val="lowerLetter"/>
      <w:lvlText w:val="%6)"/>
      <w:lvlJc w:val="left"/>
      <w:pPr>
        <w:ind w:left="1557" w:hanging="226"/>
      </w:pPr>
      <w:rPr>
        <w:rFonts w:ascii="Calibri" w:eastAsia="Calibri" w:hAnsi="Calibri" w:cs="Calibri" w:hint="default"/>
        <w:b w:val="0"/>
        <w:bCs w:val="0"/>
        <w:i/>
        <w:iCs/>
        <w:spacing w:val="-1"/>
        <w:w w:val="100"/>
        <w:sz w:val="22"/>
        <w:szCs w:val="22"/>
        <w:lang w:val="tr-TR" w:eastAsia="en-US" w:bidi="ar-SA"/>
      </w:rPr>
    </w:lvl>
    <w:lvl w:ilvl="6">
      <w:numFmt w:val="bullet"/>
      <w:lvlText w:val="•"/>
      <w:lvlJc w:val="left"/>
      <w:pPr>
        <w:ind w:left="5443" w:hanging="226"/>
      </w:pPr>
      <w:rPr>
        <w:rFonts w:hint="default"/>
        <w:lang w:val="tr-TR" w:eastAsia="en-US" w:bidi="ar-SA"/>
      </w:rPr>
    </w:lvl>
    <w:lvl w:ilvl="7">
      <w:numFmt w:val="bullet"/>
      <w:lvlText w:val="•"/>
      <w:lvlJc w:val="left"/>
      <w:pPr>
        <w:ind w:left="6414" w:hanging="226"/>
      </w:pPr>
      <w:rPr>
        <w:rFonts w:hint="default"/>
        <w:lang w:val="tr-TR" w:eastAsia="en-US" w:bidi="ar-SA"/>
      </w:rPr>
    </w:lvl>
    <w:lvl w:ilvl="8">
      <w:numFmt w:val="bullet"/>
      <w:lvlText w:val="•"/>
      <w:lvlJc w:val="left"/>
      <w:pPr>
        <w:ind w:left="7384" w:hanging="226"/>
      </w:pPr>
      <w:rPr>
        <w:rFonts w:hint="default"/>
        <w:lang w:val="tr-TR" w:eastAsia="en-US" w:bidi="ar-SA"/>
      </w:rPr>
    </w:lvl>
  </w:abstractNum>
  <w:abstractNum w:abstractNumId="49" w15:restartNumberingAfterBreak="0">
    <w:nsid w:val="3A0211BC"/>
    <w:multiLevelType w:val="hybridMultilevel"/>
    <w:tmpl w:val="F98612A2"/>
    <w:lvl w:ilvl="0" w:tplc="29DE9B06">
      <w:start w:val="2"/>
      <w:numFmt w:val="decimal"/>
      <w:lvlText w:val="(%1)"/>
      <w:lvlJc w:val="left"/>
      <w:pPr>
        <w:ind w:left="1575" w:hanging="341"/>
      </w:pPr>
      <w:rPr>
        <w:rFonts w:ascii="Calibri" w:eastAsia="Calibri" w:hAnsi="Calibri" w:cs="Calibri" w:hint="default"/>
        <w:b w:val="0"/>
        <w:bCs w:val="0"/>
        <w:i/>
        <w:iCs/>
        <w:spacing w:val="0"/>
        <w:w w:val="100"/>
        <w:sz w:val="22"/>
        <w:szCs w:val="22"/>
        <w:lang w:val="tr-TR" w:eastAsia="en-US" w:bidi="ar-SA"/>
      </w:rPr>
    </w:lvl>
    <w:lvl w:ilvl="1" w:tplc="A9243766">
      <w:numFmt w:val="bullet"/>
      <w:lvlText w:val="•"/>
      <w:lvlJc w:val="left"/>
      <w:pPr>
        <w:ind w:left="2356" w:hanging="341"/>
      </w:pPr>
      <w:rPr>
        <w:rFonts w:hint="default"/>
        <w:lang w:val="tr-TR" w:eastAsia="en-US" w:bidi="ar-SA"/>
      </w:rPr>
    </w:lvl>
    <w:lvl w:ilvl="2" w:tplc="AF109F20">
      <w:numFmt w:val="bullet"/>
      <w:lvlText w:val="•"/>
      <w:lvlJc w:val="left"/>
      <w:pPr>
        <w:ind w:left="3133" w:hanging="341"/>
      </w:pPr>
      <w:rPr>
        <w:rFonts w:hint="default"/>
        <w:lang w:val="tr-TR" w:eastAsia="en-US" w:bidi="ar-SA"/>
      </w:rPr>
    </w:lvl>
    <w:lvl w:ilvl="3" w:tplc="1CD2F048">
      <w:numFmt w:val="bullet"/>
      <w:lvlText w:val="•"/>
      <w:lvlJc w:val="left"/>
      <w:pPr>
        <w:ind w:left="3909" w:hanging="341"/>
      </w:pPr>
      <w:rPr>
        <w:rFonts w:hint="default"/>
        <w:lang w:val="tr-TR" w:eastAsia="en-US" w:bidi="ar-SA"/>
      </w:rPr>
    </w:lvl>
    <w:lvl w:ilvl="4" w:tplc="80969F34">
      <w:numFmt w:val="bullet"/>
      <w:lvlText w:val="•"/>
      <w:lvlJc w:val="left"/>
      <w:pPr>
        <w:ind w:left="4686" w:hanging="341"/>
      </w:pPr>
      <w:rPr>
        <w:rFonts w:hint="default"/>
        <w:lang w:val="tr-TR" w:eastAsia="en-US" w:bidi="ar-SA"/>
      </w:rPr>
    </w:lvl>
    <w:lvl w:ilvl="5" w:tplc="328A59BE">
      <w:numFmt w:val="bullet"/>
      <w:lvlText w:val="•"/>
      <w:lvlJc w:val="left"/>
      <w:pPr>
        <w:ind w:left="5463" w:hanging="341"/>
      </w:pPr>
      <w:rPr>
        <w:rFonts w:hint="default"/>
        <w:lang w:val="tr-TR" w:eastAsia="en-US" w:bidi="ar-SA"/>
      </w:rPr>
    </w:lvl>
    <w:lvl w:ilvl="6" w:tplc="609A79A8">
      <w:numFmt w:val="bullet"/>
      <w:lvlText w:val="•"/>
      <w:lvlJc w:val="left"/>
      <w:pPr>
        <w:ind w:left="6239" w:hanging="341"/>
      </w:pPr>
      <w:rPr>
        <w:rFonts w:hint="default"/>
        <w:lang w:val="tr-TR" w:eastAsia="en-US" w:bidi="ar-SA"/>
      </w:rPr>
    </w:lvl>
    <w:lvl w:ilvl="7" w:tplc="ABC88E1C">
      <w:numFmt w:val="bullet"/>
      <w:lvlText w:val="•"/>
      <w:lvlJc w:val="left"/>
      <w:pPr>
        <w:ind w:left="7016" w:hanging="341"/>
      </w:pPr>
      <w:rPr>
        <w:rFonts w:hint="default"/>
        <w:lang w:val="tr-TR" w:eastAsia="en-US" w:bidi="ar-SA"/>
      </w:rPr>
    </w:lvl>
    <w:lvl w:ilvl="8" w:tplc="291C6A1A">
      <w:numFmt w:val="bullet"/>
      <w:lvlText w:val="•"/>
      <w:lvlJc w:val="left"/>
      <w:pPr>
        <w:ind w:left="7793" w:hanging="341"/>
      </w:pPr>
      <w:rPr>
        <w:rFonts w:hint="default"/>
        <w:lang w:val="tr-TR" w:eastAsia="en-US" w:bidi="ar-SA"/>
      </w:rPr>
    </w:lvl>
  </w:abstractNum>
  <w:abstractNum w:abstractNumId="50" w15:restartNumberingAfterBreak="0">
    <w:nsid w:val="3E895270"/>
    <w:multiLevelType w:val="hybridMultilevel"/>
    <w:tmpl w:val="C882BF08"/>
    <w:lvl w:ilvl="0" w:tplc="28C8DE8E">
      <w:start w:val="2"/>
      <w:numFmt w:val="decimal"/>
      <w:lvlText w:val="(%1)"/>
      <w:lvlJc w:val="left"/>
      <w:pPr>
        <w:ind w:left="1608" w:hanging="291"/>
      </w:pPr>
      <w:rPr>
        <w:rFonts w:ascii="Calibri" w:eastAsia="Calibri" w:hAnsi="Calibri" w:cs="Calibri" w:hint="default"/>
        <w:b w:val="0"/>
        <w:bCs w:val="0"/>
        <w:i/>
        <w:iCs/>
        <w:spacing w:val="0"/>
        <w:w w:val="100"/>
        <w:sz w:val="22"/>
        <w:szCs w:val="22"/>
        <w:lang w:val="tr-TR" w:eastAsia="en-US" w:bidi="ar-SA"/>
      </w:rPr>
    </w:lvl>
    <w:lvl w:ilvl="1" w:tplc="7BC49D64">
      <w:numFmt w:val="bullet"/>
      <w:lvlText w:val="•"/>
      <w:lvlJc w:val="left"/>
      <w:pPr>
        <w:ind w:left="2456" w:hanging="291"/>
      </w:pPr>
      <w:rPr>
        <w:rFonts w:hint="default"/>
        <w:lang w:val="tr-TR" w:eastAsia="en-US" w:bidi="ar-SA"/>
      </w:rPr>
    </w:lvl>
    <w:lvl w:ilvl="2" w:tplc="90C8B204">
      <w:numFmt w:val="bullet"/>
      <w:lvlText w:val="•"/>
      <w:lvlJc w:val="left"/>
      <w:pPr>
        <w:ind w:left="3313" w:hanging="291"/>
      </w:pPr>
      <w:rPr>
        <w:rFonts w:hint="default"/>
        <w:lang w:val="tr-TR" w:eastAsia="en-US" w:bidi="ar-SA"/>
      </w:rPr>
    </w:lvl>
    <w:lvl w:ilvl="3" w:tplc="CCDA824C">
      <w:numFmt w:val="bullet"/>
      <w:lvlText w:val="•"/>
      <w:lvlJc w:val="left"/>
      <w:pPr>
        <w:ind w:left="4169" w:hanging="291"/>
      </w:pPr>
      <w:rPr>
        <w:rFonts w:hint="default"/>
        <w:lang w:val="tr-TR" w:eastAsia="en-US" w:bidi="ar-SA"/>
      </w:rPr>
    </w:lvl>
    <w:lvl w:ilvl="4" w:tplc="1B5AB432">
      <w:numFmt w:val="bullet"/>
      <w:lvlText w:val="•"/>
      <w:lvlJc w:val="left"/>
      <w:pPr>
        <w:ind w:left="5026" w:hanging="291"/>
      </w:pPr>
      <w:rPr>
        <w:rFonts w:hint="default"/>
        <w:lang w:val="tr-TR" w:eastAsia="en-US" w:bidi="ar-SA"/>
      </w:rPr>
    </w:lvl>
    <w:lvl w:ilvl="5" w:tplc="500AFC60">
      <w:numFmt w:val="bullet"/>
      <w:lvlText w:val="•"/>
      <w:lvlJc w:val="left"/>
      <w:pPr>
        <w:ind w:left="5883" w:hanging="291"/>
      </w:pPr>
      <w:rPr>
        <w:rFonts w:hint="default"/>
        <w:lang w:val="tr-TR" w:eastAsia="en-US" w:bidi="ar-SA"/>
      </w:rPr>
    </w:lvl>
    <w:lvl w:ilvl="6" w:tplc="B50C242C">
      <w:numFmt w:val="bullet"/>
      <w:lvlText w:val="•"/>
      <w:lvlJc w:val="left"/>
      <w:pPr>
        <w:ind w:left="6739" w:hanging="291"/>
      </w:pPr>
      <w:rPr>
        <w:rFonts w:hint="default"/>
        <w:lang w:val="tr-TR" w:eastAsia="en-US" w:bidi="ar-SA"/>
      </w:rPr>
    </w:lvl>
    <w:lvl w:ilvl="7" w:tplc="0728F404">
      <w:numFmt w:val="bullet"/>
      <w:lvlText w:val="•"/>
      <w:lvlJc w:val="left"/>
      <w:pPr>
        <w:ind w:left="7596" w:hanging="291"/>
      </w:pPr>
      <w:rPr>
        <w:rFonts w:hint="default"/>
        <w:lang w:val="tr-TR" w:eastAsia="en-US" w:bidi="ar-SA"/>
      </w:rPr>
    </w:lvl>
    <w:lvl w:ilvl="8" w:tplc="D08065A0">
      <w:numFmt w:val="bullet"/>
      <w:lvlText w:val="•"/>
      <w:lvlJc w:val="left"/>
      <w:pPr>
        <w:ind w:left="8453" w:hanging="291"/>
      </w:pPr>
      <w:rPr>
        <w:rFonts w:hint="default"/>
        <w:lang w:val="tr-TR" w:eastAsia="en-US" w:bidi="ar-SA"/>
      </w:rPr>
    </w:lvl>
  </w:abstractNum>
  <w:abstractNum w:abstractNumId="51" w15:restartNumberingAfterBreak="0">
    <w:nsid w:val="410770CF"/>
    <w:multiLevelType w:val="hybridMultilevel"/>
    <w:tmpl w:val="1CAA2AC6"/>
    <w:lvl w:ilvl="0" w:tplc="6E5E9B62">
      <w:start w:val="10"/>
      <w:numFmt w:val="decimal"/>
      <w:lvlText w:val="(%1)"/>
      <w:lvlJc w:val="left"/>
      <w:pPr>
        <w:ind w:left="1576" w:hanging="440"/>
      </w:pPr>
      <w:rPr>
        <w:rFonts w:ascii="Calibri" w:eastAsia="Calibri" w:hAnsi="Calibri" w:cs="Calibri" w:hint="default"/>
        <w:b w:val="0"/>
        <w:bCs w:val="0"/>
        <w:i/>
        <w:iCs/>
        <w:spacing w:val="0"/>
        <w:w w:val="100"/>
        <w:sz w:val="22"/>
        <w:szCs w:val="22"/>
        <w:lang w:val="tr-TR" w:eastAsia="en-US" w:bidi="ar-SA"/>
      </w:rPr>
    </w:lvl>
    <w:lvl w:ilvl="1" w:tplc="78C49CA0">
      <w:numFmt w:val="bullet"/>
      <w:lvlText w:val="•"/>
      <w:lvlJc w:val="left"/>
      <w:pPr>
        <w:ind w:left="2356" w:hanging="440"/>
      </w:pPr>
      <w:rPr>
        <w:rFonts w:hint="default"/>
        <w:lang w:val="tr-TR" w:eastAsia="en-US" w:bidi="ar-SA"/>
      </w:rPr>
    </w:lvl>
    <w:lvl w:ilvl="2" w:tplc="3190E30A">
      <w:numFmt w:val="bullet"/>
      <w:lvlText w:val="•"/>
      <w:lvlJc w:val="left"/>
      <w:pPr>
        <w:ind w:left="3133" w:hanging="440"/>
      </w:pPr>
      <w:rPr>
        <w:rFonts w:hint="default"/>
        <w:lang w:val="tr-TR" w:eastAsia="en-US" w:bidi="ar-SA"/>
      </w:rPr>
    </w:lvl>
    <w:lvl w:ilvl="3" w:tplc="9F04EB56">
      <w:numFmt w:val="bullet"/>
      <w:lvlText w:val="•"/>
      <w:lvlJc w:val="left"/>
      <w:pPr>
        <w:ind w:left="3909" w:hanging="440"/>
      </w:pPr>
      <w:rPr>
        <w:rFonts w:hint="default"/>
        <w:lang w:val="tr-TR" w:eastAsia="en-US" w:bidi="ar-SA"/>
      </w:rPr>
    </w:lvl>
    <w:lvl w:ilvl="4" w:tplc="CF1E30E2">
      <w:numFmt w:val="bullet"/>
      <w:lvlText w:val="•"/>
      <w:lvlJc w:val="left"/>
      <w:pPr>
        <w:ind w:left="4686" w:hanging="440"/>
      </w:pPr>
      <w:rPr>
        <w:rFonts w:hint="default"/>
        <w:lang w:val="tr-TR" w:eastAsia="en-US" w:bidi="ar-SA"/>
      </w:rPr>
    </w:lvl>
    <w:lvl w:ilvl="5" w:tplc="A82C224A">
      <w:numFmt w:val="bullet"/>
      <w:lvlText w:val="•"/>
      <w:lvlJc w:val="left"/>
      <w:pPr>
        <w:ind w:left="5463" w:hanging="440"/>
      </w:pPr>
      <w:rPr>
        <w:rFonts w:hint="default"/>
        <w:lang w:val="tr-TR" w:eastAsia="en-US" w:bidi="ar-SA"/>
      </w:rPr>
    </w:lvl>
    <w:lvl w:ilvl="6" w:tplc="F6DA9BF4">
      <w:numFmt w:val="bullet"/>
      <w:lvlText w:val="•"/>
      <w:lvlJc w:val="left"/>
      <w:pPr>
        <w:ind w:left="6239" w:hanging="440"/>
      </w:pPr>
      <w:rPr>
        <w:rFonts w:hint="default"/>
        <w:lang w:val="tr-TR" w:eastAsia="en-US" w:bidi="ar-SA"/>
      </w:rPr>
    </w:lvl>
    <w:lvl w:ilvl="7" w:tplc="668C8AFA">
      <w:numFmt w:val="bullet"/>
      <w:lvlText w:val="•"/>
      <w:lvlJc w:val="left"/>
      <w:pPr>
        <w:ind w:left="7016" w:hanging="440"/>
      </w:pPr>
      <w:rPr>
        <w:rFonts w:hint="default"/>
        <w:lang w:val="tr-TR" w:eastAsia="en-US" w:bidi="ar-SA"/>
      </w:rPr>
    </w:lvl>
    <w:lvl w:ilvl="8" w:tplc="16843134">
      <w:numFmt w:val="bullet"/>
      <w:lvlText w:val="•"/>
      <w:lvlJc w:val="left"/>
      <w:pPr>
        <w:ind w:left="7793" w:hanging="440"/>
      </w:pPr>
      <w:rPr>
        <w:rFonts w:hint="default"/>
        <w:lang w:val="tr-TR" w:eastAsia="en-US" w:bidi="ar-SA"/>
      </w:rPr>
    </w:lvl>
  </w:abstractNum>
  <w:abstractNum w:abstractNumId="52" w15:restartNumberingAfterBreak="0">
    <w:nsid w:val="41B3364B"/>
    <w:multiLevelType w:val="hybridMultilevel"/>
    <w:tmpl w:val="207CB892"/>
    <w:lvl w:ilvl="0" w:tplc="706C6908">
      <w:start w:val="1"/>
      <w:numFmt w:val="decimal"/>
      <w:lvlText w:val="%1)"/>
      <w:lvlJc w:val="left"/>
      <w:pPr>
        <w:ind w:left="1109" w:hanging="228"/>
      </w:pPr>
      <w:rPr>
        <w:rFonts w:ascii="Calibri" w:eastAsia="Calibri" w:hAnsi="Calibri" w:cs="Calibri" w:hint="default"/>
        <w:b/>
        <w:bCs/>
        <w:i w:val="0"/>
        <w:iCs w:val="0"/>
        <w:spacing w:val="0"/>
        <w:w w:val="100"/>
        <w:sz w:val="22"/>
        <w:szCs w:val="22"/>
        <w:lang w:val="tr-TR" w:eastAsia="en-US" w:bidi="ar-SA"/>
      </w:rPr>
    </w:lvl>
    <w:lvl w:ilvl="1" w:tplc="BADAAE12">
      <w:numFmt w:val="bullet"/>
      <w:lvlText w:val="•"/>
      <w:lvlJc w:val="left"/>
      <w:pPr>
        <w:ind w:left="1922" w:hanging="228"/>
      </w:pPr>
      <w:rPr>
        <w:rFonts w:hint="default"/>
        <w:lang w:val="tr-TR" w:eastAsia="en-US" w:bidi="ar-SA"/>
      </w:rPr>
    </w:lvl>
    <w:lvl w:ilvl="2" w:tplc="8E12C702">
      <w:numFmt w:val="bullet"/>
      <w:lvlText w:val="•"/>
      <w:lvlJc w:val="left"/>
      <w:pPr>
        <w:ind w:left="2745" w:hanging="228"/>
      </w:pPr>
      <w:rPr>
        <w:rFonts w:hint="default"/>
        <w:lang w:val="tr-TR" w:eastAsia="en-US" w:bidi="ar-SA"/>
      </w:rPr>
    </w:lvl>
    <w:lvl w:ilvl="3" w:tplc="2CDA1D04">
      <w:numFmt w:val="bullet"/>
      <w:lvlText w:val="•"/>
      <w:lvlJc w:val="left"/>
      <w:pPr>
        <w:ind w:left="3567" w:hanging="228"/>
      </w:pPr>
      <w:rPr>
        <w:rFonts w:hint="default"/>
        <w:lang w:val="tr-TR" w:eastAsia="en-US" w:bidi="ar-SA"/>
      </w:rPr>
    </w:lvl>
    <w:lvl w:ilvl="4" w:tplc="93E2CC8C">
      <w:numFmt w:val="bullet"/>
      <w:lvlText w:val="•"/>
      <w:lvlJc w:val="left"/>
      <w:pPr>
        <w:ind w:left="4390" w:hanging="228"/>
      </w:pPr>
      <w:rPr>
        <w:rFonts w:hint="default"/>
        <w:lang w:val="tr-TR" w:eastAsia="en-US" w:bidi="ar-SA"/>
      </w:rPr>
    </w:lvl>
    <w:lvl w:ilvl="5" w:tplc="A8FA1342">
      <w:numFmt w:val="bullet"/>
      <w:lvlText w:val="•"/>
      <w:lvlJc w:val="left"/>
      <w:pPr>
        <w:ind w:left="5213" w:hanging="228"/>
      </w:pPr>
      <w:rPr>
        <w:rFonts w:hint="default"/>
        <w:lang w:val="tr-TR" w:eastAsia="en-US" w:bidi="ar-SA"/>
      </w:rPr>
    </w:lvl>
    <w:lvl w:ilvl="6" w:tplc="083413E2">
      <w:numFmt w:val="bullet"/>
      <w:lvlText w:val="•"/>
      <w:lvlJc w:val="left"/>
      <w:pPr>
        <w:ind w:left="6035" w:hanging="228"/>
      </w:pPr>
      <w:rPr>
        <w:rFonts w:hint="default"/>
        <w:lang w:val="tr-TR" w:eastAsia="en-US" w:bidi="ar-SA"/>
      </w:rPr>
    </w:lvl>
    <w:lvl w:ilvl="7" w:tplc="2E3C36A8">
      <w:numFmt w:val="bullet"/>
      <w:lvlText w:val="•"/>
      <w:lvlJc w:val="left"/>
      <w:pPr>
        <w:ind w:left="6858" w:hanging="228"/>
      </w:pPr>
      <w:rPr>
        <w:rFonts w:hint="default"/>
        <w:lang w:val="tr-TR" w:eastAsia="en-US" w:bidi="ar-SA"/>
      </w:rPr>
    </w:lvl>
    <w:lvl w:ilvl="8" w:tplc="2C121DA2">
      <w:numFmt w:val="bullet"/>
      <w:lvlText w:val="•"/>
      <w:lvlJc w:val="left"/>
      <w:pPr>
        <w:ind w:left="7681" w:hanging="228"/>
      </w:pPr>
      <w:rPr>
        <w:rFonts w:hint="default"/>
        <w:lang w:val="tr-TR" w:eastAsia="en-US" w:bidi="ar-SA"/>
      </w:rPr>
    </w:lvl>
  </w:abstractNum>
  <w:abstractNum w:abstractNumId="53" w15:restartNumberingAfterBreak="0">
    <w:nsid w:val="41E439D8"/>
    <w:multiLevelType w:val="hybridMultilevel"/>
    <w:tmpl w:val="CC52EEE6"/>
    <w:lvl w:ilvl="0" w:tplc="89169442">
      <w:numFmt w:val="bullet"/>
      <w:lvlText w:val="-"/>
      <w:lvlJc w:val="left"/>
      <w:pPr>
        <w:ind w:left="720" w:hanging="360"/>
      </w:pPr>
      <w:rPr>
        <w:rFonts w:ascii="Calibri" w:hAnsi="Calibri" w:hint="default"/>
      </w:rPr>
    </w:lvl>
    <w:lvl w:ilvl="1" w:tplc="19ECD7B2">
      <w:start w:val="1"/>
      <w:numFmt w:val="bullet"/>
      <w:lvlText w:val="o"/>
      <w:lvlJc w:val="left"/>
      <w:pPr>
        <w:ind w:left="1440" w:hanging="360"/>
      </w:pPr>
      <w:rPr>
        <w:rFonts w:ascii="Courier New" w:hAnsi="Courier New" w:hint="default"/>
      </w:rPr>
    </w:lvl>
    <w:lvl w:ilvl="2" w:tplc="4F0C0348">
      <w:start w:val="1"/>
      <w:numFmt w:val="bullet"/>
      <w:lvlText w:val=""/>
      <w:lvlJc w:val="left"/>
      <w:pPr>
        <w:ind w:left="2160" w:hanging="360"/>
      </w:pPr>
      <w:rPr>
        <w:rFonts w:ascii="Wingdings" w:hAnsi="Wingdings" w:hint="default"/>
      </w:rPr>
    </w:lvl>
    <w:lvl w:ilvl="3" w:tplc="62968658">
      <w:start w:val="1"/>
      <w:numFmt w:val="bullet"/>
      <w:lvlText w:val=""/>
      <w:lvlJc w:val="left"/>
      <w:pPr>
        <w:ind w:left="2880" w:hanging="360"/>
      </w:pPr>
      <w:rPr>
        <w:rFonts w:ascii="Symbol" w:hAnsi="Symbol" w:hint="default"/>
      </w:rPr>
    </w:lvl>
    <w:lvl w:ilvl="4" w:tplc="7B643B4A">
      <w:start w:val="1"/>
      <w:numFmt w:val="bullet"/>
      <w:lvlText w:val="o"/>
      <w:lvlJc w:val="left"/>
      <w:pPr>
        <w:ind w:left="3600" w:hanging="360"/>
      </w:pPr>
      <w:rPr>
        <w:rFonts w:ascii="Courier New" w:hAnsi="Courier New" w:hint="default"/>
      </w:rPr>
    </w:lvl>
    <w:lvl w:ilvl="5" w:tplc="E1A03966">
      <w:start w:val="1"/>
      <w:numFmt w:val="bullet"/>
      <w:lvlText w:val=""/>
      <w:lvlJc w:val="left"/>
      <w:pPr>
        <w:ind w:left="4320" w:hanging="360"/>
      </w:pPr>
      <w:rPr>
        <w:rFonts w:ascii="Wingdings" w:hAnsi="Wingdings" w:hint="default"/>
      </w:rPr>
    </w:lvl>
    <w:lvl w:ilvl="6" w:tplc="71D21354">
      <w:start w:val="1"/>
      <w:numFmt w:val="bullet"/>
      <w:lvlText w:val=""/>
      <w:lvlJc w:val="left"/>
      <w:pPr>
        <w:ind w:left="5040" w:hanging="360"/>
      </w:pPr>
      <w:rPr>
        <w:rFonts w:ascii="Symbol" w:hAnsi="Symbol" w:hint="default"/>
      </w:rPr>
    </w:lvl>
    <w:lvl w:ilvl="7" w:tplc="F5183FF2">
      <w:start w:val="1"/>
      <w:numFmt w:val="bullet"/>
      <w:lvlText w:val="o"/>
      <w:lvlJc w:val="left"/>
      <w:pPr>
        <w:ind w:left="5760" w:hanging="360"/>
      </w:pPr>
      <w:rPr>
        <w:rFonts w:ascii="Courier New" w:hAnsi="Courier New" w:hint="default"/>
      </w:rPr>
    </w:lvl>
    <w:lvl w:ilvl="8" w:tplc="98600434">
      <w:start w:val="1"/>
      <w:numFmt w:val="bullet"/>
      <w:lvlText w:val=""/>
      <w:lvlJc w:val="left"/>
      <w:pPr>
        <w:ind w:left="6480" w:hanging="360"/>
      </w:pPr>
      <w:rPr>
        <w:rFonts w:ascii="Wingdings" w:hAnsi="Wingdings" w:hint="default"/>
      </w:rPr>
    </w:lvl>
  </w:abstractNum>
  <w:abstractNum w:abstractNumId="54" w15:restartNumberingAfterBreak="0">
    <w:nsid w:val="43006933"/>
    <w:multiLevelType w:val="hybridMultilevel"/>
    <w:tmpl w:val="4AA88C46"/>
    <w:lvl w:ilvl="0" w:tplc="BF5A7F2E">
      <w:start w:val="1"/>
      <w:numFmt w:val="bullet"/>
      <w:lvlText w:val=""/>
      <w:lvlJc w:val="left"/>
      <w:pPr>
        <w:ind w:left="720" w:hanging="360"/>
      </w:pPr>
      <w:rPr>
        <w:rFonts w:ascii="Symbol" w:hAnsi="Symbol" w:hint="default"/>
      </w:rPr>
    </w:lvl>
    <w:lvl w:ilvl="1" w:tplc="7B2CB90C">
      <w:start w:val="1"/>
      <w:numFmt w:val="bullet"/>
      <w:lvlText w:val="o"/>
      <w:lvlJc w:val="left"/>
      <w:pPr>
        <w:ind w:left="1440" w:hanging="360"/>
      </w:pPr>
      <w:rPr>
        <w:rFonts w:ascii="Courier New" w:hAnsi="Courier New" w:hint="default"/>
      </w:rPr>
    </w:lvl>
    <w:lvl w:ilvl="2" w:tplc="A48649D2">
      <w:start w:val="1"/>
      <w:numFmt w:val="bullet"/>
      <w:lvlText w:val=""/>
      <w:lvlJc w:val="left"/>
      <w:pPr>
        <w:ind w:left="2160" w:hanging="360"/>
      </w:pPr>
      <w:rPr>
        <w:rFonts w:ascii="Wingdings" w:hAnsi="Wingdings" w:hint="default"/>
      </w:rPr>
    </w:lvl>
    <w:lvl w:ilvl="3" w:tplc="8E524C02">
      <w:start w:val="1"/>
      <w:numFmt w:val="bullet"/>
      <w:lvlText w:val=""/>
      <w:lvlJc w:val="left"/>
      <w:pPr>
        <w:ind w:left="2880" w:hanging="360"/>
      </w:pPr>
      <w:rPr>
        <w:rFonts w:ascii="Symbol" w:hAnsi="Symbol" w:hint="default"/>
      </w:rPr>
    </w:lvl>
    <w:lvl w:ilvl="4" w:tplc="77E2B9D4">
      <w:start w:val="1"/>
      <w:numFmt w:val="bullet"/>
      <w:lvlText w:val="o"/>
      <w:lvlJc w:val="left"/>
      <w:pPr>
        <w:ind w:left="3600" w:hanging="360"/>
      </w:pPr>
      <w:rPr>
        <w:rFonts w:ascii="Courier New" w:hAnsi="Courier New" w:hint="default"/>
      </w:rPr>
    </w:lvl>
    <w:lvl w:ilvl="5" w:tplc="7A6C0870">
      <w:start w:val="1"/>
      <w:numFmt w:val="bullet"/>
      <w:lvlText w:val=""/>
      <w:lvlJc w:val="left"/>
      <w:pPr>
        <w:ind w:left="4320" w:hanging="360"/>
      </w:pPr>
      <w:rPr>
        <w:rFonts w:ascii="Wingdings" w:hAnsi="Wingdings" w:hint="default"/>
      </w:rPr>
    </w:lvl>
    <w:lvl w:ilvl="6" w:tplc="315AAFFA">
      <w:start w:val="1"/>
      <w:numFmt w:val="bullet"/>
      <w:lvlText w:val=""/>
      <w:lvlJc w:val="left"/>
      <w:pPr>
        <w:ind w:left="5040" w:hanging="360"/>
      </w:pPr>
      <w:rPr>
        <w:rFonts w:ascii="Symbol" w:hAnsi="Symbol" w:hint="default"/>
      </w:rPr>
    </w:lvl>
    <w:lvl w:ilvl="7" w:tplc="B35AF766">
      <w:start w:val="1"/>
      <w:numFmt w:val="bullet"/>
      <w:lvlText w:val="o"/>
      <w:lvlJc w:val="left"/>
      <w:pPr>
        <w:ind w:left="5760" w:hanging="360"/>
      </w:pPr>
      <w:rPr>
        <w:rFonts w:ascii="Courier New" w:hAnsi="Courier New" w:hint="default"/>
      </w:rPr>
    </w:lvl>
    <w:lvl w:ilvl="8" w:tplc="9BAECDB2">
      <w:start w:val="1"/>
      <w:numFmt w:val="bullet"/>
      <w:lvlText w:val=""/>
      <w:lvlJc w:val="left"/>
      <w:pPr>
        <w:ind w:left="6480" w:hanging="360"/>
      </w:pPr>
      <w:rPr>
        <w:rFonts w:ascii="Wingdings" w:hAnsi="Wingdings" w:hint="default"/>
      </w:rPr>
    </w:lvl>
  </w:abstractNum>
  <w:abstractNum w:abstractNumId="55" w15:restartNumberingAfterBreak="0">
    <w:nsid w:val="436B1286"/>
    <w:multiLevelType w:val="hybridMultilevel"/>
    <w:tmpl w:val="B5B67958"/>
    <w:lvl w:ilvl="0" w:tplc="AD262AE2">
      <w:numFmt w:val="bullet"/>
      <w:lvlText w:val="-"/>
      <w:lvlJc w:val="left"/>
      <w:pPr>
        <w:ind w:left="1608"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9CEE0132">
      <w:numFmt w:val="bullet"/>
      <w:lvlText w:val="•"/>
      <w:lvlJc w:val="left"/>
      <w:pPr>
        <w:ind w:left="2456" w:hanging="360"/>
      </w:pPr>
      <w:rPr>
        <w:rFonts w:hint="default"/>
        <w:lang w:val="tr-TR" w:eastAsia="en-US" w:bidi="ar-SA"/>
      </w:rPr>
    </w:lvl>
    <w:lvl w:ilvl="2" w:tplc="288C0BD0">
      <w:numFmt w:val="bullet"/>
      <w:lvlText w:val="•"/>
      <w:lvlJc w:val="left"/>
      <w:pPr>
        <w:ind w:left="3313" w:hanging="360"/>
      </w:pPr>
      <w:rPr>
        <w:rFonts w:hint="default"/>
        <w:lang w:val="tr-TR" w:eastAsia="en-US" w:bidi="ar-SA"/>
      </w:rPr>
    </w:lvl>
    <w:lvl w:ilvl="3" w:tplc="9CBA21AA">
      <w:numFmt w:val="bullet"/>
      <w:lvlText w:val="•"/>
      <w:lvlJc w:val="left"/>
      <w:pPr>
        <w:ind w:left="4169" w:hanging="360"/>
      </w:pPr>
      <w:rPr>
        <w:rFonts w:hint="default"/>
        <w:lang w:val="tr-TR" w:eastAsia="en-US" w:bidi="ar-SA"/>
      </w:rPr>
    </w:lvl>
    <w:lvl w:ilvl="4" w:tplc="D81E8EA0">
      <w:numFmt w:val="bullet"/>
      <w:lvlText w:val="•"/>
      <w:lvlJc w:val="left"/>
      <w:pPr>
        <w:ind w:left="5026" w:hanging="360"/>
      </w:pPr>
      <w:rPr>
        <w:rFonts w:hint="default"/>
        <w:lang w:val="tr-TR" w:eastAsia="en-US" w:bidi="ar-SA"/>
      </w:rPr>
    </w:lvl>
    <w:lvl w:ilvl="5" w:tplc="0F8A77F2">
      <w:numFmt w:val="bullet"/>
      <w:lvlText w:val="•"/>
      <w:lvlJc w:val="left"/>
      <w:pPr>
        <w:ind w:left="5883" w:hanging="360"/>
      </w:pPr>
      <w:rPr>
        <w:rFonts w:hint="default"/>
        <w:lang w:val="tr-TR" w:eastAsia="en-US" w:bidi="ar-SA"/>
      </w:rPr>
    </w:lvl>
    <w:lvl w:ilvl="6" w:tplc="0C3CB8D0">
      <w:numFmt w:val="bullet"/>
      <w:lvlText w:val="•"/>
      <w:lvlJc w:val="left"/>
      <w:pPr>
        <w:ind w:left="6739" w:hanging="360"/>
      </w:pPr>
      <w:rPr>
        <w:rFonts w:hint="default"/>
        <w:lang w:val="tr-TR" w:eastAsia="en-US" w:bidi="ar-SA"/>
      </w:rPr>
    </w:lvl>
    <w:lvl w:ilvl="7" w:tplc="A76A3542">
      <w:numFmt w:val="bullet"/>
      <w:lvlText w:val="•"/>
      <w:lvlJc w:val="left"/>
      <w:pPr>
        <w:ind w:left="7596" w:hanging="360"/>
      </w:pPr>
      <w:rPr>
        <w:rFonts w:hint="default"/>
        <w:lang w:val="tr-TR" w:eastAsia="en-US" w:bidi="ar-SA"/>
      </w:rPr>
    </w:lvl>
    <w:lvl w:ilvl="8" w:tplc="96747DAC">
      <w:numFmt w:val="bullet"/>
      <w:lvlText w:val="•"/>
      <w:lvlJc w:val="left"/>
      <w:pPr>
        <w:ind w:left="8453" w:hanging="360"/>
      </w:pPr>
      <w:rPr>
        <w:rFonts w:hint="default"/>
        <w:lang w:val="tr-TR" w:eastAsia="en-US" w:bidi="ar-SA"/>
      </w:rPr>
    </w:lvl>
  </w:abstractNum>
  <w:abstractNum w:abstractNumId="56" w15:restartNumberingAfterBreak="0">
    <w:nsid w:val="44EE14A5"/>
    <w:multiLevelType w:val="hybridMultilevel"/>
    <w:tmpl w:val="876A911E"/>
    <w:lvl w:ilvl="0" w:tplc="D6446F4C">
      <w:start w:val="1"/>
      <w:numFmt w:val="lowerLetter"/>
      <w:lvlText w:val="%1)"/>
      <w:lvlJc w:val="left"/>
      <w:pPr>
        <w:ind w:left="1575" w:hanging="231"/>
      </w:pPr>
      <w:rPr>
        <w:rFonts w:ascii="Calibri" w:eastAsia="Calibri" w:hAnsi="Calibri" w:cs="Calibri" w:hint="default"/>
        <w:b w:val="0"/>
        <w:bCs w:val="0"/>
        <w:i/>
        <w:iCs/>
        <w:spacing w:val="-1"/>
        <w:w w:val="100"/>
        <w:sz w:val="22"/>
        <w:szCs w:val="22"/>
        <w:lang w:val="tr-TR" w:eastAsia="en-US" w:bidi="ar-SA"/>
      </w:rPr>
    </w:lvl>
    <w:lvl w:ilvl="1" w:tplc="16E475DC">
      <w:numFmt w:val="bullet"/>
      <w:lvlText w:val="•"/>
      <w:lvlJc w:val="left"/>
      <w:pPr>
        <w:ind w:left="2356" w:hanging="231"/>
      </w:pPr>
      <w:rPr>
        <w:rFonts w:hint="default"/>
        <w:lang w:val="tr-TR" w:eastAsia="en-US" w:bidi="ar-SA"/>
      </w:rPr>
    </w:lvl>
    <w:lvl w:ilvl="2" w:tplc="F7C4B46E">
      <w:numFmt w:val="bullet"/>
      <w:lvlText w:val="•"/>
      <w:lvlJc w:val="left"/>
      <w:pPr>
        <w:ind w:left="3133" w:hanging="231"/>
      </w:pPr>
      <w:rPr>
        <w:rFonts w:hint="default"/>
        <w:lang w:val="tr-TR" w:eastAsia="en-US" w:bidi="ar-SA"/>
      </w:rPr>
    </w:lvl>
    <w:lvl w:ilvl="3" w:tplc="58A88BC0">
      <w:numFmt w:val="bullet"/>
      <w:lvlText w:val="•"/>
      <w:lvlJc w:val="left"/>
      <w:pPr>
        <w:ind w:left="3909" w:hanging="231"/>
      </w:pPr>
      <w:rPr>
        <w:rFonts w:hint="default"/>
        <w:lang w:val="tr-TR" w:eastAsia="en-US" w:bidi="ar-SA"/>
      </w:rPr>
    </w:lvl>
    <w:lvl w:ilvl="4" w:tplc="D1ECED04">
      <w:numFmt w:val="bullet"/>
      <w:lvlText w:val="•"/>
      <w:lvlJc w:val="left"/>
      <w:pPr>
        <w:ind w:left="4686" w:hanging="231"/>
      </w:pPr>
      <w:rPr>
        <w:rFonts w:hint="default"/>
        <w:lang w:val="tr-TR" w:eastAsia="en-US" w:bidi="ar-SA"/>
      </w:rPr>
    </w:lvl>
    <w:lvl w:ilvl="5" w:tplc="6BD8CDE0">
      <w:numFmt w:val="bullet"/>
      <w:lvlText w:val="•"/>
      <w:lvlJc w:val="left"/>
      <w:pPr>
        <w:ind w:left="5463" w:hanging="231"/>
      </w:pPr>
      <w:rPr>
        <w:rFonts w:hint="default"/>
        <w:lang w:val="tr-TR" w:eastAsia="en-US" w:bidi="ar-SA"/>
      </w:rPr>
    </w:lvl>
    <w:lvl w:ilvl="6" w:tplc="C5386C68">
      <w:numFmt w:val="bullet"/>
      <w:lvlText w:val="•"/>
      <w:lvlJc w:val="left"/>
      <w:pPr>
        <w:ind w:left="6239" w:hanging="231"/>
      </w:pPr>
      <w:rPr>
        <w:rFonts w:hint="default"/>
        <w:lang w:val="tr-TR" w:eastAsia="en-US" w:bidi="ar-SA"/>
      </w:rPr>
    </w:lvl>
    <w:lvl w:ilvl="7" w:tplc="7284CCC6">
      <w:numFmt w:val="bullet"/>
      <w:lvlText w:val="•"/>
      <w:lvlJc w:val="left"/>
      <w:pPr>
        <w:ind w:left="7016" w:hanging="231"/>
      </w:pPr>
      <w:rPr>
        <w:rFonts w:hint="default"/>
        <w:lang w:val="tr-TR" w:eastAsia="en-US" w:bidi="ar-SA"/>
      </w:rPr>
    </w:lvl>
    <w:lvl w:ilvl="8" w:tplc="79B21516">
      <w:numFmt w:val="bullet"/>
      <w:lvlText w:val="•"/>
      <w:lvlJc w:val="left"/>
      <w:pPr>
        <w:ind w:left="7793" w:hanging="231"/>
      </w:pPr>
      <w:rPr>
        <w:rFonts w:hint="default"/>
        <w:lang w:val="tr-TR" w:eastAsia="en-US" w:bidi="ar-SA"/>
      </w:rPr>
    </w:lvl>
  </w:abstractNum>
  <w:abstractNum w:abstractNumId="57"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8" w15:restartNumberingAfterBreak="0">
    <w:nsid w:val="460611D4"/>
    <w:multiLevelType w:val="hybridMultilevel"/>
    <w:tmpl w:val="27CAE318"/>
    <w:lvl w:ilvl="0" w:tplc="8F6EF664">
      <w:start w:val="1"/>
      <w:numFmt w:val="lowerLetter"/>
      <w:lvlText w:val="%1)"/>
      <w:lvlJc w:val="left"/>
      <w:pPr>
        <w:ind w:left="2103" w:hanging="567"/>
      </w:pPr>
      <w:rPr>
        <w:rFonts w:ascii="Calibri" w:eastAsia="Calibri" w:hAnsi="Calibri" w:cs="Calibri" w:hint="default"/>
        <w:b w:val="0"/>
        <w:bCs w:val="0"/>
        <w:i/>
        <w:iCs/>
        <w:spacing w:val="-1"/>
        <w:w w:val="100"/>
        <w:sz w:val="22"/>
        <w:szCs w:val="22"/>
        <w:lang w:val="tr-TR" w:eastAsia="en-US" w:bidi="ar-SA"/>
      </w:rPr>
    </w:lvl>
    <w:lvl w:ilvl="1" w:tplc="2676E308">
      <w:numFmt w:val="bullet"/>
      <w:lvlText w:val="•"/>
      <w:lvlJc w:val="left"/>
      <w:pPr>
        <w:ind w:left="2906" w:hanging="567"/>
      </w:pPr>
      <w:rPr>
        <w:rFonts w:hint="default"/>
        <w:lang w:val="tr-TR" w:eastAsia="en-US" w:bidi="ar-SA"/>
      </w:rPr>
    </w:lvl>
    <w:lvl w:ilvl="2" w:tplc="37B46928">
      <w:numFmt w:val="bullet"/>
      <w:lvlText w:val="•"/>
      <w:lvlJc w:val="left"/>
      <w:pPr>
        <w:ind w:left="3713" w:hanging="567"/>
      </w:pPr>
      <w:rPr>
        <w:rFonts w:hint="default"/>
        <w:lang w:val="tr-TR" w:eastAsia="en-US" w:bidi="ar-SA"/>
      </w:rPr>
    </w:lvl>
    <w:lvl w:ilvl="3" w:tplc="A8BE33C4">
      <w:numFmt w:val="bullet"/>
      <w:lvlText w:val="•"/>
      <w:lvlJc w:val="left"/>
      <w:pPr>
        <w:ind w:left="4519" w:hanging="567"/>
      </w:pPr>
      <w:rPr>
        <w:rFonts w:hint="default"/>
        <w:lang w:val="tr-TR" w:eastAsia="en-US" w:bidi="ar-SA"/>
      </w:rPr>
    </w:lvl>
    <w:lvl w:ilvl="4" w:tplc="696E2B56">
      <w:numFmt w:val="bullet"/>
      <w:lvlText w:val="•"/>
      <w:lvlJc w:val="left"/>
      <w:pPr>
        <w:ind w:left="5326" w:hanging="567"/>
      </w:pPr>
      <w:rPr>
        <w:rFonts w:hint="default"/>
        <w:lang w:val="tr-TR" w:eastAsia="en-US" w:bidi="ar-SA"/>
      </w:rPr>
    </w:lvl>
    <w:lvl w:ilvl="5" w:tplc="0A2486EC">
      <w:numFmt w:val="bullet"/>
      <w:lvlText w:val="•"/>
      <w:lvlJc w:val="left"/>
      <w:pPr>
        <w:ind w:left="6133" w:hanging="567"/>
      </w:pPr>
      <w:rPr>
        <w:rFonts w:hint="default"/>
        <w:lang w:val="tr-TR" w:eastAsia="en-US" w:bidi="ar-SA"/>
      </w:rPr>
    </w:lvl>
    <w:lvl w:ilvl="6" w:tplc="877E52E8">
      <w:numFmt w:val="bullet"/>
      <w:lvlText w:val="•"/>
      <w:lvlJc w:val="left"/>
      <w:pPr>
        <w:ind w:left="6939" w:hanging="567"/>
      </w:pPr>
      <w:rPr>
        <w:rFonts w:hint="default"/>
        <w:lang w:val="tr-TR" w:eastAsia="en-US" w:bidi="ar-SA"/>
      </w:rPr>
    </w:lvl>
    <w:lvl w:ilvl="7" w:tplc="E59AE9FE">
      <w:numFmt w:val="bullet"/>
      <w:lvlText w:val="•"/>
      <w:lvlJc w:val="left"/>
      <w:pPr>
        <w:ind w:left="7746" w:hanging="567"/>
      </w:pPr>
      <w:rPr>
        <w:rFonts w:hint="default"/>
        <w:lang w:val="tr-TR" w:eastAsia="en-US" w:bidi="ar-SA"/>
      </w:rPr>
    </w:lvl>
    <w:lvl w:ilvl="8" w:tplc="7638E254">
      <w:numFmt w:val="bullet"/>
      <w:lvlText w:val="•"/>
      <w:lvlJc w:val="left"/>
      <w:pPr>
        <w:ind w:left="8553" w:hanging="567"/>
      </w:pPr>
      <w:rPr>
        <w:rFonts w:hint="default"/>
        <w:lang w:val="tr-TR" w:eastAsia="en-US" w:bidi="ar-SA"/>
      </w:rPr>
    </w:lvl>
  </w:abstractNum>
  <w:abstractNum w:abstractNumId="59" w15:restartNumberingAfterBreak="0">
    <w:nsid w:val="47A6B318"/>
    <w:multiLevelType w:val="hybridMultilevel"/>
    <w:tmpl w:val="A1C23D4A"/>
    <w:lvl w:ilvl="0" w:tplc="C6D09246">
      <w:numFmt w:val="bullet"/>
      <w:lvlText w:val=""/>
      <w:lvlJc w:val="left"/>
      <w:pPr>
        <w:ind w:left="720" w:hanging="360"/>
      </w:pPr>
      <w:rPr>
        <w:rFonts w:ascii="Symbol" w:hAnsi="Symbol" w:hint="default"/>
      </w:rPr>
    </w:lvl>
    <w:lvl w:ilvl="1" w:tplc="114CD1A2">
      <w:start w:val="1"/>
      <w:numFmt w:val="bullet"/>
      <w:lvlText w:val="o"/>
      <w:lvlJc w:val="left"/>
      <w:pPr>
        <w:ind w:left="1440" w:hanging="360"/>
      </w:pPr>
      <w:rPr>
        <w:rFonts w:ascii="Courier New" w:hAnsi="Courier New" w:hint="default"/>
      </w:rPr>
    </w:lvl>
    <w:lvl w:ilvl="2" w:tplc="BFE44946">
      <w:start w:val="1"/>
      <w:numFmt w:val="bullet"/>
      <w:lvlText w:val=""/>
      <w:lvlJc w:val="left"/>
      <w:pPr>
        <w:ind w:left="2160" w:hanging="360"/>
      </w:pPr>
      <w:rPr>
        <w:rFonts w:ascii="Wingdings" w:hAnsi="Wingdings" w:hint="default"/>
      </w:rPr>
    </w:lvl>
    <w:lvl w:ilvl="3" w:tplc="4EC2CAAA">
      <w:start w:val="1"/>
      <w:numFmt w:val="bullet"/>
      <w:lvlText w:val=""/>
      <w:lvlJc w:val="left"/>
      <w:pPr>
        <w:ind w:left="2880" w:hanging="360"/>
      </w:pPr>
      <w:rPr>
        <w:rFonts w:ascii="Symbol" w:hAnsi="Symbol" w:hint="default"/>
      </w:rPr>
    </w:lvl>
    <w:lvl w:ilvl="4" w:tplc="87F404BC">
      <w:start w:val="1"/>
      <w:numFmt w:val="bullet"/>
      <w:lvlText w:val="o"/>
      <w:lvlJc w:val="left"/>
      <w:pPr>
        <w:ind w:left="3600" w:hanging="360"/>
      </w:pPr>
      <w:rPr>
        <w:rFonts w:ascii="Courier New" w:hAnsi="Courier New" w:hint="default"/>
      </w:rPr>
    </w:lvl>
    <w:lvl w:ilvl="5" w:tplc="F892A3F2">
      <w:start w:val="1"/>
      <w:numFmt w:val="bullet"/>
      <w:lvlText w:val=""/>
      <w:lvlJc w:val="left"/>
      <w:pPr>
        <w:ind w:left="4320" w:hanging="360"/>
      </w:pPr>
      <w:rPr>
        <w:rFonts w:ascii="Wingdings" w:hAnsi="Wingdings" w:hint="default"/>
      </w:rPr>
    </w:lvl>
    <w:lvl w:ilvl="6" w:tplc="191830F4">
      <w:start w:val="1"/>
      <w:numFmt w:val="bullet"/>
      <w:lvlText w:val=""/>
      <w:lvlJc w:val="left"/>
      <w:pPr>
        <w:ind w:left="5040" w:hanging="360"/>
      </w:pPr>
      <w:rPr>
        <w:rFonts w:ascii="Symbol" w:hAnsi="Symbol" w:hint="default"/>
      </w:rPr>
    </w:lvl>
    <w:lvl w:ilvl="7" w:tplc="56D0ED7E">
      <w:start w:val="1"/>
      <w:numFmt w:val="bullet"/>
      <w:lvlText w:val="o"/>
      <w:lvlJc w:val="left"/>
      <w:pPr>
        <w:ind w:left="5760" w:hanging="360"/>
      </w:pPr>
      <w:rPr>
        <w:rFonts w:ascii="Courier New" w:hAnsi="Courier New" w:hint="default"/>
      </w:rPr>
    </w:lvl>
    <w:lvl w:ilvl="8" w:tplc="AF8C1270">
      <w:start w:val="1"/>
      <w:numFmt w:val="bullet"/>
      <w:lvlText w:val=""/>
      <w:lvlJc w:val="left"/>
      <w:pPr>
        <w:ind w:left="6480" w:hanging="360"/>
      </w:pPr>
      <w:rPr>
        <w:rFonts w:ascii="Wingdings" w:hAnsi="Wingdings" w:hint="default"/>
      </w:rPr>
    </w:lvl>
  </w:abstractNum>
  <w:abstractNum w:abstractNumId="60" w15:restartNumberingAfterBreak="0">
    <w:nsid w:val="487619AE"/>
    <w:multiLevelType w:val="hybridMultilevel"/>
    <w:tmpl w:val="CA4EACAE"/>
    <w:lvl w:ilvl="0" w:tplc="083EA11C">
      <w:start w:val="1"/>
      <w:numFmt w:val="decimal"/>
      <w:lvlText w:val="%1)"/>
      <w:lvlJc w:val="left"/>
      <w:pPr>
        <w:ind w:left="1248" w:hanging="360"/>
      </w:pPr>
      <w:rPr>
        <w:rFonts w:ascii="Calibri" w:eastAsia="Calibri" w:hAnsi="Calibri" w:cs="Calibri" w:hint="default"/>
        <w:b/>
        <w:bCs/>
        <w:i w:val="0"/>
        <w:iCs w:val="0"/>
        <w:spacing w:val="0"/>
        <w:w w:val="100"/>
        <w:sz w:val="22"/>
        <w:szCs w:val="22"/>
        <w:lang w:val="tr-TR" w:eastAsia="en-US" w:bidi="ar-SA"/>
      </w:rPr>
    </w:lvl>
    <w:lvl w:ilvl="1" w:tplc="1E10CFB6">
      <w:numFmt w:val="bullet"/>
      <w:lvlText w:val="•"/>
      <w:lvlJc w:val="left"/>
      <w:pPr>
        <w:ind w:left="2048" w:hanging="360"/>
      </w:pPr>
      <w:rPr>
        <w:rFonts w:hint="default"/>
        <w:lang w:val="tr-TR" w:eastAsia="en-US" w:bidi="ar-SA"/>
      </w:rPr>
    </w:lvl>
    <w:lvl w:ilvl="2" w:tplc="17009FD2">
      <w:numFmt w:val="bullet"/>
      <w:lvlText w:val="•"/>
      <w:lvlJc w:val="left"/>
      <w:pPr>
        <w:ind w:left="2857" w:hanging="360"/>
      </w:pPr>
      <w:rPr>
        <w:rFonts w:hint="default"/>
        <w:lang w:val="tr-TR" w:eastAsia="en-US" w:bidi="ar-SA"/>
      </w:rPr>
    </w:lvl>
    <w:lvl w:ilvl="3" w:tplc="A404A2C0">
      <w:numFmt w:val="bullet"/>
      <w:lvlText w:val="•"/>
      <w:lvlJc w:val="left"/>
      <w:pPr>
        <w:ind w:left="3665" w:hanging="360"/>
      </w:pPr>
      <w:rPr>
        <w:rFonts w:hint="default"/>
        <w:lang w:val="tr-TR" w:eastAsia="en-US" w:bidi="ar-SA"/>
      </w:rPr>
    </w:lvl>
    <w:lvl w:ilvl="4" w:tplc="21ECA036">
      <w:numFmt w:val="bullet"/>
      <w:lvlText w:val="•"/>
      <w:lvlJc w:val="left"/>
      <w:pPr>
        <w:ind w:left="4474" w:hanging="360"/>
      </w:pPr>
      <w:rPr>
        <w:rFonts w:hint="default"/>
        <w:lang w:val="tr-TR" w:eastAsia="en-US" w:bidi="ar-SA"/>
      </w:rPr>
    </w:lvl>
    <w:lvl w:ilvl="5" w:tplc="CDA6F4BE">
      <w:numFmt w:val="bullet"/>
      <w:lvlText w:val="•"/>
      <w:lvlJc w:val="left"/>
      <w:pPr>
        <w:ind w:left="5283" w:hanging="360"/>
      </w:pPr>
      <w:rPr>
        <w:rFonts w:hint="default"/>
        <w:lang w:val="tr-TR" w:eastAsia="en-US" w:bidi="ar-SA"/>
      </w:rPr>
    </w:lvl>
    <w:lvl w:ilvl="6" w:tplc="CCD8193E">
      <w:numFmt w:val="bullet"/>
      <w:lvlText w:val="•"/>
      <w:lvlJc w:val="left"/>
      <w:pPr>
        <w:ind w:left="6091" w:hanging="360"/>
      </w:pPr>
      <w:rPr>
        <w:rFonts w:hint="default"/>
        <w:lang w:val="tr-TR" w:eastAsia="en-US" w:bidi="ar-SA"/>
      </w:rPr>
    </w:lvl>
    <w:lvl w:ilvl="7" w:tplc="CF440794">
      <w:numFmt w:val="bullet"/>
      <w:lvlText w:val="•"/>
      <w:lvlJc w:val="left"/>
      <w:pPr>
        <w:ind w:left="6900" w:hanging="360"/>
      </w:pPr>
      <w:rPr>
        <w:rFonts w:hint="default"/>
        <w:lang w:val="tr-TR" w:eastAsia="en-US" w:bidi="ar-SA"/>
      </w:rPr>
    </w:lvl>
    <w:lvl w:ilvl="8" w:tplc="0BA2B5E8">
      <w:numFmt w:val="bullet"/>
      <w:lvlText w:val="•"/>
      <w:lvlJc w:val="left"/>
      <w:pPr>
        <w:ind w:left="7709" w:hanging="360"/>
      </w:pPr>
      <w:rPr>
        <w:rFonts w:hint="default"/>
        <w:lang w:val="tr-TR" w:eastAsia="en-US" w:bidi="ar-SA"/>
      </w:rPr>
    </w:lvl>
  </w:abstractNum>
  <w:abstractNum w:abstractNumId="61" w15:restartNumberingAfterBreak="0">
    <w:nsid w:val="48B877C8"/>
    <w:multiLevelType w:val="hybridMultilevel"/>
    <w:tmpl w:val="061E1C64"/>
    <w:lvl w:ilvl="0" w:tplc="63588B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BA41150"/>
    <w:multiLevelType w:val="hybridMultilevel"/>
    <w:tmpl w:val="70303CBC"/>
    <w:lvl w:ilvl="0" w:tplc="80BAE5FE">
      <w:start w:val="1"/>
      <w:numFmt w:val="bullet"/>
      <w:lvlText w:val=""/>
      <w:lvlJc w:val="left"/>
      <w:pPr>
        <w:ind w:left="720" w:hanging="360"/>
      </w:pPr>
      <w:rPr>
        <w:rFonts w:ascii="Symbol" w:hAnsi="Symbol" w:hint="default"/>
      </w:rPr>
    </w:lvl>
    <w:lvl w:ilvl="1" w:tplc="F55C65DA">
      <w:start w:val="1"/>
      <w:numFmt w:val="bullet"/>
      <w:lvlText w:val="o"/>
      <w:lvlJc w:val="left"/>
      <w:pPr>
        <w:ind w:left="1440" w:hanging="360"/>
      </w:pPr>
      <w:rPr>
        <w:rFonts w:ascii="Courier New" w:hAnsi="Courier New" w:hint="default"/>
      </w:rPr>
    </w:lvl>
    <w:lvl w:ilvl="2" w:tplc="E37E0BB6">
      <w:start w:val="1"/>
      <w:numFmt w:val="bullet"/>
      <w:lvlText w:val=""/>
      <w:lvlJc w:val="left"/>
      <w:pPr>
        <w:ind w:left="2160" w:hanging="360"/>
      </w:pPr>
      <w:rPr>
        <w:rFonts w:ascii="Wingdings" w:hAnsi="Wingdings" w:hint="default"/>
      </w:rPr>
    </w:lvl>
    <w:lvl w:ilvl="3" w:tplc="CAA24098">
      <w:start w:val="1"/>
      <w:numFmt w:val="bullet"/>
      <w:lvlText w:val=""/>
      <w:lvlJc w:val="left"/>
      <w:pPr>
        <w:ind w:left="2880" w:hanging="360"/>
      </w:pPr>
      <w:rPr>
        <w:rFonts w:ascii="Symbol" w:hAnsi="Symbol" w:hint="default"/>
      </w:rPr>
    </w:lvl>
    <w:lvl w:ilvl="4" w:tplc="7106562E">
      <w:start w:val="1"/>
      <w:numFmt w:val="bullet"/>
      <w:lvlText w:val="o"/>
      <w:lvlJc w:val="left"/>
      <w:pPr>
        <w:ind w:left="3600" w:hanging="360"/>
      </w:pPr>
      <w:rPr>
        <w:rFonts w:ascii="Courier New" w:hAnsi="Courier New" w:hint="default"/>
      </w:rPr>
    </w:lvl>
    <w:lvl w:ilvl="5" w:tplc="8FB82BC4">
      <w:start w:val="1"/>
      <w:numFmt w:val="bullet"/>
      <w:lvlText w:val=""/>
      <w:lvlJc w:val="left"/>
      <w:pPr>
        <w:ind w:left="4320" w:hanging="360"/>
      </w:pPr>
      <w:rPr>
        <w:rFonts w:ascii="Wingdings" w:hAnsi="Wingdings" w:hint="default"/>
      </w:rPr>
    </w:lvl>
    <w:lvl w:ilvl="6" w:tplc="4B7EA70E">
      <w:start w:val="1"/>
      <w:numFmt w:val="bullet"/>
      <w:lvlText w:val=""/>
      <w:lvlJc w:val="left"/>
      <w:pPr>
        <w:ind w:left="5040" w:hanging="360"/>
      </w:pPr>
      <w:rPr>
        <w:rFonts w:ascii="Symbol" w:hAnsi="Symbol" w:hint="default"/>
      </w:rPr>
    </w:lvl>
    <w:lvl w:ilvl="7" w:tplc="5E4C26F6">
      <w:start w:val="1"/>
      <w:numFmt w:val="bullet"/>
      <w:lvlText w:val="o"/>
      <w:lvlJc w:val="left"/>
      <w:pPr>
        <w:ind w:left="5760" w:hanging="360"/>
      </w:pPr>
      <w:rPr>
        <w:rFonts w:ascii="Courier New" w:hAnsi="Courier New" w:hint="default"/>
      </w:rPr>
    </w:lvl>
    <w:lvl w:ilvl="8" w:tplc="FF16B084">
      <w:start w:val="1"/>
      <w:numFmt w:val="bullet"/>
      <w:lvlText w:val=""/>
      <w:lvlJc w:val="left"/>
      <w:pPr>
        <w:ind w:left="6480" w:hanging="360"/>
      </w:pPr>
      <w:rPr>
        <w:rFonts w:ascii="Wingdings" w:hAnsi="Wingdings" w:hint="default"/>
      </w:rPr>
    </w:lvl>
  </w:abstractNum>
  <w:abstractNum w:abstractNumId="63" w15:restartNumberingAfterBreak="0">
    <w:nsid w:val="4FF4162D"/>
    <w:multiLevelType w:val="hybridMultilevel"/>
    <w:tmpl w:val="C27463C0"/>
    <w:lvl w:ilvl="0" w:tplc="5A2CDE66">
      <w:start w:val="1"/>
      <w:numFmt w:val="bullet"/>
      <w:lvlText w:val=""/>
      <w:lvlJc w:val="left"/>
      <w:pPr>
        <w:ind w:left="720" w:hanging="360"/>
      </w:pPr>
      <w:rPr>
        <w:rFonts w:ascii="Symbol" w:hAnsi="Symbol" w:hint="default"/>
      </w:rPr>
    </w:lvl>
    <w:lvl w:ilvl="1" w:tplc="77DEDEEC">
      <w:start w:val="1"/>
      <w:numFmt w:val="bullet"/>
      <w:lvlText w:val="o"/>
      <w:lvlJc w:val="left"/>
      <w:pPr>
        <w:ind w:left="1440" w:hanging="360"/>
      </w:pPr>
      <w:rPr>
        <w:rFonts w:ascii="Courier New" w:hAnsi="Courier New" w:hint="default"/>
      </w:rPr>
    </w:lvl>
    <w:lvl w:ilvl="2" w:tplc="95E038CC">
      <w:start w:val="1"/>
      <w:numFmt w:val="bullet"/>
      <w:lvlText w:val=""/>
      <w:lvlJc w:val="left"/>
      <w:pPr>
        <w:ind w:left="2160" w:hanging="360"/>
      </w:pPr>
      <w:rPr>
        <w:rFonts w:ascii="Wingdings" w:hAnsi="Wingdings" w:hint="default"/>
      </w:rPr>
    </w:lvl>
    <w:lvl w:ilvl="3" w:tplc="6B72745A">
      <w:start w:val="1"/>
      <w:numFmt w:val="bullet"/>
      <w:lvlText w:val=""/>
      <w:lvlJc w:val="left"/>
      <w:pPr>
        <w:ind w:left="2880" w:hanging="360"/>
      </w:pPr>
      <w:rPr>
        <w:rFonts w:ascii="Symbol" w:hAnsi="Symbol" w:hint="default"/>
      </w:rPr>
    </w:lvl>
    <w:lvl w:ilvl="4" w:tplc="3612C6EA">
      <w:start w:val="1"/>
      <w:numFmt w:val="bullet"/>
      <w:lvlText w:val="o"/>
      <w:lvlJc w:val="left"/>
      <w:pPr>
        <w:ind w:left="3600" w:hanging="360"/>
      </w:pPr>
      <w:rPr>
        <w:rFonts w:ascii="Courier New" w:hAnsi="Courier New" w:hint="default"/>
      </w:rPr>
    </w:lvl>
    <w:lvl w:ilvl="5" w:tplc="840E6F2E">
      <w:start w:val="1"/>
      <w:numFmt w:val="bullet"/>
      <w:lvlText w:val=""/>
      <w:lvlJc w:val="left"/>
      <w:pPr>
        <w:ind w:left="4320" w:hanging="360"/>
      </w:pPr>
      <w:rPr>
        <w:rFonts w:ascii="Wingdings" w:hAnsi="Wingdings" w:hint="default"/>
      </w:rPr>
    </w:lvl>
    <w:lvl w:ilvl="6" w:tplc="99328732">
      <w:start w:val="1"/>
      <w:numFmt w:val="bullet"/>
      <w:lvlText w:val=""/>
      <w:lvlJc w:val="left"/>
      <w:pPr>
        <w:ind w:left="5040" w:hanging="360"/>
      </w:pPr>
      <w:rPr>
        <w:rFonts w:ascii="Symbol" w:hAnsi="Symbol" w:hint="default"/>
      </w:rPr>
    </w:lvl>
    <w:lvl w:ilvl="7" w:tplc="F090707A">
      <w:start w:val="1"/>
      <w:numFmt w:val="bullet"/>
      <w:lvlText w:val="o"/>
      <w:lvlJc w:val="left"/>
      <w:pPr>
        <w:ind w:left="5760" w:hanging="360"/>
      </w:pPr>
      <w:rPr>
        <w:rFonts w:ascii="Courier New" w:hAnsi="Courier New" w:hint="default"/>
      </w:rPr>
    </w:lvl>
    <w:lvl w:ilvl="8" w:tplc="58BA6772">
      <w:start w:val="1"/>
      <w:numFmt w:val="bullet"/>
      <w:lvlText w:val=""/>
      <w:lvlJc w:val="left"/>
      <w:pPr>
        <w:ind w:left="6480" w:hanging="360"/>
      </w:pPr>
      <w:rPr>
        <w:rFonts w:ascii="Wingdings" w:hAnsi="Wingdings" w:hint="default"/>
      </w:rPr>
    </w:lvl>
  </w:abstractNum>
  <w:abstractNum w:abstractNumId="64" w15:restartNumberingAfterBreak="0">
    <w:nsid w:val="503D7CF7"/>
    <w:multiLevelType w:val="hybridMultilevel"/>
    <w:tmpl w:val="CB3EBCDA"/>
    <w:lvl w:ilvl="0" w:tplc="7A44FE08">
      <w:start w:val="1"/>
      <w:numFmt w:val="lowerLetter"/>
      <w:lvlText w:val="%1)"/>
      <w:lvlJc w:val="left"/>
      <w:pPr>
        <w:ind w:left="1608" w:hanging="284"/>
      </w:pPr>
      <w:rPr>
        <w:rFonts w:ascii="Calibri" w:eastAsia="Calibri" w:hAnsi="Calibri" w:cs="Calibri" w:hint="default"/>
        <w:b w:val="0"/>
        <w:bCs w:val="0"/>
        <w:i/>
        <w:iCs/>
        <w:spacing w:val="-1"/>
        <w:w w:val="100"/>
        <w:sz w:val="22"/>
        <w:szCs w:val="22"/>
        <w:lang w:val="tr-TR" w:eastAsia="en-US" w:bidi="ar-SA"/>
      </w:rPr>
    </w:lvl>
    <w:lvl w:ilvl="1" w:tplc="09205D0E">
      <w:numFmt w:val="bullet"/>
      <w:lvlText w:val="•"/>
      <w:lvlJc w:val="left"/>
      <w:pPr>
        <w:ind w:left="2456" w:hanging="284"/>
      </w:pPr>
      <w:rPr>
        <w:rFonts w:hint="default"/>
        <w:lang w:val="tr-TR" w:eastAsia="en-US" w:bidi="ar-SA"/>
      </w:rPr>
    </w:lvl>
    <w:lvl w:ilvl="2" w:tplc="6ED69F30">
      <w:numFmt w:val="bullet"/>
      <w:lvlText w:val="•"/>
      <w:lvlJc w:val="left"/>
      <w:pPr>
        <w:ind w:left="3313" w:hanging="284"/>
      </w:pPr>
      <w:rPr>
        <w:rFonts w:hint="default"/>
        <w:lang w:val="tr-TR" w:eastAsia="en-US" w:bidi="ar-SA"/>
      </w:rPr>
    </w:lvl>
    <w:lvl w:ilvl="3" w:tplc="A036D286">
      <w:numFmt w:val="bullet"/>
      <w:lvlText w:val="•"/>
      <w:lvlJc w:val="left"/>
      <w:pPr>
        <w:ind w:left="4169" w:hanging="284"/>
      </w:pPr>
      <w:rPr>
        <w:rFonts w:hint="default"/>
        <w:lang w:val="tr-TR" w:eastAsia="en-US" w:bidi="ar-SA"/>
      </w:rPr>
    </w:lvl>
    <w:lvl w:ilvl="4" w:tplc="F6DE69A4">
      <w:numFmt w:val="bullet"/>
      <w:lvlText w:val="•"/>
      <w:lvlJc w:val="left"/>
      <w:pPr>
        <w:ind w:left="5026" w:hanging="284"/>
      </w:pPr>
      <w:rPr>
        <w:rFonts w:hint="default"/>
        <w:lang w:val="tr-TR" w:eastAsia="en-US" w:bidi="ar-SA"/>
      </w:rPr>
    </w:lvl>
    <w:lvl w:ilvl="5" w:tplc="439E9234">
      <w:numFmt w:val="bullet"/>
      <w:lvlText w:val="•"/>
      <w:lvlJc w:val="left"/>
      <w:pPr>
        <w:ind w:left="5883" w:hanging="284"/>
      </w:pPr>
      <w:rPr>
        <w:rFonts w:hint="default"/>
        <w:lang w:val="tr-TR" w:eastAsia="en-US" w:bidi="ar-SA"/>
      </w:rPr>
    </w:lvl>
    <w:lvl w:ilvl="6" w:tplc="4DA40CB8">
      <w:numFmt w:val="bullet"/>
      <w:lvlText w:val="•"/>
      <w:lvlJc w:val="left"/>
      <w:pPr>
        <w:ind w:left="6739" w:hanging="284"/>
      </w:pPr>
      <w:rPr>
        <w:rFonts w:hint="default"/>
        <w:lang w:val="tr-TR" w:eastAsia="en-US" w:bidi="ar-SA"/>
      </w:rPr>
    </w:lvl>
    <w:lvl w:ilvl="7" w:tplc="49DC0B3C">
      <w:numFmt w:val="bullet"/>
      <w:lvlText w:val="•"/>
      <w:lvlJc w:val="left"/>
      <w:pPr>
        <w:ind w:left="7596" w:hanging="284"/>
      </w:pPr>
      <w:rPr>
        <w:rFonts w:hint="default"/>
        <w:lang w:val="tr-TR" w:eastAsia="en-US" w:bidi="ar-SA"/>
      </w:rPr>
    </w:lvl>
    <w:lvl w:ilvl="8" w:tplc="36C8017E">
      <w:numFmt w:val="bullet"/>
      <w:lvlText w:val="•"/>
      <w:lvlJc w:val="left"/>
      <w:pPr>
        <w:ind w:left="8453" w:hanging="284"/>
      </w:pPr>
      <w:rPr>
        <w:rFonts w:hint="default"/>
        <w:lang w:val="tr-TR" w:eastAsia="en-US" w:bidi="ar-SA"/>
      </w:rPr>
    </w:lvl>
  </w:abstractNum>
  <w:abstractNum w:abstractNumId="65" w15:restartNumberingAfterBreak="0">
    <w:nsid w:val="51C41235"/>
    <w:multiLevelType w:val="hybridMultilevel"/>
    <w:tmpl w:val="7F28BE26"/>
    <w:lvl w:ilvl="0" w:tplc="4936F330">
      <w:start w:val="2"/>
      <w:numFmt w:val="decimal"/>
      <w:lvlText w:val="(%1)"/>
      <w:lvlJc w:val="left"/>
      <w:pPr>
        <w:ind w:left="1575" w:hanging="389"/>
      </w:pPr>
      <w:rPr>
        <w:rFonts w:ascii="Calibri" w:eastAsia="Calibri" w:hAnsi="Calibri" w:cs="Calibri" w:hint="default"/>
        <w:b w:val="0"/>
        <w:bCs w:val="0"/>
        <w:i/>
        <w:iCs/>
        <w:spacing w:val="0"/>
        <w:w w:val="100"/>
        <w:sz w:val="22"/>
        <w:szCs w:val="22"/>
        <w:lang w:val="tr-TR" w:eastAsia="en-US" w:bidi="ar-SA"/>
      </w:rPr>
    </w:lvl>
    <w:lvl w:ilvl="1" w:tplc="2F0C444A">
      <w:numFmt w:val="bullet"/>
      <w:lvlText w:val="•"/>
      <w:lvlJc w:val="left"/>
      <w:pPr>
        <w:ind w:left="2356" w:hanging="389"/>
      </w:pPr>
      <w:rPr>
        <w:rFonts w:hint="default"/>
        <w:lang w:val="tr-TR" w:eastAsia="en-US" w:bidi="ar-SA"/>
      </w:rPr>
    </w:lvl>
    <w:lvl w:ilvl="2" w:tplc="47005B00">
      <w:numFmt w:val="bullet"/>
      <w:lvlText w:val="•"/>
      <w:lvlJc w:val="left"/>
      <w:pPr>
        <w:ind w:left="3133" w:hanging="389"/>
      </w:pPr>
      <w:rPr>
        <w:rFonts w:hint="default"/>
        <w:lang w:val="tr-TR" w:eastAsia="en-US" w:bidi="ar-SA"/>
      </w:rPr>
    </w:lvl>
    <w:lvl w:ilvl="3" w:tplc="72C8E9DA">
      <w:numFmt w:val="bullet"/>
      <w:lvlText w:val="•"/>
      <w:lvlJc w:val="left"/>
      <w:pPr>
        <w:ind w:left="3909" w:hanging="389"/>
      </w:pPr>
      <w:rPr>
        <w:rFonts w:hint="default"/>
        <w:lang w:val="tr-TR" w:eastAsia="en-US" w:bidi="ar-SA"/>
      </w:rPr>
    </w:lvl>
    <w:lvl w:ilvl="4" w:tplc="D4764AA2">
      <w:numFmt w:val="bullet"/>
      <w:lvlText w:val="•"/>
      <w:lvlJc w:val="left"/>
      <w:pPr>
        <w:ind w:left="4686" w:hanging="389"/>
      </w:pPr>
      <w:rPr>
        <w:rFonts w:hint="default"/>
        <w:lang w:val="tr-TR" w:eastAsia="en-US" w:bidi="ar-SA"/>
      </w:rPr>
    </w:lvl>
    <w:lvl w:ilvl="5" w:tplc="953ED92C">
      <w:numFmt w:val="bullet"/>
      <w:lvlText w:val="•"/>
      <w:lvlJc w:val="left"/>
      <w:pPr>
        <w:ind w:left="5463" w:hanging="389"/>
      </w:pPr>
      <w:rPr>
        <w:rFonts w:hint="default"/>
        <w:lang w:val="tr-TR" w:eastAsia="en-US" w:bidi="ar-SA"/>
      </w:rPr>
    </w:lvl>
    <w:lvl w:ilvl="6" w:tplc="F362B166">
      <w:numFmt w:val="bullet"/>
      <w:lvlText w:val="•"/>
      <w:lvlJc w:val="left"/>
      <w:pPr>
        <w:ind w:left="6239" w:hanging="389"/>
      </w:pPr>
      <w:rPr>
        <w:rFonts w:hint="default"/>
        <w:lang w:val="tr-TR" w:eastAsia="en-US" w:bidi="ar-SA"/>
      </w:rPr>
    </w:lvl>
    <w:lvl w:ilvl="7" w:tplc="29F88FC8">
      <w:numFmt w:val="bullet"/>
      <w:lvlText w:val="•"/>
      <w:lvlJc w:val="left"/>
      <w:pPr>
        <w:ind w:left="7016" w:hanging="389"/>
      </w:pPr>
      <w:rPr>
        <w:rFonts w:hint="default"/>
        <w:lang w:val="tr-TR" w:eastAsia="en-US" w:bidi="ar-SA"/>
      </w:rPr>
    </w:lvl>
    <w:lvl w:ilvl="8" w:tplc="7C86AC9A">
      <w:numFmt w:val="bullet"/>
      <w:lvlText w:val="•"/>
      <w:lvlJc w:val="left"/>
      <w:pPr>
        <w:ind w:left="7793" w:hanging="389"/>
      </w:pPr>
      <w:rPr>
        <w:rFonts w:hint="default"/>
        <w:lang w:val="tr-TR" w:eastAsia="en-US" w:bidi="ar-SA"/>
      </w:rPr>
    </w:lvl>
  </w:abstractNum>
  <w:abstractNum w:abstractNumId="66" w15:restartNumberingAfterBreak="0">
    <w:nsid w:val="52E1D03B"/>
    <w:multiLevelType w:val="hybridMultilevel"/>
    <w:tmpl w:val="9EC20236"/>
    <w:lvl w:ilvl="0" w:tplc="4134C766">
      <w:start w:val="1"/>
      <w:numFmt w:val="bullet"/>
      <w:lvlText w:val=""/>
      <w:lvlJc w:val="left"/>
      <w:pPr>
        <w:ind w:left="720" w:hanging="360"/>
      </w:pPr>
      <w:rPr>
        <w:rFonts w:ascii="Symbol" w:hAnsi="Symbol" w:hint="default"/>
      </w:rPr>
    </w:lvl>
    <w:lvl w:ilvl="1" w:tplc="381299A0">
      <w:start w:val="1"/>
      <w:numFmt w:val="bullet"/>
      <w:lvlText w:val="o"/>
      <w:lvlJc w:val="left"/>
      <w:pPr>
        <w:ind w:left="1440" w:hanging="360"/>
      </w:pPr>
      <w:rPr>
        <w:rFonts w:ascii="Courier New" w:hAnsi="Courier New" w:hint="default"/>
      </w:rPr>
    </w:lvl>
    <w:lvl w:ilvl="2" w:tplc="26AE3A84">
      <w:start w:val="1"/>
      <w:numFmt w:val="bullet"/>
      <w:lvlText w:val=""/>
      <w:lvlJc w:val="left"/>
      <w:pPr>
        <w:ind w:left="2160" w:hanging="360"/>
      </w:pPr>
      <w:rPr>
        <w:rFonts w:ascii="Wingdings" w:hAnsi="Wingdings" w:hint="default"/>
      </w:rPr>
    </w:lvl>
    <w:lvl w:ilvl="3" w:tplc="5D2E03E0">
      <w:start w:val="1"/>
      <w:numFmt w:val="bullet"/>
      <w:lvlText w:val=""/>
      <w:lvlJc w:val="left"/>
      <w:pPr>
        <w:ind w:left="2880" w:hanging="360"/>
      </w:pPr>
      <w:rPr>
        <w:rFonts w:ascii="Symbol" w:hAnsi="Symbol" w:hint="default"/>
      </w:rPr>
    </w:lvl>
    <w:lvl w:ilvl="4" w:tplc="20E66184">
      <w:start w:val="1"/>
      <w:numFmt w:val="bullet"/>
      <w:lvlText w:val="o"/>
      <w:lvlJc w:val="left"/>
      <w:pPr>
        <w:ind w:left="3600" w:hanging="360"/>
      </w:pPr>
      <w:rPr>
        <w:rFonts w:ascii="Courier New" w:hAnsi="Courier New" w:hint="default"/>
      </w:rPr>
    </w:lvl>
    <w:lvl w:ilvl="5" w:tplc="61B6F110">
      <w:start w:val="1"/>
      <w:numFmt w:val="bullet"/>
      <w:lvlText w:val=""/>
      <w:lvlJc w:val="left"/>
      <w:pPr>
        <w:ind w:left="4320" w:hanging="360"/>
      </w:pPr>
      <w:rPr>
        <w:rFonts w:ascii="Wingdings" w:hAnsi="Wingdings" w:hint="default"/>
      </w:rPr>
    </w:lvl>
    <w:lvl w:ilvl="6" w:tplc="8952A70C">
      <w:start w:val="1"/>
      <w:numFmt w:val="bullet"/>
      <w:lvlText w:val=""/>
      <w:lvlJc w:val="left"/>
      <w:pPr>
        <w:ind w:left="5040" w:hanging="360"/>
      </w:pPr>
      <w:rPr>
        <w:rFonts w:ascii="Symbol" w:hAnsi="Symbol" w:hint="default"/>
      </w:rPr>
    </w:lvl>
    <w:lvl w:ilvl="7" w:tplc="205835E4">
      <w:start w:val="1"/>
      <w:numFmt w:val="bullet"/>
      <w:lvlText w:val="o"/>
      <w:lvlJc w:val="left"/>
      <w:pPr>
        <w:ind w:left="5760" w:hanging="360"/>
      </w:pPr>
      <w:rPr>
        <w:rFonts w:ascii="Courier New" w:hAnsi="Courier New" w:hint="default"/>
      </w:rPr>
    </w:lvl>
    <w:lvl w:ilvl="8" w:tplc="C0B09784">
      <w:start w:val="1"/>
      <w:numFmt w:val="bullet"/>
      <w:lvlText w:val=""/>
      <w:lvlJc w:val="left"/>
      <w:pPr>
        <w:ind w:left="6480" w:hanging="360"/>
      </w:pPr>
      <w:rPr>
        <w:rFonts w:ascii="Wingdings" w:hAnsi="Wingdings" w:hint="default"/>
      </w:rPr>
    </w:lvl>
  </w:abstractNum>
  <w:abstractNum w:abstractNumId="67" w15:restartNumberingAfterBreak="0">
    <w:nsid w:val="565F3983"/>
    <w:multiLevelType w:val="multilevel"/>
    <w:tmpl w:val="9D6E1C56"/>
    <w:lvl w:ilvl="0">
      <w:start w:val="2"/>
      <w:numFmt w:val="decimal"/>
      <w:lvlText w:val="%1"/>
      <w:lvlJc w:val="left"/>
      <w:pPr>
        <w:ind w:left="816" w:hanging="701"/>
      </w:pPr>
      <w:rPr>
        <w:rFonts w:hint="default"/>
        <w:lang w:val="tr-TR" w:eastAsia="en-US" w:bidi="ar-SA"/>
      </w:rPr>
    </w:lvl>
    <w:lvl w:ilvl="1">
      <w:start w:val="1"/>
      <w:numFmt w:val="decimal"/>
      <w:lvlText w:val="%1.%2"/>
      <w:lvlJc w:val="left"/>
      <w:pPr>
        <w:ind w:left="816" w:hanging="701"/>
      </w:pPr>
      <w:rPr>
        <w:rFonts w:hint="default"/>
        <w:lang w:val="tr-TR" w:eastAsia="en-US" w:bidi="ar-SA"/>
      </w:rPr>
    </w:lvl>
    <w:lvl w:ilvl="2">
      <w:start w:val="3"/>
      <w:numFmt w:val="decimal"/>
      <w:lvlText w:val="%1.%2.%3"/>
      <w:lvlJc w:val="left"/>
      <w:pPr>
        <w:ind w:left="816" w:hanging="701"/>
      </w:pPr>
      <w:rPr>
        <w:rFonts w:ascii="Calibri" w:eastAsia="Calibri" w:hAnsi="Calibri" w:cs="Calibri" w:hint="default"/>
        <w:b/>
        <w:bCs/>
        <w:i w:val="0"/>
        <w:iCs w:val="0"/>
        <w:spacing w:val="-2"/>
        <w:w w:val="100"/>
        <w:sz w:val="22"/>
        <w:szCs w:val="22"/>
        <w:lang w:val="tr-TR" w:eastAsia="en-US" w:bidi="ar-SA"/>
      </w:rPr>
    </w:lvl>
    <w:lvl w:ilvl="3">
      <w:numFmt w:val="bullet"/>
      <w:lvlText w:val=""/>
      <w:lvlJc w:val="left"/>
      <w:pPr>
        <w:ind w:left="836" w:hanging="361"/>
      </w:pPr>
      <w:rPr>
        <w:rFonts w:ascii="Symbol" w:eastAsia="Symbol" w:hAnsi="Symbol" w:cs="Symbol" w:hint="default"/>
        <w:b w:val="0"/>
        <w:bCs w:val="0"/>
        <w:i w:val="0"/>
        <w:iCs w:val="0"/>
        <w:spacing w:val="0"/>
        <w:w w:val="100"/>
        <w:sz w:val="22"/>
        <w:szCs w:val="22"/>
        <w:lang w:val="tr-TR" w:eastAsia="en-US" w:bidi="ar-SA"/>
      </w:rPr>
    </w:lvl>
    <w:lvl w:ilvl="4">
      <w:numFmt w:val="bullet"/>
      <w:lvlText w:val="•"/>
      <w:lvlJc w:val="left"/>
      <w:pPr>
        <w:ind w:left="3668" w:hanging="361"/>
      </w:pPr>
      <w:rPr>
        <w:rFonts w:hint="default"/>
        <w:lang w:val="tr-TR" w:eastAsia="en-US" w:bidi="ar-SA"/>
      </w:rPr>
    </w:lvl>
    <w:lvl w:ilvl="5">
      <w:numFmt w:val="bullet"/>
      <w:lvlText w:val="•"/>
      <w:lvlJc w:val="left"/>
      <w:pPr>
        <w:ind w:left="4611" w:hanging="361"/>
      </w:pPr>
      <w:rPr>
        <w:rFonts w:hint="default"/>
        <w:lang w:val="tr-TR" w:eastAsia="en-US" w:bidi="ar-SA"/>
      </w:rPr>
    </w:lvl>
    <w:lvl w:ilvl="6">
      <w:numFmt w:val="bullet"/>
      <w:lvlText w:val="•"/>
      <w:lvlJc w:val="left"/>
      <w:pPr>
        <w:ind w:left="5554" w:hanging="361"/>
      </w:pPr>
      <w:rPr>
        <w:rFonts w:hint="default"/>
        <w:lang w:val="tr-TR" w:eastAsia="en-US" w:bidi="ar-SA"/>
      </w:rPr>
    </w:lvl>
    <w:lvl w:ilvl="7">
      <w:numFmt w:val="bullet"/>
      <w:lvlText w:val="•"/>
      <w:lvlJc w:val="left"/>
      <w:pPr>
        <w:ind w:left="6497" w:hanging="361"/>
      </w:pPr>
      <w:rPr>
        <w:rFonts w:hint="default"/>
        <w:lang w:val="tr-TR" w:eastAsia="en-US" w:bidi="ar-SA"/>
      </w:rPr>
    </w:lvl>
    <w:lvl w:ilvl="8">
      <w:numFmt w:val="bullet"/>
      <w:lvlText w:val="•"/>
      <w:lvlJc w:val="left"/>
      <w:pPr>
        <w:ind w:left="7440" w:hanging="361"/>
      </w:pPr>
      <w:rPr>
        <w:rFonts w:hint="default"/>
        <w:lang w:val="tr-TR" w:eastAsia="en-US" w:bidi="ar-SA"/>
      </w:rPr>
    </w:lvl>
  </w:abstractNum>
  <w:abstractNum w:abstractNumId="68" w15:restartNumberingAfterBreak="0">
    <w:nsid w:val="58102CFE"/>
    <w:multiLevelType w:val="hybridMultilevel"/>
    <w:tmpl w:val="788C0D12"/>
    <w:lvl w:ilvl="0" w:tplc="BA04BE8E">
      <w:start w:val="1"/>
      <w:numFmt w:val="lowerLetter"/>
      <w:lvlText w:val="%1."/>
      <w:lvlJc w:val="left"/>
      <w:pPr>
        <w:ind w:left="1827" w:hanging="219"/>
      </w:pPr>
      <w:rPr>
        <w:rFonts w:ascii="Calibri" w:eastAsia="Calibri" w:hAnsi="Calibri" w:cs="Calibri" w:hint="default"/>
        <w:b w:val="0"/>
        <w:bCs w:val="0"/>
        <w:i/>
        <w:iCs/>
        <w:spacing w:val="-1"/>
        <w:w w:val="100"/>
        <w:sz w:val="22"/>
        <w:szCs w:val="22"/>
        <w:lang w:val="tr-TR" w:eastAsia="en-US" w:bidi="ar-SA"/>
      </w:rPr>
    </w:lvl>
    <w:lvl w:ilvl="1" w:tplc="C9E84530">
      <w:start w:val="1"/>
      <w:numFmt w:val="decimal"/>
      <w:lvlText w:val="%2."/>
      <w:lvlJc w:val="left"/>
      <w:pPr>
        <w:ind w:left="1608" w:hanging="212"/>
      </w:pPr>
      <w:rPr>
        <w:rFonts w:ascii="Calibri" w:eastAsia="Calibri" w:hAnsi="Calibri" w:cs="Calibri" w:hint="default"/>
        <w:b w:val="0"/>
        <w:bCs w:val="0"/>
        <w:i/>
        <w:iCs/>
        <w:spacing w:val="0"/>
        <w:w w:val="100"/>
        <w:sz w:val="22"/>
        <w:szCs w:val="22"/>
        <w:lang w:val="tr-TR" w:eastAsia="en-US" w:bidi="ar-SA"/>
      </w:rPr>
    </w:lvl>
    <w:lvl w:ilvl="2" w:tplc="C8D4E932">
      <w:start w:val="1"/>
      <w:numFmt w:val="lowerRoman"/>
      <w:lvlText w:val="%3."/>
      <w:lvlJc w:val="left"/>
      <w:pPr>
        <w:ind w:left="1608" w:hanging="173"/>
      </w:pPr>
      <w:rPr>
        <w:rFonts w:ascii="Calibri" w:eastAsia="Calibri" w:hAnsi="Calibri" w:cs="Calibri" w:hint="default"/>
        <w:b w:val="0"/>
        <w:bCs w:val="0"/>
        <w:i/>
        <w:iCs/>
        <w:spacing w:val="-1"/>
        <w:w w:val="100"/>
        <w:sz w:val="22"/>
        <w:szCs w:val="22"/>
        <w:lang w:val="tr-TR" w:eastAsia="en-US" w:bidi="ar-SA"/>
      </w:rPr>
    </w:lvl>
    <w:lvl w:ilvl="3" w:tplc="A4A2799E">
      <w:numFmt w:val="bullet"/>
      <w:lvlText w:val="•"/>
      <w:lvlJc w:val="left"/>
      <w:pPr>
        <w:ind w:left="2863" w:hanging="173"/>
      </w:pPr>
      <w:rPr>
        <w:rFonts w:hint="default"/>
        <w:lang w:val="tr-TR" w:eastAsia="en-US" w:bidi="ar-SA"/>
      </w:rPr>
    </w:lvl>
    <w:lvl w:ilvl="4" w:tplc="3EACA1AA">
      <w:numFmt w:val="bullet"/>
      <w:lvlText w:val="•"/>
      <w:lvlJc w:val="left"/>
      <w:pPr>
        <w:ind w:left="3906" w:hanging="173"/>
      </w:pPr>
      <w:rPr>
        <w:rFonts w:hint="default"/>
        <w:lang w:val="tr-TR" w:eastAsia="en-US" w:bidi="ar-SA"/>
      </w:rPr>
    </w:lvl>
    <w:lvl w:ilvl="5" w:tplc="8A9891FE">
      <w:numFmt w:val="bullet"/>
      <w:lvlText w:val="•"/>
      <w:lvlJc w:val="left"/>
      <w:pPr>
        <w:ind w:left="4949" w:hanging="173"/>
      </w:pPr>
      <w:rPr>
        <w:rFonts w:hint="default"/>
        <w:lang w:val="tr-TR" w:eastAsia="en-US" w:bidi="ar-SA"/>
      </w:rPr>
    </w:lvl>
    <w:lvl w:ilvl="6" w:tplc="4CDAD8A4">
      <w:numFmt w:val="bullet"/>
      <w:lvlText w:val="•"/>
      <w:lvlJc w:val="left"/>
      <w:pPr>
        <w:ind w:left="5993" w:hanging="173"/>
      </w:pPr>
      <w:rPr>
        <w:rFonts w:hint="default"/>
        <w:lang w:val="tr-TR" w:eastAsia="en-US" w:bidi="ar-SA"/>
      </w:rPr>
    </w:lvl>
    <w:lvl w:ilvl="7" w:tplc="96BAD5D4">
      <w:numFmt w:val="bullet"/>
      <w:lvlText w:val="•"/>
      <w:lvlJc w:val="left"/>
      <w:pPr>
        <w:ind w:left="7036" w:hanging="173"/>
      </w:pPr>
      <w:rPr>
        <w:rFonts w:hint="default"/>
        <w:lang w:val="tr-TR" w:eastAsia="en-US" w:bidi="ar-SA"/>
      </w:rPr>
    </w:lvl>
    <w:lvl w:ilvl="8" w:tplc="ADD42464">
      <w:numFmt w:val="bullet"/>
      <w:lvlText w:val="•"/>
      <w:lvlJc w:val="left"/>
      <w:pPr>
        <w:ind w:left="8079" w:hanging="173"/>
      </w:pPr>
      <w:rPr>
        <w:rFonts w:hint="default"/>
        <w:lang w:val="tr-TR" w:eastAsia="en-US" w:bidi="ar-SA"/>
      </w:rPr>
    </w:lvl>
  </w:abstractNum>
  <w:abstractNum w:abstractNumId="69" w15:restartNumberingAfterBreak="0">
    <w:nsid w:val="58353D82"/>
    <w:multiLevelType w:val="hybridMultilevel"/>
    <w:tmpl w:val="B45CA10C"/>
    <w:lvl w:ilvl="0" w:tplc="E31C680E">
      <w:start w:val="1"/>
      <w:numFmt w:val="decimal"/>
      <w:lvlText w:val="%1-"/>
      <w:lvlJc w:val="left"/>
      <w:pPr>
        <w:ind w:left="1786" w:hanging="231"/>
      </w:pPr>
      <w:rPr>
        <w:rFonts w:ascii="Calibri" w:eastAsia="Calibri" w:hAnsi="Calibri" w:cs="Calibri" w:hint="default"/>
        <w:b w:val="0"/>
        <w:bCs w:val="0"/>
        <w:i/>
        <w:iCs/>
        <w:spacing w:val="0"/>
        <w:w w:val="100"/>
        <w:sz w:val="22"/>
        <w:szCs w:val="22"/>
        <w:lang w:val="tr-TR" w:eastAsia="en-US" w:bidi="ar-SA"/>
      </w:rPr>
    </w:lvl>
    <w:lvl w:ilvl="1" w:tplc="74707C18">
      <w:numFmt w:val="bullet"/>
      <w:lvlText w:val="•"/>
      <w:lvlJc w:val="left"/>
      <w:pPr>
        <w:ind w:left="2534" w:hanging="231"/>
      </w:pPr>
      <w:rPr>
        <w:rFonts w:hint="default"/>
        <w:lang w:val="tr-TR" w:eastAsia="en-US" w:bidi="ar-SA"/>
      </w:rPr>
    </w:lvl>
    <w:lvl w:ilvl="2" w:tplc="0AACDCA2">
      <w:numFmt w:val="bullet"/>
      <w:lvlText w:val="•"/>
      <w:lvlJc w:val="left"/>
      <w:pPr>
        <w:ind w:left="3289" w:hanging="231"/>
      </w:pPr>
      <w:rPr>
        <w:rFonts w:hint="default"/>
        <w:lang w:val="tr-TR" w:eastAsia="en-US" w:bidi="ar-SA"/>
      </w:rPr>
    </w:lvl>
    <w:lvl w:ilvl="3" w:tplc="EEDE6D12">
      <w:numFmt w:val="bullet"/>
      <w:lvlText w:val="•"/>
      <w:lvlJc w:val="left"/>
      <w:pPr>
        <w:ind w:left="4043" w:hanging="231"/>
      </w:pPr>
      <w:rPr>
        <w:rFonts w:hint="default"/>
        <w:lang w:val="tr-TR" w:eastAsia="en-US" w:bidi="ar-SA"/>
      </w:rPr>
    </w:lvl>
    <w:lvl w:ilvl="4" w:tplc="AA5AE2CA">
      <w:numFmt w:val="bullet"/>
      <w:lvlText w:val="•"/>
      <w:lvlJc w:val="left"/>
      <w:pPr>
        <w:ind w:left="4798" w:hanging="231"/>
      </w:pPr>
      <w:rPr>
        <w:rFonts w:hint="default"/>
        <w:lang w:val="tr-TR" w:eastAsia="en-US" w:bidi="ar-SA"/>
      </w:rPr>
    </w:lvl>
    <w:lvl w:ilvl="5" w:tplc="E06C264E">
      <w:numFmt w:val="bullet"/>
      <w:lvlText w:val="•"/>
      <w:lvlJc w:val="left"/>
      <w:pPr>
        <w:ind w:left="5553" w:hanging="231"/>
      </w:pPr>
      <w:rPr>
        <w:rFonts w:hint="default"/>
        <w:lang w:val="tr-TR" w:eastAsia="en-US" w:bidi="ar-SA"/>
      </w:rPr>
    </w:lvl>
    <w:lvl w:ilvl="6" w:tplc="D5C8E102">
      <w:numFmt w:val="bullet"/>
      <w:lvlText w:val="•"/>
      <w:lvlJc w:val="left"/>
      <w:pPr>
        <w:ind w:left="6307" w:hanging="231"/>
      </w:pPr>
      <w:rPr>
        <w:rFonts w:hint="default"/>
        <w:lang w:val="tr-TR" w:eastAsia="en-US" w:bidi="ar-SA"/>
      </w:rPr>
    </w:lvl>
    <w:lvl w:ilvl="7" w:tplc="8B8CF78C">
      <w:numFmt w:val="bullet"/>
      <w:lvlText w:val="•"/>
      <w:lvlJc w:val="left"/>
      <w:pPr>
        <w:ind w:left="7062" w:hanging="231"/>
      </w:pPr>
      <w:rPr>
        <w:rFonts w:hint="default"/>
        <w:lang w:val="tr-TR" w:eastAsia="en-US" w:bidi="ar-SA"/>
      </w:rPr>
    </w:lvl>
    <w:lvl w:ilvl="8" w:tplc="44A82FE0">
      <w:numFmt w:val="bullet"/>
      <w:lvlText w:val="•"/>
      <w:lvlJc w:val="left"/>
      <w:pPr>
        <w:ind w:left="7817" w:hanging="231"/>
      </w:pPr>
      <w:rPr>
        <w:rFonts w:hint="default"/>
        <w:lang w:val="tr-TR" w:eastAsia="en-US" w:bidi="ar-SA"/>
      </w:rPr>
    </w:lvl>
  </w:abstractNum>
  <w:abstractNum w:abstractNumId="70" w15:restartNumberingAfterBreak="0">
    <w:nsid w:val="587E136D"/>
    <w:multiLevelType w:val="hybridMultilevel"/>
    <w:tmpl w:val="071278B4"/>
    <w:lvl w:ilvl="0" w:tplc="0FBA958C">
      <w:start w:val="1"/>
      <w:numFmt w:val="lowerLetter"/>
      <w:lvlText w:val="%1)"/>
      <w:lvlJc w:val="left"/>
      <w:pPr>
        <w:ind w:left="1608" w:hanging="281"/>
      </w:pPr>
      <w:rPr>
        <w:rFonts w:ascii="Calibri" w:eastAsia="Calibri" w:hAnsi="Calibri" w:cs="Calibri" w:hint="default"/>
        <w:b w:val="0"/>
        <w:bCs w:val="0"/>
        <w:i/>
        <w:iCs/>
        <w:spacing w:val="-1"/>
        <w:w w:val="100"/>
        <w:sz w:val="22"/>
        <w:szCs w:val="22"/>
        <w:lang w:val="tr-TR" w:eastAsia="en-US" w:bidi="ar-SA"/>
      </w:rPr>
    </w:lvl>
    <w:lvl w:ilvl="1" w:tplc="C69A7EE6">
      <w:numFmt w:val="bullet"/>
      <w:lvlText w:val="•"/>
      <w:lvlJc w:val="left"/>
      <w:pPr>
        <w:ind w:left="2456" w:hanging="281"/>
      </w:pPr>
      <w:rPr>
        <w:rFonts w:hint="default"/>
        <w:lang w:val="tr-TR" w:eastAsia="en-US" w:bidi="ar-SA"/>
      </w:rPr>
    </w:lvl>
    <w:lvl w:ilvl="2" w:tplc="DFBCC5AC">
      <w:numFmt w:val="bullet"/>
      <w:lvlText w:val="•"/>
      <w:lvlJc w:val="left"/>
      <w:pPr>
        <w:ind w:left="3313" w:hanging="281"/>
      </w:pPr>
      <w:rPr>
        <w:rFonts w:hint="default"/>
        <w:lang w:val="tr-TR" w:eastAsia="en-US" w:bidi="ar-SA"/>
      </w:rPr>
    </w:lvl>
    <w:lvl w:ilvl="3" w:tplc="EF9CF71C">
      <w:numFmt w:val="bullet"/>
      <w:lvlText w:val="•"/>
      <w:lvlJc w:val="left"/>
      <w:pPr>
        <w:ind w:left="4169" w:hanging="281"/>
      </w:pPr>
      <w:rPr>
        <w:rFonts w:hint="default"/>
        <w:lang w:val="tr-TR" w:eastAsia="en-US" w:bidi="ar-SA"/>
      </w:rPr>
    </w:lvl>
    <w:lvl w:ilvl="4" w:tplc="8C620630">
      <w:numFmt w:val="bullet"/>
      <w:lvlText w:val="•"/>
      <w:lvlJc w:val="left"/>
      <w:pPr>
        <w:ind w:left="5026" w:hanging="281"/>
      </w:pPr>
      <w:rPr>
        <w:rFonts w:hint="default"/>
        <w:lang w:val="tr-TR" w:eastAsia="en-US" w:bidi="ar-SA"/>
      </w:rPr>
    </w:lvl>
    <w:lvl w:ilvl="5" w:tplc="97F4138E">
      <w:numFmt w:val="bullet"/>
      <w:lvlText w:val="•"/>
      <w:lvlJc w:val="left"/>
      <w:pPr>
        <w:ind w:left="5883" w:hanging="281"/>
      </w:pPr>
      <w:rPr>
        <w:rFonts w:hint="default"/>
        <w:lang w:val="tr-TR" w:eastAsia="en-US" w:bidi="ar-SA"/>
      </w:rPr>
    </w:lvl>
    <w:lvl w:ilvl="6" w:tplc="7F288266">
      <w:numFmt w:val="bullet"/>
      <w:lvlText w:val="•"/>
      <w:lvlJc w:val="left"/>
      <w:pPr>
        <w:ind w:left="6739" w:hanging="281"/>
      </w:pPr>
      <w:rPr>
        <w:rFonts w:hint="default"/>
        <w:lang w:val="tr-TR" w:eastAsia="en-US" w:bidi="ar-SA"/>
      </w:rPr>
    </w:lvl>
    <w:lvl w:ilvl="7" w:tplc="043CCA74">
      <w:numFmt w:val="bullet"/>
      <w:lvlText w:val="•"/>
      <w:lvlJc w:val="left"/>
      <w:pPr>
        <w:ind w:left="7596" w:hanging="281"/>
      </w:pPr>
      <w:rPr>
        <w:rFonts w:hint="default"/>
        <w:lang w:val="tr-TR" w:eastAsia="en-US" w:bidi="ar-SA"/>
      </w:rPr>
    </w:lvl>
    <w:lvl w:ilvl="8" w:tplc="82101786">
      <w:numFmt w:val="bullet"/>
      <w:lvlText w:val="•"/>
      <w:lvlJc w:val="left"/>
      <w:pPr>
        <w:ind w:left="8453" w:hanging="281"/>
      </w:pPr>
      <w:rPr>
        <w:rFonts w:hint="default"/>
        <w:lang w:val="tr-TR" w:eastAsia="en-US" w:bidi="ar-SA"/>
      </w:rPr>
    </w:lvl>
  </w:abstractNum>
  <w:abstractNum w:abstractNumId="71" w15:restartNumberingAfterBreak="0">
    <w:nsid w:val="5A843A66"/>
    <w:multiLevelType w:val="hybridMultilevel"/>
    <w:tmpl w:val="53402B56"/>
    <w:lvl w:ilvl="0" w:tplc="EFDA48AC">
      <w:numFmt w:val="bullet"/>
      <w:lvlText w:val=""/>
      <w:lvlJc w:val="left"/>
      <w:pPr>
        <w:ind w:left="826" w:hanging="298"/>
      </w:pPr>
      <w:rPr>
        <w:rFonts w:ascii="Symbol" w:eastAsia="Symbol" w:hAnsi="Symbol" w:cs="Symbol" w:hint="default"/>
        <w:b w:val="0"/>
        <w:bCs w:val="0"/>
        <w:i w:val="0"/>
        <w:iCs w:val="0"/>
        <w:spacing w:val="0"/>
        <w:w w:val="100"/>
        <w:sz w:val="22"/>
        <w:szCs w:val="22"/>
        <w:lang w:val="tr-TR" w:eastAsia="en-US" w:bidi="ar-SA"/>
      </w:rPr>
    </w:lvl>
    <w:lvl w:ilvl="1" w:tplc="3DC649CC">
      <w:numFmt w:val="bullet"/>
      <w:lvlText w:val="-"/>
      <w:lvlJc w:val="left"/>
      <w:pPr>
        <w:ind w:left="1609"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2" w:tplc="7AA0ADF0">
      <w:numFmt w:val="bullet"/>
      <w:lvlText w:val="•"/>
      <w:lvlJc w:val="left"/>
      <w:pPr>
        <w:ind w:left="2551" w:hanging="360"/>
      </w:pPr>
      <w:rPr>
        <w:rFonts w:hint="default"/>
        <w:lang w:val="tr-TR" w:eastAsia="en-US" w:bidi="ar-SA"/>
      </w:rPr>
    </w:lvl>
    <w:lvl w:ilvl="3" w:tplc="5FF24BD0">
      <w:numFmt w:val="bullet"/>
      <w:lvlText w:val="•"/>
      <w:lvlJc w:val="left"/>
      <w:pPr>
        <w:ind w:left="3503" w:hanging="360"/>
      </w:pPr>
      <w:rPr>
        <w:rFonts w:hint="default"/>
        <w:lang w:val="tr-TR" w:eastAsia="en-US" w:bidi="ar-SA"/>
      </w:rPr>
    </w:lvl>
    <w:lvl w:ilvl="4" w:tplc="DF6A6386">
      <w:numFmt w:val="bullet"/>
      <w:lvlText w:val="•"/>
      <w:lvlJc w:val="left"/>
      <w:pPr>
        <w:ind w:left="4455" w:hanging="360"/>
      </w:pPr>
      <w:rPr>
        <w:rFonts w:hint="default"/>
        <w:lang w:val="tr-TR" w:eastAsia="en-US" w:bidi="ar-SA"/>
      </w:rPr>
    </w:lvl>
    <w:lvl w:ilvl="5" w:tplc="926233CE">
      <w:numFmt w:val="bullet"/>
      <w:lvlText w:val="•"/>
      <w:lvlJc w:val="left"/>
      <w:pPr>
        <w:ind w:left="5407" w:hanging="360"/>
      </w:pPr>
      <w:rPr>
        <w:rFonts w:hint="default"/>
        <w:lang w:val="tr-TR" w:eastAsia="en-US" w:bidi="ar-SA"/>
      </w:rPr>
    </w:lvl>
    <w:lvl w:ilvl="6" w:tplc="E7AAEA1C">
      <w:numFmt w:val="bullet"/>
      <w:lvlText w:val="•"/>
      <w:lvlJc w:val="left"/>
      <w:pPr>
        <w:ind w:left="6359" w:hanging="360"/>
      </w:pPr>
      <w:rPr>
        <w:rFonts w:hint="default"/>
        <w:lang w:val="tr-TR" w:eastAsia="en-US" w:bidi="ar-SA"/>
      </w:rPr>
    </w:lvl>
    <w:lvl w:ilvl="7" w:tplc="DDEAD460">
      <w:numFmt w:val="bullet"/>
      <w:lvlText w:val="•"/>
      <w:lvlJc w:val="left"/>
      <w:pPr>
        <w:ind w:left="7310" w:hanging="360"/>
      </w:pPr>
      <w:rPr>
        <w:rFonts w:hint="default"/>
        <w:lang w:val="tr-TR" w:eastAsia="en-US" w:bidi="ar-SA"/>
      </w:rPr>
    </w:lvl>
    <w:lvl w:ilvl="8" w:tplc="07FA5B22">
      <w:numFmt w:val="bullet"/>
      <w:lvlText w:val="•"/>
      <w:lvlJc w:val="left"/>
      <w:pPr>
        <w:ind w:left="8262" w:hanging="360"/>
      </w:pPr>
      <w:rPr>
        <w:rFonts w:hint="default"/>
        <w:lang w:val="tr-TR" w:eastAsia="en-US" w:bidi="ar-SA"/>
      </w:rPr>
    </w:lvl>
  </w:abstractNum>
  <w:abstractNum w:abstractNumId="72" w15:restartNumberingAfterBreak="0">
    <w:nsid w:val="5B325602"/>
    <w:multiLevelType w:val="hybridMultilevel"/>
    <w:tmpl w:val="B1B2A0B0"/>
    <w:lvl w:ilvl="0" w:tplc="056E862C">
      <w:start w:val="26"/>
      <w:numFmt w:val="decimal"/>
      <w:lvlText w:val="%1)"/>
      <w:lvlJc w:val="left"/>
      <w:pPr>
        <w:ind w:left="1555" w:hanging="346"/>
      </w:pPr>
      <w:rPr>
        <w:rFonts w:ascii="Calibri" w:eastAsia="Calibri" w:hAnsi="Calibri" w:cs="Calibri" w:hint="default"/>
        <w:b w:val="0"/>
        <w:bCs w:val="0"/>
        <w:i/>
        <w:iCs/>
        <w:spacing w:val="0"/>
        <w:w w:val="100"/>
        <w:sz w:val="22"/>
        <w:szCs w:val="22"/>
        <w:lang w:val="tr-TR" w:eastAsia="en-US" w:bidi="ar-SA"/>
      </w:rPr>
    </w:lvl>
    <w:lvl w:ilvl="1" w:tplc="E3E8FDDA">
      <w:numFmt w:val="bullet"/>
      <w:lvlText w:val="•"/>
      <w:lvlJc w:val="left"/>
      <w:pPr>
        <w:ind w:left="2336" w:hanging="346"/>
      </w:pPr>
      <w:rPr>
        <w:rFonts w:hint="default"/>
        <w:lang w:val="tr-TR" w:eastAsia="en-US" w:bidi="ar-SA"/>
      </w:rPr>
    </w:lvl>
    <w:lvl w:ilvl="2" w:tplc="5D480586">
      <w:numFmt w:val="bullet"/>
      <w:lvlText w:val="•"/>
      <w:lvlJc w:val="left"/>
      <w:pPr>
        <w:ind w:left="3113" w:hanging="346"/>
      </w:pPr>
      <w:rPr>
        <w:rFonts w:hint="default"/>
        <w:lang w:val="tr-TR" w:eastAsia="en-US" w:bidi="ar-SA"/>
      </w:rPr>
    </w:lvl>
    <w:lvl w:ilvl="3" w:tplc="390C0DE4">
      <w:numFmt w:val="bullet"/>
      <w:lvlText w:val="•"/>
      <w:lvlJc w:val="left"/>
      <w:pPr>
        <w:ind w:left="3889" w:hanging="346"/>
      </w:pPr>
      <w:rPr>
        <w:rFonts w:hint="default"/>
        <w:lang w:val="tr-TR" w:eastAsia="en-US" w:bidi="ar-SA"/>
      </w:rPr>
    </w:lvl>
    <w:lvl w:ilvl="4" w:tplc="2A6E38C0">
      <w:numFmt w:val="bullet"/>
      <w:lvlText w:val="•"/>
      <w:lvlJc w:val="left"/>
      <w:pPr>
        <w:ind w:left="4666" w:hanging="346"/>
      </w:pPr>
      <w:rPr>
        <w:rFonts w:hint="default"/>
        <w:lang w:val="tr-TR" w:eastAsia="en-US" w:bidi="ar-SA"/>
      </w:rPr>
    </w:lvl>
    <w:lvl w:ilvl="5" w:tplc="6838C862">
      <w:numFmt w:val="bullet"/>
      <w:lvlText w:val="•"/>
      <w:lvlJc w:val="left"/>
      <w:pPr>
        <w:ind w:left="5443" w:hanging="346"/>
      </w:pPr>
      <w:rPr>
        <w:rFonts w:hint="default"/>
        <w:lang w:val="tr-TR" w:eastAsia="en-US" w:bidi="ar-SA"/>
      </w:rPr>
    </w:lvl>
    <w:lvl w:ilvl="6" w:tplc="D2BC0478">
      <w:numFmt w:val="bullet"/>
      <w:lvlText w:val="•"/>
      <w:lvlJc w:val="left"/>
      <w:pPr>
        <w:ind w:left="6219" w:hanging="346"/>
      </w:pPr>
      <w:rPr>
        <w:rFonts w:hint="default"/>
        <w:lang w:val="tr-TR" w:eastAsia="en-US" w:bidi="ar-SA"/>
      </w:rPr>
    </w:lvl>
    <w:lvl w:ilvl="7" w:tplc="DE3A18DC">
      <w:numFmt w:val="bullet"/>
      <w:lvlText w:val="•"/>
      <w:lvlJc w:val="left"/>
      <w:pPr>
        <w:ind w:left="6996" w:hanging="346"/>
      </w:pPr>
      <w:rPr>
        <w:rFonts w:hint="default"/>
        <w:lang w:val="tr-TR" w:eastAsia="en-US" w:bidi="ar-SA"/>
      </w:rPr>
    </w:lvl>
    <w:lvl w:ilvl="8" w:tplc="2C7AAFE0">
      <w:numFmt w:val="bullet"/>
      <w:lvlText w:val="•"/>
      <w:lvlJc w:val="left"/>
      <w:pPr>
        <w:ind w:left="7773" w:hanging="346"/>
      </w:pPr>
      <w:rPr>
        <w:rFonts w:hint="default"/>
        <w:lang w:val="tr-TR" w:eastAsia="en-US" w:bidi="ar-SA"/>
      </w:rPr>
    </w:lvl>
  </w:abstractNum>
  <w:abstractNum w:abstractNumId="73" w15:restartNumberingAfterBreak="0">
    <w:nsid w:val="5D5550B7"/>
    <w:multiLevelType w:val="hybridMultilevel"/>
    <w:tmpl w:val="639E2D58"/>
    <w:lvl w:ilvl="0" w:tplc="DA348366">
      <w:start w:val="1"/>
      <w:numFmt w:val="lowerLetter"/>
      <w:lvlText w:val="%1)"/>
      <w:lvlJc w:val="left"/>
      <w:pPr>
        <w:ind w:left="1968" w:hanging="360"/>
      </w:pPr>
      <w:rPr>
        <w:rFonts w:ascii="Calibri" w:eastAsia="Calibri" w:hAnsi="Calibri" w:cs="Calibri" w:hint="default"/>
        <w:b w:val="0"/>
        <w:bCs w:val="0"/>
        <w:i/>
        <w:iCs/>
        <w:spacing w:val="-1"/>
        <w:w w:val="100"/>
        <w:sz w:val="22"/>
        <w:szCs w:val="22"/>
        <w:lang w:val="tr-TR" w:eastAsia="en-US" w:bidi="ar-SA"/>
      </w:rPr>
    </w:lvl>
    <w:lvl w:ilvl="1" w:tplc="402425F8">
      <w:numFmt w:val="bullet"/>
      <w:lvlText w:val="•"/>
      <w:lvlJc w:val="left"/>
      <w:pPr>
        <w:ind w:left="2780" w:hanging="360"/>
      </w:pPr>
      <w:rPr>
        <w:rFonts w:hint="default"/>
        <w:lang w:val="tr-TR" w:eastAsia="en-US" w:bidi="ar-SA"/>
      </w:rPr>
    </w:lvl>
    <w:lvl w:ilvl="2" w:tplc="DF1E3C10">
      <w:numFmt w:val="bullet"/>
      <w:lvlText w:val="•"/>
      <w:lvlJc w:val="left"/>
      <w:pPr>
        <w:ind w:left="3601" w:hanging="360"/>
      </w:pPr>
      <w:rPr>
        <w:rFonts w:hint="default"/>
        <w:lang w:val="tr-TR" w:eastAsia="en-US" w:bidi="ar-SA"/>
      </w:rPr>
    </w:lvl>
    <w:lvl w:ilvl="3" w:tplc="8802278E">
      <w:numFmt w:val="bullet"/>
      <w:lvlText w:val="•"/>
      <w:lvlJc w:val="left"/>
      <w:pPr>
        <w:ind w:left="4421" w:hanging="360"/>
      </w:pPr>
      <w:rPr>
        <w:rFonts w:hint="default"/>
        <w:lang w:val="tr-TR" w:eastAsia="en-US" w:bidi="ar-SA"/>
      </w:rPr>
    </w:lvl>
    <w:lvl w:ilvl="4" w:tplc="EA80E102">
      <w:numFmt w:val="bullet"/>
      <w:lvlText w:val="•"/>
      <w:lvlJc w:val="left"/>
      <w:pPr>
        <w:ind w:left="5242" w:hanging="360"/>
      </w:pPr>
      <w:rPr>
        <w:rFonts w:hint="default"/>
        <w:lang w:val="tr-TR" w:eastAsia="en-US" w:bidi="ar-SA"/>
      </w:rPr>
    </w:lvl>
    <w:lvl w:ilvl="5" w:tplc="CBCE1C62">
      <w:numFmt w:val="bullet"/>
      <w:lvlText w:val="•"/>
      <w:lvlJc w:val="left"/>
      <w:pPr>
        <w:ind w:left="6063" w:hanging="360"/>
      </w:pPr>
      <w:rPr>
        <w:rFonts w:hint="default"/>
        <w:lang w:val="tr-TR" w:eastAsia="en-US" w:bidi="ar-SA"/>
      </w:rPr>
    </w:lvl>
    <w:lvl w:ilvl="6" w:tplc="51048BE0">
      <w:numFmt w:val="bullet"/>
      <w:lvlText w:val="•"/>
      <w:lvlJc w:val="left"/>
      <w:pPr>
        <w:ind w:left="6883" w:hanging="360"/>
      </w:pPr>
      <w:rPr>
        <w:rFonts w:hint="default"/>
        <w:lang w:val="tr-TR" w:eastAsia="en-US" w:bidi="ar-SA"/>
      </w:rPr>
    </w:lvl>
    <w:lvl w:ilvl="7" w:tplc="923A2160">
      <w:numFmt w:val="bullet"/>
      <w:lvlText w:val="•"/>
      <w:lvlJc w:val="left"/>
      <w:pPr>
        <w:ind w:left="7704" w:hanging="360"/>
      </w:pPr>
      <w:rPr>
        <w:rFonts w:hint="default"/>
        <w:lang w:val="tr-TR" w:eastAsia="en-US" w:bidi="ar-SA"/>
      </w:rPr>
    </w:lvl>
    <w:lvl w:ilvl="8" w:tplc="C80E718E">
      <w:numFmt w:val="bullet"/>
      <w:lvlText w:val="•"/>
      <w:lvlJc w:val="left"/>
      <w:pPr>
        <w:ind w:left="8525" w:hanging="360"/>
      </w:pPr>
      <w:rPr>
        <w:rFonts w:hint="default"/>
        <w:lang w:val="tr-TR" w:eastAsia="en-US" w:bidi="ar-SA"/>
      </w:rPr>
    </w:lvl>
  </w:abstractNum>
  <w:abstractNum w:abstractNumId="74"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15:restartNumberingAfterBreak="0">
    <w:nsid w:val="5E547B9A"/>
    <w:multiLevelType w:val="hybridMultilevel"/>
    <w:tmpl w:val="3ABE0A5E"/>
    <w:lvl w:ilvl="0" w:tplc="17E4DFFA">
      <w:start w:val="2"/>
      <w:numFmt w:val="decimal"/>
      <w:lvlText w:val="(%1)"/>
      <w:lvlJc w:val="left"/>
      <w:pPr>
        <w:ind w:left="1608" w:hanging="324"/>
      </w:pPr>
      <w:rPr>
        <w:rFonts w:ascii="Calibri" w:eastAsia="Calibri" w:hAnsi="Calibri" w:cs="Calibri" w:hint="default"/>
        <w:b w:val="0"/>
        <w:bCs w:val="0"/>
        <w:i/>
        <w:iCs/>
        <w:spacing w:val="0"/>
        <w:w w:val="100"/>
        <w:sz w:val="22"/>
        <w:szCs w:val="22"/>
        <w:lang w:val="tr-TR" w:eastAsia="en-US" w:bidi="ar-SA"/>
      </w:rPr>
    </w:lvl>
    <w:lvl w:ilvl="1" w:tplc="3F864BB4">
      <w:start w:val="1"/>
      <w:numFmt w:val="lowerLetter"/>
      <w:lvlText w:val="%2)"/>
      <w:lvlJc w:val="left"/>
      <w:pPr>
        <w:ind w:left="1608" w:hanging="238"/>
      </w:pPr>
      <w:rPr>
        <w:rFonts w:ascii="Calibri" w:eastAsia="Calibri" w:hAnsi="Calibri" w:cs="Calibri" w:hint="default"/>
        <w:b w:val="0"/>
        <w:bCs w:val="0"/>
        <w:i/>
        <w:iCs/>
        <w:spacing w:val="-1"/>
        <w:w w:val="100"/>
        <w:sz w:val="22"/>
        <w:szCs w:val="22"/>
        <w:lang w:val="tr-TR" w:eastAsia="en-US" w:bidi="ar-SA"/>
      </w:rPr>
    </w:lvl>
    <w:lvl w:ilvl="2" w:tplc="AB765E6E">
      <w:numFmt w:val="bullet"/>
      <w:lvlText w:val="•"/>
      <w:lvlJc w:val="left"/>
      <w:pPr>
        <w:ind w:left="3313" w:hanging="238"/>
      </w:pPr>
      <w:rPr>
        <w:rFonts w:hint="default"/>
        <w:lang w:val="tr-TR" w:eastAsia="en-US" w:bidi="ar-SA"/>
      </w:rPr>
    </w:lvl>
    <w:lvl w:ilvl="3" w:tplc="277E7E6C">
      <w:numFmt w:val="bullet"/>
      <w:lvlText w:val="•"/>
      <w:lvlJc w:val="left"/>
      <w:pPr>
        <w:ind w:left="4169" w:hanging="238"/>
      </w:pPr>
      <w:rPr>
        <w:rFonts w:hint="default"/>
        <w:lang w:val="tr-TR" w:eastAsia="en-US" w:bidi="ar-SA"/>
      </w:rPr>
    </w:lvl>
    <w:lvl w:ilvl="4" w:tplc="74824310">
      <w:numFmt w:val="bullet"/>
      <w:lvlText w:val="•"/>
      <w:lvlJc w:val="left"/>
      <w:pPr>
        <w:ind w:left="5026" w:hanging="238"/>
      </w:pPr>
      <w:rPr>
        <w:rFonts w:hint="default"/>
        <w:lang w:val="tr-TR" w:eastAsia="en-US" w:bidi="ar-SA"/>
      </w:rPr>
    </w:lvl>
    <w:lvl w:ilvl="5" w:tplc="471457C4">
      <w:numFmt w:val="bullet"/>
      <w:lvlText w:val="•"/>
      <w:lvlJc w:val="left"/>
      <w:pPr>
        <w:ind w:left="5883" w:hanging="238"/>
      </w:pPr>
      <w:rPr>
        <w:rFonts w:hint="default"/>
        <w:lang w:val="tr-TR" w:eastAsia="en-US" w:bidi="ar-SA"/>
      </w:rPr>
    </w:lvl>
    <w:lvl w:ilvl="6" w:tplc="735E57E0">
      <w:numFmt w:val="bullet"/>
      <w:lvlText w:val="•"/>
      <w:lvlJc w:val="left"/>
      <w:pPr>
        <w:ind w:left="6739" w:hanging="238"/>
      </w:pPr>
      <w:rPr>
        <w:rFonts w:hint="default"/>
        <w:lang w:val="tr-TR" w:eastAsia="en-US" w:bidi="ar-SA"/>
      </w:rPr>
    </w:lvl>
    <w:lvl w:ilvl="7" w:tplc="C262D790">
      <w:numFmt w:val="bullet"/>
      <w:lvlText w:val="•"/>
      <w:lvlJc w:val="left"/>
      <w:pPr>
        <w:ind w:left="7596" w:hanging="238"/>
      </w:pPr>
      <w:rPr>
        <w:rFonts w:hint="default"/>
        <w:lang w:val="tr-TR" w:eastAsia="en-US" w:bidi="ar-SA"/>
      </w:rPr>
    </w:lvl>
    <w:lvl w:ilvl="8" w:tplc="566A97DE">
      <w:numFmt w:val="bullet"/>
      <w:lvlText w:val="•"/>
      <w:lvlJc w:val="left"/>
      <w:pPr>
        <w:ind w:left="8453" w:hanging="238"/>
      </w:pPr>
      <w:rPr>
        <w:rFonts w:hint="default"/>
        <w:lang w:val="tr-TR" w:eastAsia="en-US" w:bidi="ar-SA"/>
      </w:rPr>
    </w:lvl>
  </w:abstractNum>
  <w:abstractNum w:abstractNumId="76" w15:restartNumberingAfterBreak="0">
    <w:nsid w:val="625821F4"/>
    <w:multiLevelType w:val="hybridMultilevel"/>
    <w:tmpl w:val="883CE500"/>
    <w:lvl w:ilvl="0" w:tplc="C764EB66">
      <w:start w:val="15"/>
      <w:numFmt w:val="lowerLetter"/>
      <w:lvlText w:val="%1)"/>
      <w:lvlJc w:val="left"/>
      <w:pPr>
        <w:ind w:left="1556" w:hanging="267"/>
      </w:pPr>
      <w:rPr>
        <w:rFonts w:ascii="Calibri" w:eastAsia="Calibri" w:hAnsi="Calibri" w:cs="Calibri" w:hint="default"/>
        <w:b w:val="0"/>
        <w:bCs w:val="0"/>
        <w:i/>
        <w:iCs/>
        <w:spacing w:val="-1"/>
        <w:w w:val="100"/>
        <w:sz w:val="22"/>
        <w:szCs w:val="22"/>
        <w:lang w:val="tr-TR" w:eastAsia="en-US" w:bidi="ar-SA"/>
      </w:rPr>
    </w:lvl>
    <w:lvl w:ilvl="1" w:tplc="5100D670">
      <w:numFmt w:val="bullet"/>
      <w:lvlText w:val="•"/>
      <w:lvlJc w:val="left"/>
      <w:pPr>
        <w:ind w:left="2336" w:hanging="267"/>
      </w:pPr>
      <w:rPr>
        <w:rFonts w:hint="default"/>
        <w:lang w:val="tr-TR" w:eastAsia="en-US" w:bidi="ar-SA"/>
      </w:rPr>
    </w:lvl>
    <w:lvl w:ilvl="2" w:tplc="3F587BC2">
      <w:numFmt w:val="bullet"/>
      <w:lvlText w:val="•"/>
      <w:lvlJc w:val="left"/>
      <w:pPr>
        <w:ind w:left="3113" w:hanging="267"/>
      </w:pPr>
      <w:rPr>
        <w:rFonts w:hint="default"/>
        <w:lang w:val="tr-TR" w:eastAsia="en-US" w:bidi="ar-SA"/>
      </w:rPr>
    </w:lvl>
    <w:lvl w:ilvl="3" w:tplc="1D34B106">
      <w:numFmt w:val="bullet"/>
      <w:lvlText w:val="•"/>
      <w:lvlJc w:val="left"/>
      <w:pPr>
        <w:ind w:left="3889" w:hanging="267"/>
      </w:pPr>
      <w:rPr>
        <w:rFonts w:hint="default"/>
        <w:lang w:val="tr-TR" w:eastAsia="en-US" w:bidi="ar-SA"/>
      </w:rPr>
    </w:lvl>
    <w:lvl w:ilvl="4" w:tplc="B3684F5E">
      <w:numFmt w:val="bullet"/>
      <w:lvlText w:val="•"/>
      <w:lvlJc w:val="left"/>
      <w:pPr>
        <w:ind w:left="4666" w:hanging="267"/>
      </w:pPr>
      <w:rPr>
        <w:rFonts w:hint="default"/>
        <w:lang w:val="tr-TR" w:eastAsia="en-US" w:bidi="ar-SA"/>
      </w:rPr>
    </w:lvl>
    <w:lvl w:ilvl="5" w:tplc="47AA9F42">
      <w:numFmt w:val="bullet"/>
      <w:lvlText w:val="•"/>
      <w:lvlJc w:val="left"/>
      <w:pPr>
        <w:ind w:left="5443" w:hanging="267"/>
      </w:pPr>
      <w:rPr>
        <w:rFonts w:hint="default"/>
        <w:lang w:val="tr-TR" w:eastAsia="en-US" w:bidi="ar-SA"/>
      </w:rPr>
    </w:lvl>
    <w:lvl w:ilvl="6" w:tplc="105CE64E">
      <w:numFmt w:val="bullet"/>
      <w:lvlText w:val="•"/>
      <w:lvlJc w:val="left"/>
      <w:pPr>
        <w:ind w:left="6219" w:hanging="267"/>
      </w:pPr>
      <w:rPr>
        <w:rFonts w:hint="default"/>
        <w:lang w:val="tr-TR" w:eastAsia="en-US" w:bidi="ar-SA"/>
      </w:rPr>
    </w:lvl>
    <w:lvl w:ilvl="7" w:tplc="EABCAD38">
      <w:numFmt w:val="bullet"/>
      <w:lvlText w:val="•"/>
      <w:lvlJc w:val="left"/>
      <w:pPr>
        <w:ind w:left="6996" w:hanging="267"/>
      </w:pPr>
      <w:rPr>
        <w:rFonts w:hint="default"/>
        <w:lang w:val="tr-TR" w:eastAsia="en-US" w:bidi="ar-SA"/>
      </w:rPr>
    </w:lvl>
    <w:lvl w:ilvl="8" w:tplc="EC96D6E4">
      <w:numFmt w:val="bullet"/>
      <w:lvlText w:val="•"/>
      <w:lvlJc w:val="left"/>
      <w:pPr>
        <w:ind w:left="7773" w:hanging="267"/>
      </w:pPr>
      <w:rPr>
        <w:rFonts w:hint="default"/>
        <w:lang w:val="tr-TR" w:eastAsia="en-US" w:bidi="ar-SA"/>
      </w:rPr>
    </w:lvl>
  </w:abstractNum>
  <w:abstractNum w:abstractNumId="77" w15:restartNumberingAfterBreak="0">
    <w:nsid w:val="674E6AF5"/>
    <w:multiLevelType w:val="hybridMultilevel"/>
    <w:tmpl w:val="2CECA73E"/>
    <w:lvl w:ilvl="0" w:tplc="9844DF00">
      <w:start w:val="18"/>
      <w:numFmt w:val="lowerLetter"/>
      <w:lvlText w:val="%1)"/>
      <w:lvlJc w:val="left"/>
      <w:pPr>
        <w:ind w:left="1555" w:hanging="320"/>
      </w:pPr>
      <w:rPr>
        <w:rFonts w:ascii="Calibri" w:eastAsia="Calibri" w:hAnsi="Calibri" w:cs="Calibri" w:hint="default"/>
        <w:b w:val="0"/>
        <w:bCs w:val="0"/>
        <w:i/>
        <w:iCs/>
        <w:spacing w:val="0"/>
        <w:w w:val="100"/>
        <w:sz w:val="22"/>
        <w:szCs w:val="22"/>
        <w:lang w:val="tr-TR" w:eastAsia="en-US" w:bidi="ar-SA"/>
      </w:rPr>
    </w:lvl>
    <w:lvl w:ilvl="1" w:tplc="C73CEB36">
      <w:numFmt w:val="bullet"/>
      <w:lvlText w:val="•"/>
      <w:lvlJc w:val="left"/>
      <w:pPr>
        <w:ind w:left="2336" w:hanging="320"/>
      </w:pPr>
      <w:rPr>
        <w:rFonts w:hint="default"/>
        <w:lang w:val="tr-TR" w:eastAsia="en-US" w:bidi="ar-SA"/>
      </w:rPr>
    </w:lvl>
    <w:lvl w:ilvl="2" w:tplc="0E145C86">
      <w:numFmt w:val="bullet"/>
      <w:lvlText w:val="•"/>
      <w:lvlJc w:val="left"/>
      <w:pPr>
        <w:ind w:left="3113" w:hanging="320"/>
      </w:pPr>
      <w:rPr>
        <w:rFonts w:hint="default"/>
        <w:lang w:val="tr-TR" w:eastAsia="en-US" w:bidi="ar-SA"/>
      </w:rPr>
    </w:lvl>
    <w:lvl w:ilvl="3" w:tplc="DD0C9596">
      <w:numFmt w:val="bullet"/>
      <w:lvlText w:val="•"/>
      <w:lvlJc w:val="left"/>
      <w:pPr>
        <w:ind w:left="3889" w:hanging="320"/>
      </w:pPr>
      <w:rPr>
        <w:rFonts w:hint="default"/>
        <w:lang w:val="tr-TR" w:eastAsia="en-US" w:bidi="ar-SA"/>
      </w:rPr>
    </w:lvl>
    <w:lvl w:ilvl="4" w:tplc="2974AE94">
      <w:numFmt w:val="bullet"/>
      <w:lvlText w:val="•"/>
      <w:lvlJc w:val="left"/>
      <w:pPr>
        <w:ind w:left="4666" w:hanging="320"/>
      </w:pPr>
      <w:rPr>
        <w:rFonts w:hint="default"/>
        <w:lang w:val="tr-TR" w:eastAsia="en-US" w:bidi="ar-SA"/>
      </w:rPr>
    </w:lvl>
    <w:lvl w:ilvl="5" w:tplc="D04ECB08">
      <w:numFmt w:val="bullet"/>
      <w:lvlText w:val="•"/>
      <w:lvlJc w:val="left"/>
      <w:pPr>
        <w:ind w:left="5443" w:hanging="320"/>
      </w:pPr>
      <w:rPr>
        <w:rFonts w:hint="default"/>
        <w:lang w:val="tr-TR" w:eastAsia="en-US" w:bidi="ar-SA"/>
      </w:rPr>
    </w:lvl>
    <w:lvl w:ilvl="6" w:tplc="991E9F9E">
      <w:numFmt w:val="bullet"/>
      <w:lvlText w:val="•"/>
      <w:lvlJc w:val="left"/>
      <w:pPr>
        <w:ind w:left="6219" w:hanging="320"/>
      </w:pPr>
      <w:rPr>
        <w:rFonts w:hint="default"/>
        <w:lang w:val="tr-TR" w:eastAsia="en-US" w:bidi="ar-SA"/>
      </w:rPr>
    </w:lvl>
    <w:lvl w:ilvl="7" w:tplc="F16A21E2">
      <w:numFmt w:val="bullet"/>
      <w:lvlText w:val="•"/>
      <w:lvlJc w:val="left"/>
      <w:pPr>
        <w:ind w:left="6996" w:hanging="320"/>
      </w:pPr>
      <w:rPr>
        <w:rFonts w:hint="default"/>
        <w:lang w:val="tr-TR" w:eastAsia="en-US" w:bidi="ar-SA"/>
      </w:rPr>
    </w:lvl>
    <w:lvl w:ilvl="8" w:tplc="243EB382">
      <w:numFmt w:val="bullet"/>
      <w:lvlText w:val="•"/>
      <w:lvlJc w:val="left"/>
      <w:pPr>
        <w:ind w:left="7773" w:hanging="320"/>
      </w:pPr>
      <w:rPr>
        <w:rFonts w:hint="default"/>
        <w:lang w:val="tr-TR" w:eastAsia="en-US" w:bidi="ar-SA"/>
      </w:rPr>
    </w:lvl>
  </w:abstractNum>
  <w:abstractNum w:abstractNumId="78" w15:restartNumberingAfterBreak="0">
    <w:nsid w:val="68FE8EF7"/>
    <w:multiLevelType w:val="hybridMultilevel"/>
    <w:tmpl w:val="610A1D8A"/>
    <w:lvl w:ilvl="0" w:tplc="8FD8B60C">
      <w:numFmt w:val="bullet"/>
      <w:lvlText w:val="•"/>
      <w:lvlJc w:val="left"/>
      <w:pPr>
        <w:ind w:left="1785" w:hanging="705"/>
      </w:pPr>
      <w:rPr>
        <w:rFonts w:ascii="Calibri" w:hAnsi="Calibri" w:hint="default"/>
      </w:rPr>
    </w:lvl>
    <w:lvl w:ilvl="1" w:tplc="96107B6E">
      <w:start w:val="1"/>
      <w:numFmt w:val="bullet"/>
      <w:lvlText w:val="o"/>
      <w:lvlJc w:val="left"/>
      <w:pPr>
        <w:ind w:left="1440" w:hanging="360"/>
      </w:pPr>
      <w:rPr>
        <w:rFonts w:ascii="Courier New" w:hAnsi="Courier New" w:hint="default"/>
      </w:rPr>
    </w:lvl>
    <w:lvl w:ilvl="2" w:tplc="A5148322">
      <w:start w:val="1"/>
      <w:numFmt w:val="bullet"/>
      <w:lvlText w:val=""/>
      <w:lvlJc w:val="left"/>
      <w:pPr>
        <w:ind w:left="2160" w:hanging="360"/>
      </w:pPr>
      <w:rPr>
        <w:rFonts w:ascii="Wingdings" w:hAnsi="Wingdings" w:hint="default"/>
      </w:rPr>
    </w:lvl>
    <w:lvl w:ilvl="3" w:tplc="163A2256">
      <w:start w:val="1"/>
      <w:numFmt w:val="bullet"/>
      <w:lvlText w:val=""/>
      <w:lvlJc w:val="left"/>
      <w:pPr>
        <w:ind w:left="2880" w:hanging="360"/>
      </w:pPr>
      <w:rPr>
        <w:rFonts w:ascii="Symbol" w:hAnsi="Symbol" w:hint="default"/>
      </w:rPr>
    </w:lvl>
    <w:lvl w:ilvl="4" w:tplc="84761ED0">
      <w:start w:val="1"/>
      <w:numFmt w:val="bullet"/>
      <w:lvlText w:val="o"/>
      <w:lvlJc w:val="left"/>
      <w:pPr>
        <w:ind w:left="3600" w:hanging="360"/>
      </w:pPr>
      <w:rPr>
        <w:rFonts w:ascii="Courier New" w:hAnsi="Courier New" w:hint="default"/>
      </w:rPr>
    </w:lvl>
    <w:lvl w:ilvl="5" w:tplc="6EDC50BE">
      <w:start w:val="1"/>
      <w:numFmt w:val="bullet"/>
      <w:lvlText w:val=""/>
      <w:lvlJc w:val="left"/>
      <w:pPr>
        <w:ind w:left="4320" w:hanging="360"/>
      </w:pPr>
      <w:rPr>
        <w:rFonts w:ascii="Wingdings" w:hAnsi="Wingdings" w:hint="default"/>
      </w:rPr>
    </w:lvl>
    <w:lvl w:ilvl="6" w:tplc="185E5196">
      <w:start w:val="1"/>
      <w:numFmt w:val="bullet"/>
      <w:lvlText w:val=""/>
      <w:lvlJc w:val="left"/>
      <w:pPr>
        <w:ind w:left="5040" w:hanging="360"/>
      </w:pPr>
      <w:rPr>
        <w:rFonts w:ascii="Symbol" w:hAnsi="Symbol" w:hint="default"/>
      </w:rPr>
    </w:lvl>
    <w:lvl w:ilvl="7" w:tplc="4064BB7E">
      <w:start w:val="1"/>
      <w:numFmt w:val="bullet"/>
      <w:lvlText w:val="o"/>
      <w:lvlJc w:val="left"/>
      <w:pPr>
        <w:ind w:left="5760" w:hanging="360"/>
      </w:pPr>
      <w:rPr>
        <w:rFonts w:ascii="Courier New" w:hAnsi="Courier New" w:hint="default"/>
      </w:rPr>
    </w:lvl>
    <w:lvl w:ilvl="8" w:tplc="41441A24">
      <w:start w:val="1"/>
      <w:numFmt w:val="bullet"/>
      <w:lvlText w:val=""/>
      <w:lvlJc w:val="left"/>
      <w:pPr>
        <w:ind w:left="6480" w:hanging="360"/>
      </w:pPr>
      <w:rPr>
        <w:rFonts w:ascii="Wingdings" w:hAnsi="Wingdings" w:hint="default"/>
      </w:rPr>
    </w:lvl>
  </w:abstractNum>
  <w:abstractNum w:abstractNumId="79" w15:restartNumberingAfterBreak="0">
    <w:nsid w:val="69BB0561"/>
    <w:multiLevelType w:val="hybridMultilevel"/>
    <w:tmpl w:val="3126D922"/>
    <w:lvl w:ilvl="0" w:tplc="A0AA07EE">
      <w:start w:val="1"/>
      <w:numFmt w:val="lowerLetter"/>
      <w:lvlText w:val="%1)"/>
      <w:lvlJc w:val="left"/>
      <w:pPr>
        <w:ind w:left="1535" w:hanging="351"/>
      </w:pPr>
      <w:rPr>
        <w:rFonts w:ascii="Calibri" w:eastAsia="Calibri" w:hAnsi="Calibri" w:cs="Calibri" w:hint="default"/>
        <w:b w:val="0"/>
        <w:bCs w:val="0"/>
        <w:i w:val="0"/>
        <w:iCs w:val="0"/>
        <w:spacing w:val="-1"/>
        <w:w w:val="100"/>
        <w:sz w:val="22"/>
        <w:szCs w:val="22"/>
        <w:lang w:val="tr-TR" w:eastAsia="en-US" w:bidi="ar-SA"/>
      </w:rPr>
    </w:lvl>
    <w:lvl w:ilvl="1" w:tplc="847CEBEE">
      <w:numFmt w:val="bullet"/>
      <w:lvlText w:val="•"/>
      <w:lvlJc w:val="left"/>
      <w:pPr>
        <w:ind w:left="2318" w:hanging="351"/>
      </w:pPr>
      <w:rPr>
        <w:rFonts w:hint="default"/>
        <w:lang w:val="tr-TR" w:eastAsia="en-US" w:bidi="ar-SA"/>
      </w:rPr>
    </w:lvl>
    <w:lvl w:ilvl="2" w:tplc="A3B49C92">
      <w:numFmt w:val="bullet"/>
      <w:lvlText w:val="•"/>
      <w:lvlJc w:val="left"/>
      <w:pPr>
        <w:ind w:left="3097" w:hanging="351"/>
      </w:pPr>
      <w:rPr>
        <w:rFonts w:hint="default"/>
        <w:lang w:val="tr-TR" w:eastAsia="en-US" w:bidi="ar-SA"/>
      </w:rPr>
    </w:lvl>
    <w:lvl w:ilvl="3" w:tplc="0D0CC3F2">
      <w:numFmt w:val="bullet"/>
      <w:lvlText w:val="•"/>
      <w:lvlJc w:val="left"/>
      <w:pPr>
        <w:ind w:left="3875" w:hanging="351"/>
      </w:pPr>
      <w:rPr>
        <w:rFonts w:hint="default"/>
        <w:lang w:val="tr-TR" w:eastAsia="en-US" w:bidi="ar-SA"/>
      </w:rPr>
    </w:lvl>
    <w:lvl w:ilvl="4" w:tplc="CE2639F4">
      <w:numFmt w:val="bullet"/>
      <w:lvlText w:val="•"/>
      <w:lvlJc w:val="left"/>
      <w:pPr>
        <w:ind w:left="4654" w:hanging="351"/>
      </w:pPr>
      <w:rPr>
        <w:rFonts w:hint="default"/>
        <w:lang w:val="tr-TR" w:eastAsia="en-US" w:bidi="ar-SA"/>
      </w:rPr>
    </w:lvl>
    <w:lvl w:ilvl="5" w:tplc="9CC01C34">
      <w:numFmt w:val="bullet"/>
      <w:lvlText w:val="•"/>
      <w:lvlJc w:val="left"/>
      <w:pPr>
        <w:ind w:left="5433" w:hanging="351"/>
      </w:pPr>
      <w:rPr>
        <w:rFonts w:hint="default"/>
        <w:lang w:val="tr-TR" w:eastAsia="en-US" w:bidi="ar-SA"/>
      </w:rPr>
    </w:lvl>
    <w:lvl w:ilvl="6" w:tplc="4342A028">
      <w:numFmt w:val="bullet"/>
      <w:lvlText w:val="•"/>
      <w:lvlJc w:val="left"/>
      <w:pPr>
        <w:ind w:left="6211" w:hanging="351"/>
      </w:pPr>
      <w:rPr>
        <w:rFonts w:hint="default"/>
        <w:lang w:val="tr-TR" w:eastAsia="en-US" w:bidi="ar-SA"/>
      </w:rPr>
    </w:lvl>
    <w:lvl w:ilvl="7" w:tplc="953C932C">
      <w:numFmt w:val="bullet"/>
      <w:lvlText w:val="•"/>
      <w:lvlJc w:val="left"/>
      <w:pPr>
        <w:ind w:left="6990" w:hanging="351"/>
      </w:pPr>
      <w:rPr>
        <w:rFonts w:hint="default"/>
        <w:lang w:val="tr-TR" w:eastAsia="en-US" w:bidi="ar-SA"/>
      </w:rPr>
    </w:lvl>
    <w:lvl w:ilvl="8" w:tplc="88105758">
      <w:numFmt w:val="bullet"/>
      <w:lvlText w:val="•"/>
      <w:lvlJc w:val="left"/>
      <w:pPr>
        <w:ind w:left="7769" w:hanging="351"/>
      </w:pPr>
      <w:rPr>
        <w:rFonts w:hint="default"/>
        <w:lang w:val="tr-TR" w:eastAsia="en-US" w:bidi="ar-SA"/>
      </w:rPr>
    </w:lvl>
  </w:abstractNum>
  <w:abstractNum w:abstractNumId="80" w15:restartNumberingAfterBreak="0">
    <w:nsid w:val="69E37D0B"/>
    <w:multiLevelType w:val="hybridMultilevel"/>
    <w:tmpl w:val="B8C86DE8"/>
    <w:lvl w:ilvl="0" w:tplc="C666EBA8">
      <w:numFmt w:val="bullet"/>
      <w:lvlText w:val=""/>
      <w:lvlJc w:val="left"/>
      <w:pPr>
        <w:ind w:left="477" w:hanging="361"/>
      </w:pPr>
      <w:rPr>
        <w:rFonts w:ascii="Symbol" w:eastAsia="Symbol" w:hAnsi="Symbol" w:cs="Symbol" w:hint="default"/>
        <w:b w:val="0"/>
        <w:bCs w:val="0"/>
        <w:i w:val="0"/>
        <w:iCs w:val="0"/>
        <w:spacing w:val="0"/>
        <w:w w:val="100"/>
        <w:sz w:val="22"/>
        <w:szCs w:val="22"/>
        <w:lang w:val="tr-TR" w:eastAsia="en-US" w:bidi="ar-SA"/>
      </w:rPr>
    </w:lvl>
    <w:lvl w:ilvl="1" w:tplc="19CC094C">
      <w:numFmt w:val="bullet"/>
      <w:lvlText w:val="•"/>
      <w:lvlJc w:val="left"/>
      <w:pPr>
        <w:ind w:left="1184" w:hanging="706"/>
      </w:pPr>
      <w:rPr>
        <w:rFonts w:ascii="Calibri" w:eastAsia="Calibri" w:hAnsi="Calibri" w:cs="Calibri" w:hint="default"/>
        <w:b w:val="0"/>
        <w:bCs w:val="0"/>
        <w:i w:val="0"/>
        <w:iCs w:val="0"/>
        <w:spacing w:val="0"/>
        <w:w w:val="100"/>
        <w:sz w:val="22"/>
        <w:szCs w:val="22"/>
        <w:lang w:val="tr-TR" w:eastAsia="en-US" w:bidi="ar-SA"/>
      </w:rPr>
    </w:lvl>
    <w:lvl w:ilvl="2" w:tplc="E6947000">
      <w:numFmt w:val="bullet"/>
      <w:lvlText w:val="•"/>
      <w:lvlJc w:val="left"/>
      <w:pPr>
        <w:ind w:left="2178" w:hanging="706"/>
      </w:pPr>
      <w:rPr>
        <w:rFonts w:hint="default"/>
        <w:lang w:val="tr-TR" w:eastAsia="en-US" w:bidi="ar-SA"/>
      </w:rPr>
    </w:lvl>
    <w:lvl w:ilvl="3" w:tplc="4B9ACCF8">
      <w:numFmt w:val="bullet"/>
      <w:lvlText w:val="•"/>
      <w:lvlJc w:val="left"/>
      <w:pPr>
        <w:ind w:left="3176" w:hanging="706"/>
      </w:pPr>
      <w:rPr>
        <w:rFonts w:hint="default"/>
        <w:lang w:val="tr-TR" w:eastAsia="en-US" w:bidi="ar-SA"/>
      </w:rPr>
    </w:lvl>
    <w:lvl w:ilvl="4" w:tplc="D8888AD0">
      <w:numFmt w:val="bullet"/>
      <w:lvlText w:val="•"/>
      <w:lvlJc w:val="left"/>
      <w:pPr>
        <w:ind w:left="4175" w:hanging="706"/>
      </w:pPr>
      <w:rPr>
        <w:rFonts w:hint="default"/>
        <w:lang w:val="tr-TR" w:eastAsia="en-US" w:bidi="ar-SA"/>
      </w:rPr>
    </w:lvl>
    <w:lvl w:ilvl="5" w:tplc="E76A7F26">
      <w:numFmt w:val="bullet"/>
      <w:lvlText w:val="•"/>
      <w:lvlJc w:val="left"/>
      <w:pPr>
        <w:ind w:left="5173" w:hanging="706"/>
      </w:pPr>
      <w:rPr>
        <w:rFonts w:hint="default"/>
        <w:lang w:val="tr-TR" w:eastAsia="en-US" w:bidi="ar-SA"/>
      </w:rPr>
    </w:lvl>
    <w:lvl w:ilvl="6" w:tplc="4A3C6E1C">
      <w:numFmt w:val="bullet"/>
      <w:lvlText w:val="•"/>
      <w:lvlJc w:val="left"/>
      <w:pPr>
        <w:ind w:left="6172" w:hanging="706"/>
      </w:pPr>
      <w:rPr>
        <w:rFonts w:hint="default"/>
        <w:lang w:val="tr-TR" w:eastAsia="en-US" w:bidi="ar-SA"/>
      </w:rPr>
    </w:lvl>
    <w:lvl w:ilvl="7" w:tplc="94C6E34C">
      <w:numFmt w:val="bullet"/>
      <w:lvlText w:val="•"/>
      <w:lvlJc w:val="left"/>
      <w:pPr>
        <w:ind w:left="7170" w:hanging="706"/>
      </w:pPr>
      <w:rPr>
        <w:rFonts w:hint="default"/>
        <w:lang w:val="tr-TR" w:eastAsia="en-US" w:bidi="ar-SA"/>
      </w:rPr>
    </w:lvl>
    <w:lvl w:ilvl="8" w:tplc="7F463612">
      <w:numFmt w:val="bullet"/>
      <w:lvlText w:val="•"/>
      <w:lvlJc w:val="left"/>
      <w:pPr>
        <w:ind w:left="8169" w:hanging="706"/>
      </w:pPr>
      <w:rPr>
        <w:rFonts w:hint="default"/>
        <w:lang w:val="tr-TR" w:eastAsia="en-US" w:bidi="ar-SA"/>
      </w:rPr>
    </w:lvl>
  </w:abstractNum>
  <w:abstractNum w:abstractNumId="81" w15:restartNumberingAfterBreak="0">
    <w:nsid w:val="69E41017"/>
    <w:multiLevelType w:val="hybridMultilevel"/>
    <w:tmpl w:val="CA781484"/>
    <w:lvl w:ilvl="0" w:tplc="7766DEAC">
      <w:numFmt w:val="bullet"/>
      <w:lvlText w:val=""/>
      <w:lvlJc w:val="left"/>
      <w:pPr>
        <w:ind w:left="855" w:hanging="361"/>
      </w:pPr>
      <w:rPr>
        <w:rFonts w:ascii="Symbol" w:eastAsia="Symbol" w:hAnsi="Symbol" w:cs="Symbol" w:hint="default"/>
        <w:b w:val="0"/>
        <w:bCs w:val="0"/>
        <w:i w:val="0"/>
        <w:iCs w:val="0"/>
        <w:spacing w:val="0"/>
        <w:w w:val="100"/>
        <w:sz w:val="22"/>
        <w:szCs w:val="22"/>
        <w:lang w:val="tr-TR" w:eastAsia="en-US" w:bidi="ar-SA"/>
      </w:rPr>
    </w:lvl>
    <w:lvl w:ilvl="1" w:tplc="07E08E7A">
      <w:numFmt w:val="bullet"/>
      <w:lvlText w:val="-"/>
      <w:lvlJc w:val="left"/>
      <w:pPr>
        <w:ind w:left="1575" w:hanging="360"/>
      </w:pPr>
      <w:rPr>
        <w:rFonts w:ascii="Times New Roman" w:eastAsia="Times New Roman" w:hAnsi="Times New Roman" w:cs="Times New Roman" w:hint="default"/>
        <w:spacing w:val="0"/>
        <w:w w:val="100"/>
        <w:lang w:val="tr-TR" w:eastAsia="en-US" w:bidi="ar-SA"/>
      </w:rPr>
    </w:lvl>
    <w:lvl w:ilvl="2" w:tplc="697C1AC0">
      <w:start w:val="1"/>
      <w:numFmt w:val="lowerLetter"/>
      <w:lvlText w:val="%3)"/>
      <w:lvlJc w:val="left"/>
      <w:pPr>
        <w:ind w:left="1806" w:hanging="360"/>
      </w:pPr>
      <w:rPr>
        <w:rFonts w:ascii="Calibri" w:eastAsia="Calibri" w:hAnsi="Calibri" w:cs="Calibri" w:hint="default"/>
        <w:b w:val="0"/>
        <w:bCs w:val="0"/>
        <w:i/>
        <w:iCs/>
        <w:spacing w:val="-1"/>
        <w:w w:val="100"/>
        <w:sz w:val="22"/>
        <w:szCs w:val="22"/>
        <w:lang w:val="tr-TR" w:eastAsia="en-US" w:bidi="ar-SA"/>
      </w:rPr>
    </w:lvl>
    <w:lvl w:ilvl="3" w:tplc="78C80168">
      <w:numFmt w:val="bullet"/>
      <w:lvlText w:val="•"/>
      <w:lvlJc w:val="left"/>
      <w:pPr>
        <w:ind w:left="2743" w:hanging="360"/>
      </w:pPr>
      <w:rPr>
        <w:rFonts w:hint="default"/>
        <w:lang w:val="tr-TR" w:eastAsia="en-US" w:bidi="ar-SA"/>
      </w:rPr>
    </w:lvl>
    <w:lvl w:ilvl="4" w:tplc="4F5268B0">
      <w:numFmt w:val="bullet"/>
      <w:lvlText w:val="•"/>
      <w:lvlJc w:val="left"/>
      <w:pPr>
        <w:ind w:left="3686" w:hanging="360"/>
      </w:pPr>
      <w:rPr>
        <w:rFonts w:hint="default"/>
        <w:lang w:val="tr-TR" w:eastAsia="en-US" w:bidi="ar-SA"/>
      </w:rPr>
    </w:lvl>
    <w:lvl w:ilvl="5" w:tplc="B4C6A624">
      <w:numFmt w:val="bullet"/>
      <w:lvlText w:val="•"/>
      <w:lvlJc w:val="left"/>
      <w:pPr>
        <w:ind w:left="4629" w:hanging="360"/>
      </w:pPr>
      <w:rPr>
        <w:rFonts w:hint="default"/>
        <w:lang w:val="tr-TR" w:eastAsia="en-US" w:bidi="ar-SA"/>
      </w:rPr>
    </w:lvl>
    <w:lvl w:ilvl="6" w:tplc="4080F298">
      <w:numFmt w:val="bullet"/>
      <w:lvlText w:val="•"/>
      <w:lvlJc w:val="left"/>
      <w:pPr>
        <w:ind w:left="5573" w:hanging="360"/>
      </w:pPr>
      <w:rPr>
        <w:rFonts w:hint="default"/>
        <w:lang w:val="tr-TR" w:eastAsia="en-US" w:bidi="ar-SA"/>
      </w:rPr>
    </w:lvl>
    <w:lvl w:ilvl="7" w:tplc="7026051E">
      <w:numFmt w:val="bullet"/>
      <w:lvlText w:val="•"/>
      <w:lvlJc w:val="left"/>
      <w:pPr>
        <w:ind w:left="6516" w:hanging="360"/>
      </w:pPr>
      <w:rPr>
        <w:rFonts w:hint="default"/>
        <w:lang w:val="tr-TR" w:eastAsia="en-US" w:bidi="ar-SA"/>
      </w:rPr>
    </w:lvl>
    <w:lvl w:ilvl="8" w:tplc="9550CD5A">
      <w:numFmt w:val="bullet"/>
      <w:lvlText w:val="•"/>
      <w:lvlJc w:val="left"/>
      <w:pPr>
        <w:ind w:left="7459" w:hanging="360"/>
      </w:pPr>
      <w:rPr>
        <w:rFonts w:hint="default"/>
        <w:lang w:val="tr-TR" w:eastAsia="en-US" w:bidi="ar-SA"/>
      </w:rPr>
    </w:lvl>
  </w:abstractNum>
  <w:abstractNum w:abstractNumId="82" w15:restartNumberingAfterBreak="0">
    <w:nsid w:val="6D5237A6"/>
    <w:multiLevelType w:val="hybridMultilevel"/>
    <w:tmpl w:val="2222E464"/>
    <w:lvl w:ilvl="0" w:tplc="727C5948">
      <w:start w:val="2"/>
      <w:numFmt w:val="decimal"/>
      <w:lvlText w:val="(%1)"/>
      <w:lvlJc w:val="left"/>
      <w:pPr>
        <w:ind w:left="1576" w:hanging="337"/>
      </w:pPr>
      <w:rPr>
        <w:rFonts w:ascii="Calibri" w:eastAsia="Calibri" w:hAnsi="Calibri" w:cs="Calibri" w:hint="default"/>
        <w:b w:val="0"/>
        <w:bCs w:val="0"/>
        <w:i/>
        <w:iCs/>
        <w:spacing w:val="0"/>
        <w:w w:val="100"/>
        <w:sz w:val="22"/>
        <w:szCs w:val="22"/>
        <w:lang w:val="tr-TR" w:eastAsia="en-US" w:bidi="ar-SA"/>
      </w:rPr>
    </w:lvl>
    <w:lvl w:ilvl="1" w:tplc="935245E4">
      <w:numFmt w:val="bullet"/>
      <w:lvlText w:val="•"/>
      <w:lvlJc w:val="left"/>
      <w:pPr>
        <w:ind w:left="2356" w:hanging="337"/>
      </w:pPr>
      <w:rPr>
        <w:rFonts w:hint="default"/>
        <w:lang w:val="tr-TR" w:eastAsia="en-US" w:bidi="ar-SA"/>
      </w:rPr>
    </w:lvl>
    <w:lvl w:ilvl="2" w:tplc="9BA8044E">
      <w:numFmt w:val="bullet"/>
      <w:lvlText w:val="•"/>
      <w:lvlJc w:val="left"/>
      <w:pPr>
        <w:ind w:left="3133" w:hanging="337"/>
      </w:pPr>
      <w:rPr>
        <w:rFonts w:hint="default"/>
        <w:lang w:val="tr-TR" w:eastAsia="en-US" w:bidi="ar-SA"/>
      </w:rPr>
    </w:lvl>
    <w:lvl w:ilvl="3" w:tplc="752814FE">
      <w:numFmt w:val="bullet"/>
      <w:lvlText w:val="•"/>
      <w:lvlJc w:val="left"/>
      <w:pPr>
        <w:ind w:left="3909" w:hanging="337"/>
      </w:pPr>
      <w:rPr>
        <w:rFonts w:hint="default"/>
        <w:lang w:val="tr-TR" w:eastAsia="en-US" w:bidi="ar-SA"/>
      </w:rPr>
    </w:lvl>
    <w:lvl w:ilvl="4" w:tplc="AC060748">
      <w:numFmt w:val="bullet"/>
      <w:lvlText w:val="•"/>
      <w:lvlJc w:val="left"/>
      <w:pPr>
        <w:ind w:left="4686" w:hanging="337"/>
      </w:pPr>
      <w:rPr>
        <w:rFonts w:hint="default"/>
        <w:lang w:val="tr-TR" w:eastAsia="en-US" w:bidi="ar-SA"/>
      </w:rPr>
    </w:lvl>
    <w:lvl w:ilvl="5" w:tplc="B1EA14BE">
      <w:numFmt w:val="bullet"/>
      <w:lvlText w:val="•"/>
      <w:lvlJc w:val="left"/>
      <w:pPr>
        <w:ind w:left="5463" w:hanging="337"/>
      </w:pPr>
      <w:rPr>
        <w:rFonts w:hint="default"/>
        <w:lang w:val="tr-TR" w:eastAsia="en-US" w:bidi="ar-SA"/>
      </w:rPr>
    </w:lvl>
    <w:lvl w:ilvl="6" w:tplc="190C5A58">
      <w:numFmt w:val="bullet"/>
      <w:lvlText w:val="•"/>
      <w:lvlJc w:val="left"/>
      <w:pPr>
        <w:ind w:left="6239" w:hanging="337"/>
      </w:pPr>
      <w:rPr>
        <w:rFonts w:hint="default"/>
        <w:lang w:val="tr-TR" w:eastAsia="en-US" w:bidi="ar-SA"/>
      </w:rPr>
    </w:lvl>
    <w:lvl w:ilvl="7" w:tplc="5B58D350">
      <w:numFmt w:val="bullet"/>
      <w:lvlText w:val="•"/>
      <w:lvlJc w:val="left"/>
      <w:pPr>
        <w:ind w:left="7016" w:hanging="337"/>
      </w:pPr>
      <w:rPr>
        <w:rFonts w:hint="default"/>
        <w:lang w:val="tr-TR" w:eastAsia="en-US" w:bidi="ar-SA"/>
      </w:rPr>
    </w:lvl>
    <w:lvl w:ilvl="8" w:tplc="492ECAB0">
      <w:numFmt w:val="bullet"/>
      <w:lvlText w:val="•"/>
      <w:lvlJc w:val="left"/>
      <w:pPr>
        <w:ind w:left="7793" w:hanging="337"/>
      </w:pPr>
      <w:rPr>
        <w:rFonts w:hint="default"/>
        <w:lang w:val="tr-TR" w:eastAsia="en-US" w:bidi="ar-SA"/>
      </w:rPr>
    </w:lvl>
  </w:abstractNum>
  <w:abstractNum w:abstractNumId="83"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7385074F"/>
    <w:multiLevelType w:val="multilevel"/>
    <w:tmpl w:val="9604B1B2"/>
    <w:lvl w:ilvl="0">
      <w:start w:val="1"/>
      <w:numFmt w:val="decimal"/>
      <w:lvlText w:val="%1)"/>
      <w:lvlJc w:val="left"/>
      <w:pPr>
        <w:ind w:left="1248" w:hanging="360"/>
      </w:pPr>
      <w:rPr>
        <w:rFonts w:ascii="Calibri" w:eastAsia="Calibri" w:hAnsi="Calibri" w:cs="Calibri" w:hint="default"/>
        <w:b/>
        <w:bCs/>
        <w:i w:val="0"/>
        <w:iCs w:val="0"/>
        <w:spacing w:val="0"/>
        <w:w w:val="100"/>
        <w:sz w:val="22"/>
        <w:szCs w:val="22"/>
        <w:lang w:val="tr-TR" w:eastAsia="en-US" w:bidi="ar-SA"/>
      </w:rPr>
    </w:lvl>
    <w:lvl w:ilvl="1">
      <w:start w:val="1"/>
      <w:numFmt w:val="lowerLetter"/>
      <w:lvlText w:val="%2)"/>
      <w:lvlJc w:val="left"/>
      <w:pPr>
        <w:ind w:left="823" w:hanging="286"/>
      </w:pPr>
      <w:rPr>
        <w:rFonts w:ascii="Calibri" w:eastAsia="Calibri" w:hAnsi="Calibri" w:cs="Calibri" w:hint="default"/>
        <w:b/>
        <w:bCs/>
        <w:i w:val="0"/>
        <w:iCs w:val="0"/>
        <w:spacing w:val="-1"/>
        <w:w w:val="100"/>
        <w:sz w:val="22"/>
        <w:szCs w:val="22"/>
        <w:lang w:val="tr-TR" w:eastAsia="en-US" w:bidi="ar-SA"/>
      </w:rPr>
    </w:lvl>
    <w:lvl w:ilvl="2">
      <w:start w:val="1"/>
      <w:numFmt w:val="decimal"/>
      <w:lvlText w:val="%2.%3)"/>
      <w:lvlJc w:val="left"/>
      <w:pPr>
        <w:ind w:left="823" w:hanging="456"/>
      </w:pPr>
      <w:rPr>
        <w:rFonts w:ascii="Calibri" w:eastAsia="Calibri" w:hAnsi="Calibri" w:cs="Calibri" w:hint="default"/>
        <w:b/>
        <w:bCs/>
        <w:i w:val="0"/>
        <w:iCs w:val="0"/>
        <w:spacing w:val="-1"/>
        <w:w w:val="100"/>
        <w:sz w:val="22"/>
        <w:szCs w:val="22"/>
        <w:lang w:val="tr-TR" w:eastAsia="en-US" w:bidi="ar-SA"/>
      </w:rPr>
    </w:lvl>
    <w:lvl w:ilvl="3">
      <w:numFmt w:val="bullet"/>
      <w:lvlText w:val="•"/>
      <w:lvlJc w:val="left"/>
      <w:pPr>
        <w:ind w:left="2250" w:hanging="456"/>
      </w:pPr>
      <w:rPr>
        <w:rFonts w:hint="default"/>
        <w:lang w:val="tr-TR" w:eastAsia="en-US" w:bidi="ar-SA"/>
      </w:rPr>
    </w:lvl>
    <w:lvl w:ilvl="4">
      <w:numFmt w:val="bullet"/>
      <w:lvlText w:val="•"/>
      <w:lvlJc w:val="left"/>
      <w:pPr>
        <w:ind w:left="3261" w:hanging="456"/>
      </w:pPr>
      <w:rPr>
        <w:rFonts w:hint="default"/>
        <w:lang w:val="tr-TR" w:eastAsia="en-US" w:bidi="ar-SA"/>
      </w:rPr>
    </w:lvl>
    <w:lvl w:ilvl="5">
      <w:numFmt w:val="bullet"/>
      <w:lvlText w:val="•"/>
      <w:lvlJc w:val="left"/>
      <w:pPr>
        <w:ind w:left="4272" w:hanging="456"/>
      </w:pPr>
      <w:rPr>
        <w:rFonts w:hint="default"/>
        <w:lang w:val="tr-TR" w:eastAsia="en-US" w:bidi="ar-SA"/>
      </w:rPr>
    </w:lvl>
    <w:lvl w:ilvl="6">
      <w:numFmt w:val="bullet"/>
      <w:lvlText w:val="•"/>
      <w:lvlJc w:val="left"/>
      <w:pPr>
        <w:ind w:left="5283" w:hanging="456"/>
      </w:pPr>
      <w:rPr>
        <w:rFonts w:hint="default"/>
        <w:lang w:val="tr-TR" w:eastAsia="en-US" w:bidi="ar-SA"/>
      </w:rPr>
    </w:lvl>
    <w:lvl w:ilvl="7">
      <w:numFmt w:val="bullet"/>
      <w:lvlText w:val="•"/>
      <w:lvlJc w:val="left"/>
      <w:pPr>
        <w:ind w:left="6294" w:hanging="456"/>
      </w:pPr>
      <w:rPr>
        <w:rFonts w:hint="default"/>
        <w:lang w:val="tr-TR" w:eastAsia="en-US" w:bidi="ar-SA"/>
      </w:rPr>
    </w:lvl>
    <w:lvl w:ilvl="8">
      <w:numFmt w:val="bullet"/>
      <w:lvlText w:val="•"/>
      <w:lvlJc w:val="left"/>
      <w:pPr>
        <w:ind w:left="7304" w:hanging="456"/>
      </w:pPr>
      <w:rPr>
        <w:rFonts w:hint="default"/>
        <w:lang w:val="tr-TR" w:eastAsia="en-US" w:bidi="ar-SA"/>
      </w:rPr>
    </w:lvl>
  </w:abstractNum>
  <w:abstractNum w:abstractNumId="85" w15:restartNumberingAfterBreak="0">
    <w:nsid w:val="74AED00A"/>
    <w:multiLevelType w:val="hybridMultilevel"/>
    <w:tmpl w:val="93161B8A"/>
    <w:lvl w:ilvl="0" w:tplc="EA22D6C8">
      <w:numFmt w:val="bullet"/>
      <w:lvlText w:val="•"/>
      <w:lvlJc w:val="left"/>
      <w:pPr>
        <w:ind w:left="1065" w:hanging="705"/>
      </w:pPr>
      <w:rPr>
        <w:rFonts w:ascii="Calibri" w:hAnsi="Calibri" w:hint="default"/>
      </w:rPr>
    </w:lvl>
    <w:lvl w:ilvl="1" w:tplc="4E5697F2">
      <w:start w:val="1"/>
      <w:numFmt w:val="bullet"/>
      <w:lvlText w:val="o"/>
      <w:lvlJc w:val="left"/>
      <w:pPr>
        <w:ind w:left="1440" w:hanging="360"/>
      </w:pPr>
      <w:rPr>
        <w:rFonts w:ascii="Courier New" w:hAnsi="Courier New" w:hint="default"/>
      </w:rPr>
    </w:lvl>
    <w:lvl w:ilvl="2" w:tplc="A320A0E8">
      <w:start w:val="1"/>
      <w:numFmt w:val="bullet"/>
      <w:lvlText w:val=""/>
      <w:lvlJc w:val="left"/>
      <w:pPr>
        <w:ind w:left="2160" w:hanging="360"/>
      </w:pPr>
      <w:rPr>
        <w:rFonts w:ascii="Wingdings" w:hAnsi="Wingdings" w:hint="default"/>
      </w:rPr>
    </w:lvl>
    <w:lvl w:ilvl="3" w:tplc="5EE4E100">
      <w:start w:val="1"/>
      <w:numFmt w:val="bullet"/>
      <w:lvlText w:val=""/>
      <w:lvlJc w:val="left"/>
      <w:pPr>
        <w:ind w:left="2880" w:hanging="360"/>
      </w:pPr>
      <w:rPr>
        <w:rFonts w:ascii="Symbol" w:hAnsi="Symbol" w:hint="default"/>
      </w:rPr>
    </w:lvl>
    <w:lvl w:ilvl="4" w:tplc="4FD4D688">
      <w:start w:val="1"/>
      <w:numFmt w:val="bullet"/>
      <w:lvlText w:val="o"/>
      <w:lvlJc w:val="left"/>
      <w:pPr>
        <w:ind w:left="3600" w:hanging="360"/>
      </w:pPr>
      <w:rPr>
        <w:rFonts w:ascii="Courier New" w:hAnsi="Courier New" w:hint="default"/>
      </w:rPr>
    </w:lvl>
    <w:lvl w:ilvl="5" w:tplc="C7E05C9A">
      <w:start w:val="1"/>
      <w:numFmt w:val="bullet"/>
      <w:lvlText w:val=""/>
      <w:lvlJc w:val="left"/>
      <w:pPr>
        <w:ind w:left="4320" w:hanging="360"/>
      </w:pPr>
      <w:rPr>
        <w:rFonts w:ascii="Wingdings" w:hAnsi="Wingdings" w:hint="default"/>
      </w:rPr>
    </w:lvl>
    <w:lvl w:ilvl="6" w:tplc="1410F36C">
      <w:start w:val="1"/>
      <w:numFmt w:val="bullet"/>
      <w:lvlText w:val=""/>
      <w:lvlJc w:val="left"/>
      <w:pPr>
        <w:ind w:left="5040" w:hanging="360"/>
      </w:pPr>
      <w:rPr>
        <w:rFonts w:ascii="Symbol" w:hAnsi="Symbol" w:hint="default"/>
      </w:rPr>
    </w:lvl>
    <w:lvl w:ilvl="7" w:tplc="06320B02">
      <w:start w:val="1"/>
      <w:numFmt w:val="bullet"/>
      <w:lvlText w:val="o"/>
      <w:lvlJc w:val="left"/>
      <w:pPr>
        <w:ind w:left="5760" w:hanging="360"/>
      </w:pPr>
      <w:rPr>
        <w:rFonts w:ascii="Courier New" w:hAnsi="Courier New" w:hint="default"/>
      </w:rPr>
    </w:lvl>
    <w:lvl w:ilvl="8" w:tplc="B57836A2">
      <w:start w:val="1"/>
      <w:numFmt w:val="bullet"/>
      <w:lvlText w:val=""/>
      <w:lvlJc w:val="left"/>
      <w:pPr>
        <w:ind w:left="6480" w:hanging="360"/>
      </w:pPr>
      <w:rPr>
        <w:rFonts w:ascii="Wingdings" w:hAnsi="Wingdings" w:hint="default"/>
      </w:rPr>
    </w:lvl>
  </w:abstractNum>
  <w:abstractNum w:abstractNumId="86" w15:restartNumberingAfterBreak="0">
    <w:nsid w:val="75A20E3B"/>
    <w:multiLevelType w:val="hybridMultilevel"/>
    <w:tmpl w:val="1AC07996"/>
    <w:lvl w:ilvl="0" w:tplc="11344A8A">
      <w:start w:val="1"/>
      <w:numFmt w:val="decimal"/>
      <w:lvlText w:val="%1)"/>
      <w:lvlJc w:val="left"/>
      <w:pPr>
        <w:ind w:left="1959" w:hanging="425"/>
      </w:pPr>
      <w:rPr>
        <w:rFonts w:ascii="Calibri" w:eastAsia="Calibri" w:hAnsi="Calibri" w:cs="Calibri" w:hint="default"/>
        <w:b w:val="0"/>
        <w:bCs w:val="0"/>
        <w:i/>
        <w:iCs/>
        <w:spacing w:val="0"/>
        <w:w w:val="100"/>
        <w:sz w:val="22"/>
        <w:szCs w:val="22"/>
        <w:lang w:val="tr-TR" w:eastAsia="en-US" w:bidi="ar-SA"/>
      </w:rPr>
    </w:lvl>
    <w:lvl w:ilvl="1" w:tplc="084CB88C">
      <w:numFmt w:val="bullet"/>
      <w:lvlText w:val="•"/>
      <w:lvlJc w:val="left"/>
      <w:pPr>
        <w:ind w:left="2696" w:hanging="425"/>
      </w:pPr>
      <w:rPr>
        <w:rFonts w:hint="default"/>
        <w:lang w:val="tr-TR" w:eastAsia="en-US" w:bidi="ar-SA"/>
      </w:rPr>
    </w:lvl>
    <w:lvl w:ilvl="2" w:tplc="4B28990A">
      <w:numFmt w:val="bullet"/>
      <w:lvlText w:val="•"/>
      <w:lvlJc w:val="left"/>
      <w:pPr>
        <w:ind w:left="3433" w:hanging="425"/>
      </w:pPr>
      <w:rPr>
        <w:rFonts w:hint="default"/>
        <w:lang w:val="tr-TR" w:eastAsia="en-US" w:bidi="ar-SA"/>
      </w:rPr>
    </w:lvl>
    <w:lvl w:ilvl="3" w:tplc="7D98C85E">
      <w:numFmt w:val="bullet"/>
      <w:lvlText w:val="•"/>
      <w:lvlJc w:val="left"/>
      <w:pPr>
        <w:ind w:left="4169" w:hanging="425"/>
      </w:pPr>
      <w:rPr>
        <w:rFonts w:hint="default"/>
        <w:lang w:val="tr-TR" w:eastAsia="en-US" w:bidi="ar-SA"/>
      </w:rPr>
    </w:lvl>
    <w:lvl w:ilvl="4" w:tplc="4E989D4A">
      <w:numFmt w:val="bullet"/>
      <w:lvlText w:val="•"/>
      <w:lvlJc w:val="left"/>
      <w:pPr>
        <w:ind w:left="4906" w:hanging="425"/>
      </w:pPr>
      <w:rPr>
        <w:rFonts w:hint="default"/>
        <w:lang w:val="tr-TR" w:eastAsia="en-US" w:bidi="ar-SA"/>
      </w:rPr>
    </w:lvl>
    <w:lvl w:ilvl="5" w:tplc="B8DEA282">
      <w:numFmt w:val="bullet"/>
      <w:lvlText w:val="•"/>
      <w:lvlJc w:val="left"/>
      <w:pPr>
        <w:ind w:left="5643" w:hanging="425"/>
      </w:pPr>
      <w:rPr>
        <w:rFonts w:hint="default"/>
        <w:lang w:val="tr-TR" w:eastAsia="en-US" w:bidi="ar-SA"/>
      </w:rPr>
    </w:lvl>
    <w:lvl w:ilvl="6" w:tplc="F668A7E8">
      <w:numFmt w:val="bullet"/>
      <w:lvlText w:val="•"/>
      <w:lvlJc w:val="left"/>
      <w:pPr>
        <w:ind w:left="6379" w:hanging="425"/>
      </w:pPr>
      <w:rPr>
        <w:rFonts w:hint="default"/>
        <w:lang w:val="tr-TR" w:eastAsia="en-US" w:bidi="ar-SA"/>
      </w:rPr>
    </w:lvl>
    <w:lvl w:ilvl="7" w:tplc="1B38A752">
      <w:numFmt w:val="bullet"/>
      <w:lvlText w:val="•"/>
      <w:lvlJc w:val="left"/>
      <w:pPr>
        <w:ind w:left="7116" w:hanging="425"/>
      </w:pPr>
      <w:rPr>
        <w:rFonts w:hint="default"/>
        <w:lang w:val="tr-TR" w:eastAsia="en-US" w:bidi="ar-SA"/>
      </w:rPr>
    </w:lvl>
    <w:lvl w:ilvl="8" w:tplc="7A2E98A2">
      <w:numFmt w:val="bullet"/>
      <w:lvlText w:val="•"/>
      <w:lvlJc w:val="left"/>
      <w:pPr>
        <w:ind w:left="7853" w:hanging="425"/>
      </w:pPr>
      <w:rPr>
        <w:rFonts w:hint="default"/>
        <w:lang w:val="tr-TR" w:eastAsia="en-US" w:bidi="ar-SA"/>
      </w:rPr>
    </w:lvl>
  </w:abstractNum>
  <w:abstractNum w:abstractNumId="87" w15:restartNumberingAfterBreak="0">
    <w:nsid w:val="776A6A0F"/>
    <w:multiLevelType w:val="hybridMultilevel"/>
    <w:tmpl w:val="177EC362"/>
    <w:lvl w:ilvl="0" w:tplc="2736C25E">
      <w:start w:val="8"/>
      <w:numFmt w:val="decimal"/>
      <w:lvlText w:val="(%1)"/>
      <w:lvlJc w:val="left"/>
      <w:pPr>
        <w:ind w:left="1575" w:hanging="380"/>
      </w:pPr>
      <w:rPr>
        <w:rFonts w:ascii="Calibri" w:eastAsia="Calibri" w:hAnsi="Calibri" w:cs="Calibri" w:hint="default"/>
        <w:b w:val="0"/>
        <w:bCs w:val="0"/>
        <w:i/>
        <w:iCs/>
        <w:spacing w:val="0"/>
        <w:w w:val="100"/>
        <w:sz w:val="22"/>
        <w:szCs w:val="22"/>
        <w:lang w:val="tr-TR" w:eastAsia="en-US" w:bidi="ar-SA"/>
      </w:rPr>
    </w:lvl>
    <w:lvl w:ilvl="1" w:tplc="49941508">
      <w:numFmt w:val="bullet"/>
      <w:lvlText w:val="•"/>
      <w:lvlJc w:val="left"/>
      <w:pPr>
        <w:ind w:left="2356" w:hanging="380"/>
      </w:pPr>
      <w:rPr>
        <w:rFonts w:hint="default"/>
        <w:lang w:val="tr-TR" w:eastAsia="en-US" w:bidi="ar-SA"/>
      </w:rPr>
    </w:lvl>
    <w:lvl w:ilvl="2" w:tplc="3AF42BFE">
      <w:numFmt w:val="bullet"/>
      <w:lvlText w:val="•"/>
      <w:lvlJc w:val="left"/>
      <w:pPr>
        <w:ind w:left="3133" w:hanging="380"/>
      </w:pPr>
      <w:rPr>
        <w:rFonts w:hint="default"/>
        <w:lang w:val="tr-TR" w:eastAsia="en-US" w:bidi="ar-SA"/>
      </w:rPr>
    </w:lvl>
    <w:lvl w:ilvl="3" w:tplc="3C04DB6E">
      <w:numFmt w:val="bullet"/>
      <w:lvlText w:val="•"/>
      <w:lvlJc w:val="left"/>
      <w:pPr>
        <w:ind w:left="3909" w:hanging="380"/>
      </w:pPr>
      <w:rPr>
        <w:rFonts w:hint="default"/>
        <w:lang w:val="tr-TR" w:eastAsia="en-US" w:bidi="ar-SA"/>
      </w:rPr>
    </w:lvl>
    <w:lvl w:ilvl="4" w:tplc="AB86E4EC">
      <w:numFmt w:val="bullet"/>
      <w:lvlText w:val="•"/>
      <w:lvlJc w:val="left"/>
      <w:pPr>
        <w:ind w:left="4686" w:hanging="380"/>
      </w:pPr>
      <w:rPr>
        <w:rFonts w:hint="default"/>
        <w:lang w:val="tr-TR" w:eastAsia="en-US" w:bidi="ar-SA"/>
      </w:rPr>
    </w:lvl>
    <w:lvl w:ilvl="5" w:tplc="B114FB58">
      <w:numFmt w:val="bullet"/>
      <w:lvlText w:val="•"/>
      <w:lvlJc w:val="left"/>
      <w:pPr>
        <w:ind w:left="5463" w:hanging="380"/>
      </w:pPr>
      <w:rPr>
        <w:rFonts w:hint="default"/>
        <w:lang w:val="tr-TR" w:eastAsia="en-US" w:bidi="ar-SA"/>
      </w:rPr>
    </w:lvl>
    <w:lvl w:ilvl="6" w:tplc="E668B970">
      <w:numFmt w:val="bullet"/>
      <w:lvlText w:val="•"/>
      <w:lvlJc w:val="left"/>
      <w:pPr>
        <w:ind w:left="6239" w:hanging="380"/>
      </w:pPr>
      <w:rPr>
        <w:rFonts w:hint="default"/>
        <w:lang w:val="tr-TR" w:eastAsia="en-US" w:bidi="ar-SA"/>
      </w:rPr>
    </w:lvl>
    <w:lvl w:ilvl="7" w:tplc="93CEB9A6">
      <w:numFmt w:val="bullet"/>
      <w:lvlText w:val="•"/>
      <w:lvlJc w:val="left"/>
      <w:pPr>
        <w:ind w:left="7016" w:hanging="380"/>
      </w:pPr>
      <w:rPr>
        <w:rFonts w:hint="default"/>
        <w:lang w:val="tr-TR" w:eastAsia="en-US" w:bidi="ar-SA"/>
      </w:rPr>
    </w:lvl>
    <w:lvl w:ilvl="8" w:tplc="AAB2EE32">
      <w:numFmt w:val="bullet"/>
      <w:lvlText w:val="•"/>
      <w:lvlJc w:val="left"/>
      <w:pPr>
        <w:ind w:left="7793" w:hanging="380"/>
      </w:pPr>
      <w:rPr>
        <w:rFonts w:hint="default"/>
        <w:lang w:val="tr-TR" w:eastAsia="en-US" w:bidi="ar-SA"/>
      </w:rPr>
    </w:lvl>
  </w:abstractNum>
  <w:abstractNum w:abstractNumId="88" w15:restartNumberingAfterBreak="0">
    <w:nsid w:val="79520A29"/>
    <w:multiLevelType w:val="hybridMultilevel"/>
    <w:tmpl w:val="D4C6663C"/>
    <w:lvl w:ilvl="0" w:tplc="A9B039F0">
      <w:numFmt w:val="bullet"/>
      <w:lvlText w:val=""/>
      <w:lvlJc w:val="left"/>
      <w:pPr>
        <w:ind w:left="838" w:hanging="361"/>
      </w:pPr>
      <w:rPr>
        <w:rFonts w:ascii="Symbol" w:eastAsia="Symbol" w:hAnsi="Symbol" w:cs="Symbol" w:hint="default"/>
        <w:b w:val="0"/>
        <w:bCs w:val="0"/>
        <w:i w:val="0"/>
        <w:iCs w:val="0"/>
        <w:spacing w:val="0"/>
        <w:w w:val="100"/>
        <w:sz w:val="22"/>
        <w:szCs w:val="22"/>
        <w:lang w:val="tr-TR" w:eastAsia="en-US" w:bidi="ar-SA"/>
      </w:rPr>
    </w:lvl>
    <w:lvl w:ilvl="1" w:tplc="1054C032">
      <w:numFmt w:val="bullet"/>
      <w:lvlText w:val="-"/>
      <w:lvlJc w:val="left"/>
      <w:pPr>
        <w:ind w:left="1608"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2" w:tplc="E9062EE0">
      <w:numFmt w:val="bullet"/>
      <w:lvlText w:val="•"/>
      <w:lvlJc w:val="left"/>
      <w:pPr>
        <w:ind w:left="2551" w:hanging="360"/>
      </w:pPr>
      <w:rPr>
        <w:rFonts w:hint="default"/>
        <w:lang w:val="tr-TR" w:eastAsia="en-US" w:bidi="ar-SA"/>
      </w:rPr>
    </w:lvl>
    <w:lvl w:ilvl="3" w:tplc="C252542C">
      <w:numFmt w:val="bullet"/>
      <w:lvlText w:val="•"/>
      <w:lvlJc w:val="left"/>
      <w:pPr>
        <w:ind w:left="3503" w:hanging="360"/>
      </w:pPr>
      <w:rPr>
        <w:rFonts w:hint="default"/>
        <w:lang w:val="tr-TR" w:eastAsia="en-US" w:bidi="ar-SA"/>
      </w:rPr>
    </w:lvl>
    <w:lvl w:ilvl="4" w:tplc="80F83326">
      <w:numFmt w:val="bullet"/>
      <w:lvlText w:val="•"/>
      <w:lvlJc w:val="left"/>
      <w:pPr>
        <w:ind w:left="4455" w:hanging="360"/>
      </w:pPr>
      <w:rPr>
        <w:rFonts w:hint="default"/>
        <w:lang w:val="tr-TR" w:eastAsia="en-US" w:bidi="ar-SA"/>
      </w:rPr>
    </w:lvl>
    <w:lvl w:ilvl="5" w:tplc="85D4B3FA">
      <w:numFmt w:val="bullet"/>
      <w:lvlText w:val="•"/>
      <w:lvlJc w:val="left"/>
      <w:pPr>
        <w:ind w:left="5407" w:hanging="360"/>
      </w:pPr>
      <w:rPr>
        <w:rFonts w:hint="default"/>
        <w:lang w:val="tr-TR" w:eastAsia="en-US" w:bidi="ar-SA"/>
      </w:rPr>
    </w:lvl>
    <w:lvl w:ilvl="6" w:tplc="1074A3A8">
      <w:numFmt w:val="bullet"/>
      <w:lvlText w:val="•"/>
      <w:lvlJc w:val="left"/>
      <w:pPr>
        <w:ind w:left="6359" w:hanging="360"/>
      </w:pPr>
      <w:rPr>
        <w:rFonts w:hint="default"/>
        <w:lang w:val="tr-TR" w:eastAsia="en-US" w:bidi="ar-SA"/>
      </w:rPr>
    </w:lvl>
    <w:lvl w:ilvl="7" w:tplc="00C26DC6">
      <w:numFmt w:val="bullet"/>
      <w:lvlText w:val="•"/>
      <w:lvlJc w:val="left"/>
      <w:pPr>
        <w:ind w:left="7310" w:hanging="360"/>
      </w:pPr>
      <w:rPr>
        <w:rFonts w:hint="default"/>
        <w:lang w:val="tr-TR" w:eastAsia="en-US" w:bidi="ar-SA"/>
      </w:rPr>
    </w:lvl>
    <w:lvl w:ilvl="8" w:tplc="A92EDEA0">
      <w:numFmt w:val="bullet"/>
      <w:lvlText w:val="•"/>
      <w:lvlJc w:val="left"/>
      <w:pPr>
        <w:ind w:left="8262" w:hanging="360"/>
      </w:pPr>
      <w:rPr>
        <w:rFonts w:hint="default"/>
        <w:lang w:val="tr-TR" w:eastAsia="en-US" w:bidi="ar-SA"/>
      </w:rPr>
    </w:lvl>
  </w:abstractNum>
  <w:abstractNum w:abstractNumId="89" w15:restartNumberingAfterBreak="0">
    <w:nsid w:val="79D95D8F"/>
    <w:multiLevelType w:val="hybridMultilevel"/>
    <w:tmpl w:val="FD428670"/>
    <w:lvl w:ilvl="0" w:tplc="F2B24224">
      <w:start w:val="1"/>
      <w:numFmt w:val="decimal"/>
      <w:lvlText w:val="%1)"/>
      <w:lvlJc w:val="left"/>
      <w:pPr>
        <w:ind w:left="1532" w:hanging="276"/>
      </w:pPr>
      <w:rPr>
        <w:rFonts w:ascii="Calibri" w:eastAsia="Calibri" w:hAnsi="Calibri" w:cs="Calibri" w:hint="default"/>
        <w:b w:val="0"/>
        <w:bCs w:val="0"/>
        <w:i w:val="0"/>
        <w:iCs w:val="0"/>
        <w:spacing w:val="0"/>
        <w:w w:val="100"/>
        <w:sz w:val="22"/>
        <w:szCs w:val="22"/>
        <w:lang w:val="tr-TR" w:eastAsia="en-US" w:bidi="ar-SA"/>
      </w:rPr>
    </w:lvl>
    <w:lvl w:ilvl="1" w:tplc="A99C42C0">
      <w:numFmt w:val="bullet"/>
      <w:lvlText w:val="•"/>
      <w:lvlJc w:val="left"/>
      <w:pPr>
        <w:ind w:left="2318" w:hanging="276"/>
      </w:pPr>
      <w:rPr>
        <w:rFonts w:hint="default"/>
        <w:lang w:val="tr-TR" w:eastAsia="en-US" w:bidi="ar-SA"/>
      </w:rPr>
    </w:lvl>
    <w:lvl w:ilvl="2" w:tplc="1F28A8D2">
      <w:numFmt w:val="bullet"/>
      <w:lvlText w:val="•"/>
      <w:lvlJc w:val="left"/>
      <w:pPr>
        <w:ind w:left="3097" w:hanging="276"/>
      </w:pPr>
      <w:rPr>
        <w:rFonts w:hint="default"/>
        <w:lang w:val="tr-TR" w:eastAsia="en-US" w:bidi="ar-SA"/>
      </w:rPr>
    </w:lvl>
    <w:lvl w:ilvl="3" w:tplc="FCE462B6">
      <w:numFmt w:val="bullet"/>
      <w:lvlText w:val="•"/>
      <w:lvlJc w:val="left"/>
      <w:pPr>
        <w:ind w:left="3875" w:hanging="276"/>
      </w:pPr>
      <w:rPr>
        <w:rFonts w:hint="default"/>
        <w:lang w:val="tr-TR" w:eastAsia="en-US" w:bidi="ar-SA"/>
      </w:rPr>
    </w:lvl>
    <w:lvl w:ilvl="4" w:tplc="6930C758">
      <w:numFmt w:val="bullet"/>
      <w:lvlText w:val="•"/>
      <w:lvlJc w:val="left"/>
      <w:pPr>
        <w:ind w:left="4654" w:hanging="276"/>
      </w:pPr>
      <w:rPr>
        <w:rFonts w:hint="default"/>
        <w:lang w:val="tr-TR" w:eastAsia="en-US" w:bidi="ar-SA"/>
      </w:rPr>
    </w:lvl>
    <w:lvl w:ilvl="5" w:tplc="0EA40B1E">
      <w:numFmt w:val="bullet"/>
      <w:lvlText w:val="•"/>
      <w:lvlJc w:val="left"/>
      <w:pPr>
        <w:ind w:left="5433" w:hanging="276"/>
      </w:pPr>
      <w:rPr>
        <w:rFonts w:hint="default"/>
        <w:lang w:val="tr-TR" w:eastAsia="en-US" w:bidi="ar-SA"/>
      </w:rPr>
    </w:lvl>
    <w:lvl w:ilvl="6" w:tplc="BEB82BFA">
      <w:numFmt w:val="bullet"/>
      <w:lvlText w:val="•"/>
      <w:lvlJc w:val="left"/>
      <w:pPr>
        <w:ind w:left="6211" w:hanging="276"/>
      </w:pPr>
      <w:rPr>
        <w:rFonts w:hint="default"/>
        <w:lang w:val="tr-TR" w:eastAsia="en-US" w:bidi="ar-SA"/>
      </w:rPr>
    </w:lvl>
    <w:lvl w:ilvl="7" w:tplc="9524042E">
      <w:numFmt w:val="bullet"/>
      <w:lvlText w:val="•"/>
      <w:lvlJc w:val="left"/>
      <w:pPr>
        <w:ind w:left="6990" w:hanging="276"/>
      </w:pPr>
      <w:rPr>
        <w:rFonts w:hint="default"/>
        <w:lang w:val="tr-TR" w:eastAsia="en-US" w:bidi="ar-SA"/>
      </w:rPr>
    </w:lvl>
    <w:lvl w:ilvl="8" w:tplc="9F4E108A">
      <w:numFmt w:val="bullet"/>
      <w:lvlText w:val="•"/>
      <w:lvlJc w:val="left"/>
      <w:pPr>
        <w:ind w:left="7769" w:hanging="276"/>
      </w:pPr>
      <w:rPr>
        <w:rFonts w:hint="default"/>
        <w:lang w:val="tr-TR" w:eastAsia="en-US" w:bidi="ar-SA"/>
      </w:rPr>
    </w:lvl>
  </w:abstractNum>
  <w:abstractNum w:abstractNumId="90" w15:restartNumberingAfterBreak="0">
    <w:nsid w:val="7A640ED4"/>
    <w:multiLevelType w:val="hybridMultilevel"/>
    <w:tmpl w:val="0B9E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707273"/>
    <w:multiLevelType w:val="hybridMultilevel"/>
    <w:tmpl w:val="F410C5D2"/>
    <w:lvl w:ilvl="0" w:tplc="95BA6590">
      <w:start w:val="46"/>
      <w:numFmt w:val="decimal"/>
      <w:lvlText w:val="%1)"/>
      <w:lvlJc w:val="left"/>
      <w:pPr>
        <w:ind w:left="1556" w:hanging="329"/>
      </w:pPr>
      <w:rPr>
        <w:rFonts w:ascii="Calibri" w:eastAsia="Calibri" w:hAnsi="Calibri" w:cs="Calibri" w:hint="default"/>
        <w:b w:val="0"/>
        <w:bCs w:val="0"/>
        <w:i/>
        <w:iCs/>
        <w:spacing w:val="0"/>
        <w:w w:val="100"/>
        <w:sz w:val="22"/>
        <w:szCs w:val="22"/>
        <w:lang w:val="tr-TR" w:eastAsia="en-US" w:bidi="ar-SA"/>
      </w:rPr>
    </w:lvl>
    <w:lvl w:ilvl="1" w:tplc="A832FA22">
      <w:numFmt w:val="bullet"/>
      <w:lvlText w:val="•"/>
      <w:lvlJc w:val="left"/>
      <w:pPr>
        <w:ind w:left="2336" w:hanging="329"/>
      </w:pPr>
      <w:rPr>
        <w:rFonts w:hint="default"/>
        <w:lang w:val="tr-TR" w:eastAsia="en-US" w:bidi="ar-SA"/>
      </w:rPr>
    </w:lvl>
    <w:lvl w:ilvl="2" w:tplc="9894F272">
      <w:numFmt w:val="bullet"/>
      <w:lvlText w:val="•"/>
      <w:lvlJc w:val="left"/>
      <w:pPr>
        <w:ind w:left="3113" w:hanging="329"/>
      </w:pPr>
      <w:rPr>
        <w:rFonts w:hint="default"/>
        <w:lang w:val="tr-TR" w:eastAsia="en-US" w:bidi="ar-SA"/>
      </w:rPr>
    </w:lvl>
    <w:lvl w:ilvl="3" w:tplc="964A144E">
      <w:numFmt w:val="bullet"/>
      <w:lvlText w:val="•"/>
      <w:lvlJc w:val="left"/>
      <w:pPr>
        <w:ind w:left="3889" w:hanging="329"/>
      </w:pPr>
      <w:rPr>
        <w:rFonts w:hint="default"/>
        <w:lang w:val="tr-TR" w:eastAsia="en-US" w:bidi="ar-SA"/>
      </w:rPr>
    </w:lvl>
    <w:lvl w:ilvl="4" w:tplc="5EFE9002">
      <w:numFmt w:val="bullet"/>
      <w:lvlText w:val="•"/>
      <w:lvlJc w:val="left"/>
      <w:pPr>
        <w:ind w:left="4666" w:hanging="329"/>
      </w:pPr>
      <w:rPr>
        <w:rFonts w:hint="default"/>
        <w:lang w:val="tr-TR" w:eastAsia="en-US" w:bidi="ar-SA"/>
      </w:rPr>
    </w:lvl>
    <w:lvl w:ilvl="5" w:tplc="2C424310">
      <w:numFmt w:val="bullet"/>
      <w:lvlText w:val="•"/>
      <w:lvlJc w:val="left"/>
      <w:pPr>
        <w:ind w:left="5443" w:hanging="329"/>
      </w:pPr>
      <w:rPr>
        <w:rFonts w:hint="default"/>
        <w:lang w:val="tr-TR" w:eastAsia="en-US" w:bidi="ar-SA"/>
      </w:rPr>
    </w:lvl>
    <w:lvl w:ilvl="6" w:tplc="40346E7E">
      <w:numFmt w:val="bullet"/>
      <w:lvlText w:val="•"/>
      <w:lvlJc w:val="left"/>
      <w:pPr>
        <w:ind w:left="6219" w:hanging="329"/>
      </w:pPr>
      <w:rPr>
        <w:rFonts w:hint="default"/>
        <w:lang w:val="tr-TR" w:eastAsia="en-US" w:bidi="ar-SA"/>
      </w:rPr>
    </w:lvl>
    <w:lvl w:ilvl="7" w:tplc="5630CEEA">
      <w:numFmt w:val="bullet"/>
      <w:lvlText w:val="•"/>
      <w:lvlJc w:val="left"/>
      <w:pPr>
        <w:ind w:left="6996" w:hanging="329"/>
      </w:pPr>
      <w:rPr>
        <w:rFonts w:hint="default"/>
        <w:lang w:val="tr-TR" w:eastAsia="en-US" w:bidi="ar-SA"/>
      </w:rPr>
    </w:lvl>
    <w:lvl w:ilvl="8" w:tplc="7C927714">
      <w:numFmt w:val="bullet"/>
      <w:lvlText w:val="•"/>
      <w:lvlJc w:val="left"/>
      <w:pPr>
        <w:ind w:left="7773" w:hanging="329"/>
      </w:pPr>
      <w:rPr>
        <w:rFonts w:hint="default"/>
        <w:lang w:val="tr-TR" w:eastAsia="en-US" w:bidi="ar-SA"/>
      </w:rPr>
    </w:lvl>
  </w:abstractNum>
  <w:abstractNum w:abstractNumId="92" w15:restartNumberingAfterBreak="0">
    <w:nsid w:val="7E7A0742"/>
    <w:multiLevelType w:val="hybridMultilevel"/>
    <w:tmpl w:val="AA0C1466"/>
    <w:lvl w:ilvl="0" w:tplc="DB5AB346">
      <w:start w:val="1"/>
      <w:numFmt w:val="bullet"/>
      <w:lvlText w:val=""/>
      <w:lvlJc w:val="left"/>
      <w:pPr>
        <w:ind w:left="1428" w:hanging="360"/>
      </w:pPr>
      <w:rPr>
        <w:rFonts w:ascii="Symbol" w:hAnsi="Symbol" w:hint="default"/>
      </w:rPr>
    </w:lvl>
    <w:lvl w:ilvl="1" w:tplc="FFC4C618">
      <w:start w:val="1"/>
      <w:numFmt w:val="bullet"/>
      <w:lvlText w:val="o"/>
      <w:lvlJc w:val="left"/>
      <w:pPr>
        <w:ind w:left="1440" w:hanging="360"/>
      </w:pPr>
      <w:rPr>
        <w:rFonts w:ascii="Courier New" w:hAnsi="Courier New" w:hint="default"/>
      </w:rPr>
    </w:lvl>
    <w:lvl w:ilvl="2" w:tplc="3B9C1C94">
      <w:start w:val="1"/>
      <w:numFmt w:val="bullet"/>
      <w:lvlText w:val=""/>
      <w:lvlJc w:val="left"/>
      <w:pPr>
        <w:ind w:left="2160" w:hanging="360"/>
      </w:pPr>
      <w:rPr>
        <w:rFonts w:ascii="Wingdings" w:hAnsi="Wingdings" w:hint="default"/>
      </w:rPr>
    </w:lvl>
    <w:lvl w:ilvl="3" w:tplc="B03A16D0">
      <w:start w:val="1"/>
      <w:numFmt w:val="bullet"/>
      <w:lvlText w:val=""/>
      <w:lvlJc w:val="left"/>
      <w:pPr>
        <w:ind w:left="2880" w:hanging="360"/>
      </w:pPr>
      <w:rPr>
        <w:rFonts w:ascii="Symbol" w:hAnsi="Symbol" w:hint="default"/>
      </w:rPr>
    </w:lvl>
    <w:lvl w:ilvl="4" w:tplc="7B2CC2FC">
      <w:start w:val="1"/>
      <w:numFmt w:val="bullet"/>
      <w:lvlText w:val="o"/>
      <w:lvlJc w:val="left"/>
      <w:pPr>
        <w:ind w:left="3600" w:hanging="360"/>
      </w:pPr>
      <w:rPr>
        <w:rFonts w:ascii="Courier New" w:hAnsi="Courier New" w:hint="default"/>
      </w:rPr>
    </w:lvl>
    <w:lvl w:ilvl="5" w:tplc="B1DA9682">
      <w:start w:val="1"/>
      <w:numFmt w:val="bullet"/>
      <w:lvlText w:val=""/>
      <w:lvlJc w:val="left"/>
      <w:pPr>
        <w:ind w:left="4320" w:hanging="360"/>
      </w:pPr>
      <w:rPr>
        <w:rFonts w:ascii="Wingdings" w:hAnsi="Wingdings" w:hint="default"/>
      </w:rPr>
    </w:lvl>
    <w:lvl w:ilvl="6" w:tplc="60B8E840">
      <w:start w:val="1"/>
      <w:numFmt w:val="bullet"/>
      <w:lvlText w:val=""/>
      <w:lvlJc w:val="left"/>
      <w:pPr>
        <w:ind w:left="5040" w:hanging="360"/>
      </w:pPr>
      <w:rPr>
        <w:rFonts w:ascii="Symbol" w:hAnsi="Symbol" w:hint="default"/>
      </w:rPr>
    </w:lvl>
    <w:lvl w:ilvl="7" w:tplc="5DF2ABB4">
      <w:start w:val="1"/>
      <w:numFmt w:val="bullet"/>
      <w:lvlText w:val="o"/>
      <w:lvlJc w:val="left"/>
      <w:pPr>
        <w:ind w:left="5760" w:hanging="360"/>
      </w:pPr>
      <w:rPr>
        <w:rFonts w:ascii="Courier New" w:hAnsi="Courier New" w:hint="default"/>
      </w:rPr>
    </w:lvl>
    <w:lvl w:ilvl="8" w:tplc="C622A2CE">
      <w:start w:val="1"/>
      <w:numFmt w:val="bullet"/>
      <w:lvlText w:val=""/>
      <w:lvlJc w:val="left"/>
      <w:pPr>
        <w:ind w:left="6480" w:hanging="360"/>
      </w:pPr>
      <w:rPr>
        <w:rFonts w:ascii="Wingdings" w:hAnsi="Wingdings" w:hint="default"/>
      </w:rPr>
    </w:lvl>
  </w:abstractNum>
  <w:abstractNum w:abstractNumId="93" w15:restartNumberingAfterBreak="0">
    <w:nsid w:val="7EC46A55"/>
    <w:multiLevelType w:val="hybridMultilevel"/>
    <w:tmpl w:val="17E0312E"/>
    <w:lvl w:ilvl="0" w:tplc="2842B290">
      <w:start w:val="1"/>
      <w:numFmt w:val="lowerLetter"/>
      <w:lvlText w:val="%1)"/>
      <w:lvlJc w:val="left"/>
      <w:pPr>
        <w:ind w:left="1555" w:hanging="219"/>
      </w:pPr>
      <w:rPr>
        <w:rFonts w:ascii="Calibri" w:eastAsia="Calibri" w:hAnsi="Calibri" w:cs="Calibri" w:hint="default"/>
        <w:b w:val="0"/>
        <w:bCs w:val="0"/>
        <w:i/>
        <w:iCs/>
        <w:spacing w:val="-1"/>
        <w:w w:val="100"/>
        <w:sz w:val="22"/>
        <w:szCs w:val="22"/>
        <w:lang w:val="tr-TR" w:eastAsia="en-US" w:bidi="ar-SA"/>
      </w:rPr>
    </w:lvl>
    <w:lvl w:ilvl="1" w:tplc="C1A2F238">
      <w:numFmt w:val="bullet"/>
      <w:lvlText w:val="•"/>
      <w:lvlJc w:val="left"/>
      <w:pPr>
        <w:ind w:left="2336" w:hanging="219"/>
      </w:pPr>
      <w:rPr>
        <w:rFonts w:hint="default"/>
        <w:lang w:val="tr-TR" w:eastAsia="en-US" w:bidi="ar-SA"/>
      </w:rPr>
    </w:lvl>
    <w:lvl w:ilvl="2" w:tplc="DBDC1B1A">
      <w:numFmt w:val="bullet"/>
      <w:lvlText w:val="•"/>
      <w:lvlJc w:val="left"/>
      <w:pPr>
        <w:ind w:left="3113" w:hanging="219"/>
      </w:pPr>
      <w:rPr>
        <w:rFonts w:hint="default"/>
        <w:lang w:val="tr-TR" w:eastAsia="en-US" w:bidi="ar-SA"/>
      </w:rPr>
    </w:lvl>
    <w:lvl w:ilvl="3" w:tplc="0444E264">
      <w:numFmt w:val="bullet"/>
      <w:lvlText w:val="•"/>
      <w:lvlJc w:val="left"/>
      <w:pPr>
        <w:ind w:left="3889" w:hanging="219"/>
      </w:pPr>
      <w:rPr>
        <w:rFonts w:hint="default"/>
        <w:lang w:val="tr-TR" w:eastAsia="en-US" w:bidi="ar-SA"/>
      </w:rPr>
    </w:lvl>
    <w:lvl w:ilvl="4" w:tplc="BCDCB4E0">
      <w:numFmt w:val="bullet"/>
      <w:lvlText w:val="•"/>
      <w:lvlJc w:val="left"/>
      <w:pPr>
        <w:ind w:left="4666" w:hanging="219"/>
      </w:pPr>
      <w:rPr>
        <w:rFonts w:hint="default"/>
        <w:lang w:val="tr-TR" w:eastAsia="en-US" w:bidi="ar-SA"/>
      </w:rPr>
    </w:lvl>
    <w:lvl w:ilvl="5" w:tplc="9184160C">
      <w:numFmt w:val="bullet"/>
      <w:lvlText w:val="•"/>
      <w:lvlJc w:val="left"/>
      <w:pPr>
        <w:ind w:left="5443" w:hanging="219"/>
      </w:pPr>
      <w:rPr>
        <w:rFonts w:hint="default"/>
        <w:lang w:val="tr-TR" w:eastAsia="en-US" w:bidi="ar-SA"/>
      </w:rPr>
    </w:lvl>
    <w:lvl w:ilvl="6" w:tplc="2EF607AE">
      <w:numFmt w:val="bullet"/>
      <w:lvlText w:val="•"/>
      <w:lvlJc w:val="left"/>
      <w:pPr>
        <w:ind w:left="6219" w:hanging="219"/>
      </w:pPr>
      <w:rPr>
        <w:rFonts w:hint="default"/>
        <w:lang w:val="tr-TR" w:eastAsia="en-US" w:bidi="ar-SA"/>
      </w:rPr>
    </w:lvl>
    <w:lvl w:ilvl="7" w:tplc="F7ECABBC">
      <w:numFmt w:val="bullet"/>
      <w:lvlText w:val="•"/>
      <w:lvlJc w:val="left"/>
      <w:pPr>
        <w:ind w:left="6996" w:hanging="219"/>
      </w:pPr>
      <w:rPr>
        <w:rFonts w:hint="default"/>
        <w:lang w:val="tr-TR" w:eastAsia="en-US" w:bidi="ar-SA"/>
      </w:rPr>
    </w:lvl>
    <w:lvl w:ilvl="8" w:tplc="F92CAB4C">
      <w:numFmt w:val="bullet"/>
      <w:lvlText w:val="•"/>
      <w:lvlJc w:val="left"/>
      <w:pPr>
        <w:ind w:left="7773" w:hanging="219"/>
      </w:pPr>
      <w:rPr>
        <w:rFonts w:hint="default"/>
        <w:lang w:val="tr-TR" w:eastAsia="en-US" w:bidi="ar-SA"/>
      </w:rPr>
    </w:lvl>
  </w:abstractNum>
  <w:num w:numId="1">
    <w:abstractNumId w:val="13"/>
  </w:num>
  <w:num w:numId="2">
    <w:abstractNumId w:val="53"/>
  </w:num>
  <w:num w:numId="3">
    <w:abstractNumId w:val="59"/>
  </w:num>
  <w:num w:numId="4">
    <w:abstractNumId w:val="14"/>
  </w:num>
  <w:num w:numId="5">
    <w:abstractNumId w:val="54"/>
  </w:num>
  <w:num w:numId="6">
    <w:abstractNumId w:val="25"/>
  </w:num>
  <w:num w:numId="7">
    <w:abstractNumId w:val="34"/>
  </w:num>
  <w:num w:numId="8">
    <w:abstractNumId w:val="63"/>
  </w:num>
  <w:num w:numId="9">
    <w:abstractNumId w:val="4"/>
  </w:num>
  <w:num w:numId="10">
    <w:abstractNumId w:val="23"/>
  </w:num>
  <w:num w:numId="11">
    <w:abstractNumId w:val="43"/>
  </w:num>
  <w:num w:numId="12">
    <w:abstractNumId w:val="92"/>
  </w:num>
  <w:num w:numId="13">
    <w:abstractNumId w:val="37"/>
  </w:num>
  <w:num w:numId="14">
    <w:abstractNumId w:val="78"/>
  </w:num>
  <w:num w:numId="15">
    <w:abstractNumId w:val="62"/>
  </w:num>
  <w:num w:numId="16">
    <w:abstractNumId w:val="0"/>
  </w:num>
  <w:num w:numId="17">
    <w:abstractNumId w:val="3"/>
  </w:num>
  <w:num w:numId="18">
    <w:abstractNumId w:val="66"/>
  </w:num>
  <w:num w:numId="19">
    <w:abstractNumId w:val="85"/>
  </w:num>
  <w:num w:numId="20">
    <w:abstractNumId w:val="57"/>
  </w:num>
  <w:num w:numId="21">
    <w:abstractNumId w:val="74"/>
  </w:num>
  <w:num w:numId="22">
    <w:abstractNumId w:val="83"/>
  </w:num>
  <w:num w:numId="23">
    <w:abstractNumId w:val="32"/>
  </w:num>
  <w:num w:numId="24">
    <w:abstractNumId w:val="26"/>
  </w:num>
  <w:num w:numId="25">
    <w:abstractNumId w:val="39"/>
  </w:num>
  <w:num w:numId="26">
    <w:abstractNumId w:val="42"/>
  </w:num>
  <w:num w:numId="27">
    <w:abstractNumId w:val="28"/>
  </w:num>
  <w:num w:numId="28">
    <w:abstractNumId w:val="12"/>
  </w:num>
  <w:num w:numId="29">
    <w:abstractNumId w:val="87"/>
  </w:num>
  <w:num w:numId="30">
    <w:abstractNumId w:val="56"/>
  </w:num>
  <w:num w:numId="31">
    <w:abstractNumId w:val="27"/>
  </w:num>
  <w:num w:numId="32">
    <w:abstractNumId w:val="36"/>
  </w:num>
  <w:num w:numId="33">
    <w:abstractNumId w:val="38"/>
  </w:num>
  <w:num w:numId="34">
    <w:abstractNumId w:val="49"/>
  </w:num>
  <w:num w:numId="35">
    <w:abstractNumId w:val="81"/>
  </w:num>
  <w:num w:numId="36">
    <w:abstractNumId w:val="65"/>
  </w:num>
  <w:num w:numId="37">
    <w:abstractNumId w:val="2"/>
  </w:num>
  <w:num w:numId="38">
    <w:abstractNumId w:val="9"/>
  </w:num>
  <w:num w:numId="39">
    <w:abstractNumId w:val="51"/>
  </w:num>
  <w:num w:numId="40">
    <w:abstractNumId w:val="11"/>
  </w:num>
  <w:num w:numId="41">
    <w:abstractNumId w:val="82"/>
  </w:num>
  <w:num w:numId="42">
    <w:abstractNumId w:val="44"/>
  </w:num>
  <w:num w:numId="43">
    <w:abstractNumId w:val="15"/>
  </w:num>
  <w:num w:numId="44">
    <w:abstractNumId w:val="41"/>
  </w:num>
  <w:num w:numId="45">
    <w:abstractNumId w:val="77"/>
  </w:num>
  <w:num w:numId="46">
    <w:abstractNumId w:val="7"/>
  </w:num>
  <w:num w:numId="47">
    <w:abstractNumId w:val="69"/>
  </w:num>
  <w:num w:numId="48">
    <w:abstractNumId w:val="93"/>
  </w:num>
  <w:num w:numId="49">
    <w:abstractNumId w:val="91"/>
  </w:num>
  <w:num w:numId="50">
    <w:abstractNumId w:val="72"/>
  </w:num>
  <w:num w:numId="51">
    <w:abstractNumId w:val="76"/>
  </w:num>
  <w:num w:numId="52">
    <w:abstractNumId w:val="40"/>
  </w:num>
  <w:num w:numId="53">
    <w:abstractNumId w:val="45"/>
  </w:num>
  <w:num w:numId="54">
    <w:abstractNumId w:val="10"/>
  </w:num>
  <w:num w:numId="55">
    <w:abstractNumId w:val="84"/>
  </w:num>
  <w:num w:numId="56">
    <w:abstractNumId w:val="31"/>
  </w:num>
  <w:num w:numId="57">
    <w:abstractNumId w:val="35"/>
  </w:num>
  <w:num w:numId="58">
    <w:abstractNumId w:val="46"/>
  </w:num>
  <w:num w:numId="59">
    <w:abstractNumId w:val="52"/>
  </w:num>
  <w:num w:numId="60">
    <w:abstractNumId w:val="24"/>
  </w:num>
  <w:num w:numId="61">
    <w:abstractNumId w:val="60"/>
  </w:num>
  <w:num w:numId="62">
    <w:abstractNumId w:val="16"/>
  </w:num>
  <w:num w:numId="63">
    <w:abstractNumId w:val="79"/>
  </w:num>
  <w:num w:numId="64">
    <w:abstractNumId w:val="89"/>
  </w:num>
  <w:num w:numId="65">
    <w:abstractNumId w:val="86"/>
  </w:num>
  <w:num w:numId="66">
    <w:abstractNumId w:val="6"/>
  </w:num>
  <w:num w:numId="67">
    <w:abstractNumId w:val="48"/>
  </w:num>
  <w:num w:numId="68">
    <w:abstractNumId w:val="67"/>
  </w:num>
  <w:num w:numId="69">
    <w:abstractNumId w:val="90"/>
  </w:num>
  <w:num w:numId="70">
    <w:abstractNumId w:val="61"/>
  </w:num>
  <w:num w:numId="71">
    <w:abstractNumId w:val="47"/>
  </w:num>
  <w:num w:numId="72">
    <w:abstractNumId w:val="8"/>
  </w:num>
  <w:num w:numId="73">
    <w:abstractNumId w:val="30"/>
  </w:num>
  <w:num w:numId="74">
    <w:abstractNumId w:val="17"/>
  </w:num>
  <w:num w:numId="75">
    <w:abstractNumId w:val="29"/>
  </w:num>
  <w:num w:numId="76">
    <w:abstractNumId w:val="80"/>
  </w:num>
  <w:num w:numId="77">
    <w:abstractNumId w:val="73"/>
  </w:num>
  <w:num w:numId="78">
    <w:abstractNumId w:val="88"/>
  </w:num>
  <w:num w:numId="79">
    <w:abstractNumId w:val="19"/>
  </w:num>
  <w:num w:numId="80">
    <w:abstractNumId w:val="22"/>
  </w:num>
  <w:num w:numId="81">
    <w:abstractNumId w:val="5"/>
  </w:num>
  <w:num w:numId="82">
    <w:abstractNumId w:val="55"/>
  </w:num>
  <w:num w:numId="83">
    <w:abstractNumId w:val="68"/>
  </w:num>
  <w:num w:numId="84">
    <w:abstractNumId w:val="33"/>
  </w:num>
  <w:num w:numId="85">
    <w:abstractNumId w:val="58"/>
  </w:num>
  <w:num w:numId="86">
    <w:abstractNumId w:val="18"/>
  </w:num>
  <w:num w:numId="87">
    <w:abstractNumId w:val="71"/>
  </w:num>
  <w:num w:numId="88">
    <w:abstractNumId w:val="70"/>
  </w:num>
  <w:num w:numId="89">
    <w:abstractNumId w:val="75"/>
  </w:num>
  <w:num w:numId="90">
    <w:abstractNumId w:val="64"/>
  </w:num>
  <w:num w:numId="91">
    <w:abstractNumId w:val="50"/>
  </w:num>
  <w:num w:numId="92">
    <w:abstractNumId w:val="21"/>
  </w:num>
  <w:num w:numId="93">
    <w:abstractNumId w:val="1"/>
  </w:num>
  <w:num w:numId="94">
    <w:abstractNumId w:val="2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ctiveWritingStyle w:appName="MSWord" w:lang="en-US" w:vendorID="64" w:dllVersion="0" w:nlCheck="1" w:checkStyle="0"/>
  <w:activeWritingStyle w:appName="MSWord" w:lang="tr-TR"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E4"/>
    <w:rsid w:val="000000A5"/>
    <w:rsid w:val="00000968"/>
    <w:rsid w:val="00001076"/>
    <w:rsid w:val="00001229"/>
    <w:rsid w:val="0000123A"/>
    <w:rsid w:val="0000140F"/>
    <w:rsid w:val="00001426"/>
    <w:rsid w:val="00001479"/>
    <w:rsid w:val="000018C3"/>
    <w:rsid w:val="000019FB"/>
    <w:rsid w:val="00001E36"/>
    <w:rsid w:val="000020BB"/>
    <w:rsid w:val="000024E4"/>
    <w:rsid w:val="00002A7F"/>
    <w:rsid w:val="00003053"/>
    <w:rsid w:val="000030AD"/>
    <w:rsid w:val="000036BF"/>
    <w:rsid w:val="000038BD"/>
    <w:rsid w:val="0000400D"/>
    <w:rsid w:val="00004B10"/>
    <w:rsid w:val="00005066"/>
    <w:rsid w:val="00005680"/>
    <w:rsid w:val="0000661F"/>
    <w:rsid w:val="00006795"/>
    <w:rsid w:val="00006A0D"/>
    <w:rsid w:val="000074B5"/>
    <w:rsid w:val="00007983"/>
    <w:rsid w:val="000079C1"/>
    <w:rsid w:val="00007D6C"/>
    <w:rsid w:val="00010DDB"/>
    <w:rsid w:val="00010EE2"/>
    <w:rsid w:val="00012040"/>
    <w:rsid w:val="000122C8"/>
    <w:rsid w:val="00012426"/>
    <w:rsid w:val="00012FCF"/>
    <w:rsid w:val="00013DC2"/>
    <w:rsid w:val="00014201"/>
    <w:rsid w:val="00014B87"/>
    <w:rsid w:val="00014BAF"/>
    <w:rsid w:val="000152E9"/>
    <w:rsid w:val="00016114"/>
    <w:rsid w:val="00016190"/>
    <w:rsid w:val="00016365"/>
    <w:rsid w:val="00016500"/>
    <w:rsid w:val="00016A9F"/>
    <w:rsid w:val="000173EC"/>
    <w:rsid w:val="000174DF"/>
    <w:rsid w:val="0001777C"/>
    <w:rsid w:val="00017A98"/>
    <w:rsid w:val="0002067F"/>
    <w:rsid w:val="00020706"/>
    <w:rsid w:val="0002166D"/>
    <w:rsid w:val="000226B3"/>
    <w:rsid w:val="000232E6"/>
    <w:rsid w:val="00023780"/>
    <w:rsid w:val="00024118"/>
    <w:rsid w:val="000243C0"/>
    <w:rsid w:val="000244C2"/>
    <w:rsid w:val="0002480D"/>
    <w:rsid w:val="000248CD"/>
    <w:rsid w:val="00024D0C"/>
    <w:rsid w:val="00025110"/>
    <w:rsid w:val="0002539D"/>
    <w:rsid w:val="0002564D"/>
    <w:rsid w:val="000256CF"/>
    <w:rsid w:val="0002596E"/>
    <w:rsid w:val="00025A2C"/>
    <w:rsid w:val="00027659"/>
    <w:rsid w:val="000276C9"/>
    <w:rsid w:val="000279E8"/>
    <w:rsid w:val="000306B4"/>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4DE5"/>
    <w:rsid w:val="00035752"/>
    <w:rsid w:val="00035898"/>
    <w:rsid w:val="00035C70"/>
    <w:rsid w:val="00035D5B"/>
    <w:rsid w:val="00035D83"/>
    <w:rsid w:val="00036E47"/>
    <w:rsid w:val="00036EA4"/>
    <w:rsid w:val="000375F1"/>
    <w:rsid w:val="00040372"/>
    <w:rsid w:val="00040B6A"/>
    <w:rsid w:val="00041598"/>
    <w:rsid w:val="00042CFB"/>
    <w:rsid w:val="0004311F"/>
    <w:rsid w:val="00043437"/>
    <w:rsid w:val="000438D2"/>
    <w:rsid w:val="00043DEB"/>
    <w:rsid w:val="00044327"/>
    <w:rsid w:val="00044652"/>
    <w:rsid w:val="000454E9"/>
    <w:rsid w:val="000455FC"/>
    <w:rsid w:val="000456AD"/>
    <w:rsid w:val="000459DB"/>
    <w:rsid w:val="00045A80"/>
    <w:rsid w:val="00045E55"/>
    <w:rsid w:val="000469C3"/>
    <w:rsid w:val="00046C87"/>
    <w:rsid w:val="000471B5"/>
    <w:rsid w:val="0004784A"/>
    <w:rsid w:val="00047ABC"/>
    <w:rsid w:val="00047C88"/>
    <w:rsid w:val="0005083C"/>
    <w:rsid w:val="00050ADE"/>
    <w:rsid w:val="00051D88"/>
    <w:rsid w:val="00051E63"/>
    <w:rsid w:val="00052B53"/>
    <w:rsid w:val="00052C51"/>
    <w:rsid w:val="00052EEA"/>
    <w:rsid w:val="000542ED"/>
    <w:rsid w:val="0005491A"/>
    <w:rsid w:val="000552D9"/>
    <w:rsid w:val="0005536B"/>
    <w:rsid w:val="00055410"/>
    <w:rsid w:val="000554AE"/>
    <w:rsid w:val="0005599F"/>
    <w:rsid w:val="00055A98"/>
    <w:rsid w:val="00056173"/>
    <w:rsid w:val="00056634"/>
    <w:rsid w:val="00056C40"/>
    <w:rsid w:val="00056D1A"/>
    <w:rsid w:val="00056EF5"/>
    <w:rsid w:val="00056FEA"/>
    <w:rsid w:val="00057117"/>
    <w:rsid w:val="0005712A"/>
    <w:rsid w:val="00057138"/>
    <w:rsid w:val="0005773E"/>
    <w:rsid w:val="00057AC7"/>
    <w:rsid w:val="00057C84"/>
    <w:rsid w:val="0006018D"/>
    <w:rsid w:val="0006019A"/>
    <w:rsid w:val="0006026E"/>
    <w:rsid w:val="00060CED"/>
    <w:rsid w:val="00061190"/>
    <w:rsid w:val="000612B4"/>
    <w:rsid w:val="000618FD"/>
    <w:rsid w:val="00061AD9"/>
    <w:rsid w:val="00061C27"/>
    <w:rsid w:val="00061E36"/>
    <w:rsid w:val="00062D77"/>
    <w:rsid w:val="00062DC1"/>
    <w:rsid w:val="00062E31"/>
    <w:rsid w:val="00062F9F"/>
    <w:rsid w:val="000630DD"/>
    <w:rsid w:val="000631B1"/>
    <w:rsid w:val="000643BD"/>
    <w:rsid w:val="00065BBD"/>
    <w:rsid w:val="00066908"/>
    <w:rsid w:val="0006719B"/>
    <w:rsid w:val="00067BB9"/>
    <w:rsid w:val="000709AA"/>
    <w:rsid w:val="00070CEA"/>
    <w:rsid w:val="00070D7A"/>
    <w:rsid w:val="000712E3"/>
    <w:rsid w:val="00071686"/>
    <w:rsid w:val="0007174E"/>
    <w:rsid w:val="00071A8F"/>
    <w:rsid w:val="000730C6"/>
    <w:rsid w:val="00073260"/>
    <w:rsid w:val="000732CA"/>
    <w:rsid w:val="000735C9"/>
    <w:rsid w:val="000738A5"/>
    <w:rsid w:val="00074253"/>
    <w:rsid w:val="00074352"/>
    <w:rsid w:val="00074ECA"/>
    <w:rsid w:val="00074EF2"/>
    <w:rsid w:val="00075022"/>
    <w:rsid w:val="000756F6"/>
    <w:rsid w:val="00075A3F"/>
    <w:rsid w:val="00075A43"/>
    <w:rsid w:val="000762A4"/>
    <w:rsid w:val="00076409"/>
    <w:rsid w:val="000767AB"/>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5082"/>
    <w:rsid w:val="000852BD"/>
    <w:rsid w:val="00085E29"/>
    <w:rsid w:val="000862EE"/>
    <w:rsid w:val="000869D0"/>
    <w:rsid w:val="000875F4"/>
    <w:rsid w:val="00087FEE"/>
    <w:rsid w:val="0009014C"/>
    <w:rsid w:val="00090153"/>
    <w:rsid w:val="000905EC"/>
    <w:rsid w:val="0009060A"/>
    <w:rsid w:val="00090EFD"/>
    <w:rsid w:val="0009152A"/>
    <w:rsid w:val="0009188B"/>
    <w:rsid w:val="000918FE"/>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97839"/>
    <w:rsid w:val="000978D6"/>
    <w:rsid w:val="000A02ED"/>
    <w:rsid w:val="000A02FC"/>
    <w:rsid w:val="000A03EB"/>
    <w:rsid w:val="000A052B"/>
    <w:rsid w:val="000A109B"/>
    <w:rsid w:val="000A1FA3"/>
    <w:rsid w:val="000A1FD8"/>
    <w:rsid w:val="000A258C"/>
    <w:rsid w:val="000A27F3"/>
    <w:rsid w:val="000A28F2"/>
    <w:rsid w:val="000A29A5"/>
    <w:rsid w:val="000A333E"/>
    <w:rsid w:val="000A3A5E"/>
    <w:rsid w:val="000A4047"/>
    <w:rsid w:val="000A4EAA"/>
    <w:rsid w:val="000A572B"/>
    <w:rsid w:val="000A5790"/>
    <w:rsid w:val="000A5A56"/>
    <w:rsid w:val="000A5E9B"/>
    <w:rsid w:val="000A5FB6"/>
    <w:rsid w:val="000A6021"/>
    <w:rsid w:val="000A6393"/>
    <w:rsid w:val="000A6BEB"/>
    <w:rsid w:val="000A73CF"/>
    <w:rsid w:val="000A77AD"/>
    <w:rsid w:val="000A7861"/>
    <w:rsid w:val="000B08EE"/>
    <w:rsid w:val="000B0FFE"/>
    <w:rsid w:val="000B1340"/>
    <w:rsid w:val="000B13C1"/>
    <w:rsid w:val="000B16A5"/>
    <w:rsid w:val="000B1873"/>
    <w:rsid w:val="000B1AAA"/>
    <w:rsid w:val="000B24A1"/>
    <w:rsid w:val="000B2963"/>
    <w:rsid w:val="000B2B43"/>
    <w:rsid w:val="000B3327"/>
    <w:rsid w:val="000B36A2"/>
    <w:rsid w:val="000B3D2B"/>
    <w:rsid w:val="000B3EAC"/>
    <w:rsid w:val="000B4E5B"/>
    <w:rsid w:val="000B5057"/>
    <w:rsid w:val="000B50EF"/>
    <w:rsid w:val="000B5240"/>
    <w:rsid w:val="000B542C"/>
    <w:rsid w:val="000B5701"/>
    <w:rsid w:val="000B5A0E"/>
    <w:rsid w:val="000B64F2"/>
    <w:rsid w:val="000B68CF"/>
    <w:rsid w:val="000B7659"/>
    <w:rsid w:val="000B7717"/>
    <w:rsid w:val="000B7791"/>
    <w:rsid w:val="000B796D"/>
    <w:rsid w:val="000B7B7C"/>
    <w:rsid w:val="000C0874"/>
    <w:rsid w:val="000C11F6"/>
    <w:rsid w:val="000C14D2"/>
    <w:rsid w:val="000C289A"/>
    <w:rsid w:val="000C2BB0"/>
    <w:rsid w:val="000C2D59"/>
    <w:rsid w:val="000C2FF2"/>
    <w:rsid w:val="000C33B0"/>
    <w:rsid w:val="000C342C"/>
    <w:rsid w:val="000C3656"/>
    <w:rsid w:val="000C39D5"/>
    <w:rsid w:val="000C3BEE"/>
    <w:rsid w:val="000C3F15"/>
    <w:rsid w:val="000C43B2"/>
    <w:rsid w:val="000C4D85"/>
    <w:rsid w:val="000C56CB"/>
    <w:rsid w:val="000C5F74"/>
    <w:rsid w:val="000C601F"/>
    <w:rsid w:val="000C6581"/>
    <w:rsid w:val="000C706E"/>
    <w:rsid w:val="000C7213"/>
    <w:rsid w:val="000C72E1"/>
    <w:rsid w:val="000C7BA0"/>
    <w:rsid w:val="000C7D26"/>
    <w:rsid w:val="000D005D"/>
    <w:rsid w:val="000D043C"/>
    <w:rsid w:val="000D058F"/>
    <w:rsid w:val="000D0C4C"/>
    <w:rsid w:val="000D0C8A"/>
    <w:rsid w:val="000D0DBD"/>
    <w:rsid w:val="000D0E03"/>
    <w:rsid w:val="000D129B"/>
    <w:rsid w:val="000D18F6"/>
    <w:rsid w:val="000D1AD8"/>
    <w:rsid w:val="000D1C5C"/>
    <w:rsid w:val="000D2262"/>
    <w:rsid w:val="000D26E4"/>
    <w:rsid w:val="000D284E"/>
    <w:rsid w:val="000D2B66"/>
    <w:rsid w:val="000D2F33"/>
    <w:rsid w:val="000D304D"/>
    <w:rsid w:val="000D3346"/>
    <w:rsid w:val="000D33A6"/>
    <w:rsid w:val="000D35F9"/>
    <w:rsid w:val="000D3911"/>
    <w:rsid w:val="000D3AB1"/>
    <w:rsid w:val="000D3B44"/>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4AD"/>
    <w:rsid w:val="000E1526"/>
    <w:rsid w:val="000E161D"/>
    <w:rsid w:val="000E168A"/>
    <w:rsid w:val="000E254D"/>
    <w:rsid w:val="000E2647"/>
    <w:rsid w:val="000E2BD3"/>
    <w:rsid w:val="000E3BCA"/>
    <w:rsid w:val="000E3BE3"/>
    <w:rsid w:val="000E3EA2"/>
    <w:rsid w:val="000E400B"/>
    <w:rsid w:val="000E41E1"/>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4C8"/>
    <w:rsid w:val="000F167F"/>
    <w:rsid w:val="000F1C1B"/>
    <w:rsid w:val="000F2021"/>
    <w:rsid w:val="000F2232"/>
    <w:rsid w:val="000F2466"/>
    <w:rsid w:val="000F2772"/>
    <w:rsid w:val="000F2A02"/>
    <w:rsid w:val="000F3122"/>
    <w:rsid w:val="000F34AC"/>
    <w:rsid w:val="000F378E"/>
    <w:rsid w:val="000F37A6"/>
    <w:rsid w:val="000F3D47"/>
    <w:rsid w:val="000F3FA9"/>
    <w:rsid w:val="000F3FC0"/>
    <w:rsid w:val="000F453B"/>
    <w:rsid w:val="000F480C"/>
    <w:rsid w:val="000F4FEB"/>
    <w:rsid w:val="000F5759"/>
    <w:rsid w:val="000F6005"/>
    <w:rsid w:val="000F7059"/>
    <w:rsid w:val="000F710B"/>
    <w:rsid w:val="000F72D1"/>
    <w:rsid w:val="000F769E"/>
    <w:rsid w:val="001009E1"/>
    <w:rsid w:val="00101392"/>
    <w:rsid w:val="001013E4"/>
    <w:rsid w:val="001031C3"/>
    <w:rsid w:val="00103205"/>
    <w:rsid w:val="00103238"/>
    <w:rsid w:val="0010376A"/>
    <w:rsid w:val="00103887"/>
    <w:rsid w:val="0010403B"/>
    <w:rsid w:val="00104067"/>
    <w:rsid w:val="001040CF"/>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2F"/>
    <w:rsid w:val="00120988"/>
    <w:rsid w:val="00120E6C"/>
    <w:rsid w:val="0012177C"/>
    <w:rsid w:val="00121A8D"/>
    <w:rsid w:val="00121BA4"/>
    <w:rsid w:val="00121CBC"/>
    <w:rsid w:val="00122119"/>
    <w:rsid w:val="001222ED"/>
    <w:rsid w:val="001229C4"/>
    <w:rsid w:val="00122B04"/>
    <w:rsid w:val="00122BE0"/>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768"/>
    <w:rsid w:val="00127883"/>
    <w:rsid w:val="00127EAE"/>
    <w:rsid w:val="00127FC0"/>
    <w:rsid w:val="001300E8"/>
    <w:rsid w:val="0013020E"/>
    <w:rsid w:val="001308E8"/>
    <w:rsid w:val="00130C90"/>
    <w:rsid w:val="00130CE7"/>
    <w:rsid w:val="0013234F"/>
    <w:rsid w:val="00132411"/>
    <w:rsid w:val="001324FC"/>
    <w:rsid w:val="00132CF1"/>
    <w:rsid w:val="00133D16"/>
    <w:rsid w:val="0013417D"/>
    <w:rsid w:val="0013459C"/>
    <w:rsid w:val="00134610"/>
    <w:rsid w:val="00134838"/>
    <w:rsid w:val="00134944"/>
    <w:rsid w:val="00134954"/>
    <w:rsid w:val="00135B03"/>
    <w:rsid w:val="00135CE5"/>
    <w:rsid w:val="0013626E"/>
    <w:rsid w:val="0013668A"/>
    <w:rsid w:val="00136F81"/>
    <w:rsid w:val="001373D6"/>
    <w:rsid w:val="0013742A"/>
    <w:rsid w:val="001376B5"/>
    <w:rsid w:val="001376BB"/>
    <w:rsid w:val="00140136"/>
    <w:rsid w:val="001407C3"/>
    <w:rsid w:val="00140D42"/>
    <w:rsid w:val="00141348"/>
    <w:rsid w:val="00141AF3"/>
    <w:rsid w:val="00141E49"/>
    <w:rsid w:val="0014219E"/>
    <w:rsid w:val="00142461"/>
    <w:rsid w:val="00142BB7"/>
    <w:rsid w:val="00142FE2"/>
    <w:rsid w:val="001431DC"/>
    <w:rsid w:val="00143445"/>
    <w:rsid w:val="001435A7"/>
    <w:rsid w:val="001439A7"/>
    <w:rsid w:val="00143BC6"/>
    <w:rsid w:val="00143DA7"/>
    <w:rsid w:val="00143E18"/>
    <w:rsid w:val="001440B2"/>
    <w:rsid w:val="001450F3"/>
    <w:rsid w:val="0014585B"/>
    <w:rsid w:val="00145A74"/>
    <w:rsid w:val="0014603E"/>
    <w:rsid w:val="00146671"/>
    <w:rsid w:val="001470FB"/>
    <w:rsid w:val="0014755C"/>
    <w:rsid w:val="0014794B"/>
    <w:rsid w:val="001501C6"/>
    <w:rsid w:val="0015037C"/>
    <w:rsid w:val="00151125"/>
    <w:rsid w:val="001512C2"/>
    <w:rsid w:val="0015135A"/>
    <w:rsid w:val="00151702"/>
    <w:rsid w:val="00151CF9"/>
    <w:rsid w:val="001524A2"/>
    <w:rsid w:val="001531EA"/>
    <w:rsid w:val="001542D3"/>
    <w:rsid w:val="0015469F"/>
    <w:rsid w:val="001548D5"/>
    <w:rsid w:val="00154911"/>
    <w:rsid w:val="001550AB"/>
    <w:rsid w:val="001556D1"/>
    <w:rsid w:val="00155CE3"/>
    <w:rsid w:val="00156164"/>
    <w:rsid w:val="001567C5"/>
    <w:rsid w:val="00157197"/>
    <w:rsid w:val="001573F6"/>
    <w:rsid w:val="0015746B"/>
    <w:rsid w:val="00157AA2"/>
    <w:rsid w:val="00157DCB"/>
    <w:rsid w:val="0016003D"/>
    <w:rsid w:val="00160842"/>
    <w:rsid w:val="001614E6"/>
    <w:rsid w:val="001619F0"/>
    <w:rsid w:val="00162A75"/>
    <w:rsid w:val="00162ACE"/>
    <w:rsid w:val="00162B0C"/>
    <w:rsid w:val="0016318B"/>
    <w:rsid w:val="00163807"/>
    <w:rsid w:val="00163DC1"/>
    <w:rsid w:val="001644A4"/>
    <w:rsid w:val="00164766"/>
    <w:rsid w:val="0016479C"/>
    <w:rsid w:val="00165419"/>
    <w:rsid w:val="00165FD3"/>
    <w:rsid w:val="001667B3"/>
    <w:rsid w:val="00166F31"/>
    <w:rsid w:val="001672A5"/>
    <w:rsid w:val="00167A62"/>
    <w:rsid w:val="00167BB4"/>
    <w:rsid w:val="00167BCA"/>
    <w:rsid w:val="00170052"/>
    <w:rsid w:val="0017060C"/>
    <w:rsid w:val="00170BF7"/>
    <w:rsid w:val="00170D5E"/>
    <w:rsid w:val="001712EC"/>
    <w:rsid w:val="00171438"/>
    <w:rsid w:val="00171818"/>
    <w:rsid w:val="00171A5B"/>
    <w:rsid w:val="00171B65"/>
    <w:rsid w:val="00172B07"/>
    <w:rsid w:val="00172E74"/>
    <w:rsid w:val="00173651"/>
    <w:rsid w:val="00173986"/>
    <w:rsid w:val="00173C8A"/>
    <w:rsid w:val="00175B39"/>
    <w:rsid w:val="00175D72"/>
    <w:rsid w:val="00175DF4"/>
    <w:rsid w:val="0017665A"/>
    <w:rsid w:val="00176AAE"/>
    <w:rsid w:val="00176CD3"/>
    <w:rsid w:val="001775F8"/>
    <w:rsid w:val="0017770B"/>
    <w:rsid w:val="00177A2B"/>
    <w:rsid w:val="00180052"/>
    <w:rsid w:val="0018028A"/>
    <w:rsid w:val="00180628"/>
    <w:rsid w:val="00180699"/>
    <w:rsid w:val="00180CDB"/>
    <w:rsid w:val="00181C6C"/>
    <w:rsid w:val="001823C5"/>
    <w:rsid w:val="001824F1"/>
    <w:rsid w:val="0018258B"/>
    <w:rsid w:val="00182BDD"/>
    <w:rsid w:val="00183024"/>
    <w:rsid w:val="0018332D"/>
    <w:rsid w:val="001839A2"/>
    <w:rsid w:val="001839CA"/>
    <w:rsid w:val="00183D40"/>
    <w:rsid w:val="001853AE"/>
    <w:rsid w:val="001853D3"/>
    <w:rsid w:val="00185636"/>
    <w:rsid w:val="00185879"/>
    <w:rsid w:val="00187181"/>
    <w:rsid w:val="001872C8"/>
    <w:rsid w:val="0019125E"/>
    <w:rsid w:val="0019143B"/>
    <w:rsid w:val="00191F53"/>
    <w:rsid w:val="00192003"/>
    <w:rsid w:val="00192A0A"/>
    <w:rsid w:val="00192F73"/>
    <w:rsid w:val="001936DC"/>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0619"/>
    <w:rsid w:val="001A1424"/>
    <w:rsid w:val="001A18DE"/>
    <w:rsid w:val="001A1908"/>
    <w:rsid w:val="001A217D"/>
    <w:rsid w:val="001A2529"/>
    <w:rsid w:val="001A2F40"/>
    <w:rsid w:val="001A2FB1"/>
    <w:rsid w:val="001A3AD7"/>
    <w:rsid w:val="001A3E9A"/>
    <w:rsid w:val="001A3F7E"/>
    <w:rsid w:val="001A402F"/>
    <w:rsid w:val="001A4552"/>
    <w:rsid w:val="001A507A"/>
    <w:rsid w:val="001A5189"/>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019"/>
    <w:rsid w:val="001B4143"/>
    <w:rsid w:val="001B49F5"/>
    <w:rsid w:val="001B5728"/>
    <w:rsid w:val="001B58A9"/>
    <w:rsid w:val="001B590F"/>
    <w:rsid w:val="001B6113"/>
    <w:rsid w:val="001B62D5"/>
    <w:rsid w:val="001B6300"/>
    <w:rsid w:val="001B73C4"/>
    <w:rsid w:val="001B7C1D"/>
    <w:rsid w:val="001C02AE"/>
    <w:rsid w:val="001C02DE"/>
    <w:rsid w:val="001C0851"/>
    <w:rsid w:val="001C1359"/>
    <w:rsid w:val="001C16A4"/>
    <w:rsid w:val="001C189C"/>
    <w:rsid w:val="001C18E2"/>
    <w:rsid w:val="001C1CE0"/>
    <w:rsid w:val="001C2126"/>
    <w:rsid w:val="001C257C"/>
    <w:rsid w:val="001C2BBC"/>
    <w:rsid w:val="001C2BE8"/>
    <w:rsid w:val="001C3349"/>
    <w:rsid w:val="001C350A"/>
    <w:rsid w:val="001C3568"/>
    <w:rsid w:val="001C47C9"/>
    <w:rsid w:val="001C4B84"/>
    <w:rsid w:val="001C5890"/>
    <w:rsid w:val="001C5E9C"/>
    <w:rsid w:val="001C5F6B"/>
    <w:rsid w:val="001C686E"/>
    <w:rsid w:val="001C6AF7"/>
    <w:rsid w:val="001C6CB5"/>
    <w:rsid w:val="001C7876"/>
    <w:rsid w:val="001C7885"/>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D7665"/>
    <w:rsid w:val="001E0C3E"/>
    <w:rsid w:val="001E18EA"/>
    <w:rsid w:val="001E266C"/>
    <w:rsid w:val="001E2AB6"/>
    <w:rsid w:val="001E2F17"/>
    <w:rsid w:val="001E372A"/>
    <w:rsid w:val="001E38B6"/>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9FB"/>
    <w:rsid w:val="001F3F80"/>
    <w:rsid w:val="001F4FDB"/>
    <w:rsid w:val="001F50C0"/>
    <w:rsid w:val="001F541D"/>
    <w:rsid w:val="001F55A3"/>
    <w:rsid w:val="001F5913"/>
    <w:rsid w:val="001F5ADE"/>
    <w:rsid w:val="001F5E6F"/>
    <w:rsid w:val="001F751B"/>
    <w:rsid w:val="00201160"/>
    <w:rsid w:val="0020161D"/>
    <w:rsid w:val="00201872"/>
    <w:rsid w:val="00201AA7"/>
    <w:rsid w:val="00201B49"/>
    <w:rsid w:val="00201F35"/>
    <w:rsid w:val="00202797"/>
    <w:rsid w:val="00202F2B"/>
    <w:rsid w:val="0020302F"/>
    <w:rsid w:val="0020327A"/>
    <w:rsid w:val="00203A18"/>
    <w:rsid w:val="00203B42"/>
    <w:rsid w:val="00204240"/>
    <w:rsid w:val="0020515F"/>
    <w:rsid w:val="0020516A"/>
    <w:rsid w:val="0020517B"/>
    <w:rsid w:val="0020537C"/>
    <w:rsid w:val="00205A7C"/>
    <w:rsid w:val="002060AD"/>
    <w:rsid w:val="00206F52"/>
    <w:rsid w:val="00210716"/>
    <w:rsid w:val="00210929"/>
    <w:rsid w:val="00211403"/>
    <w:rsid w:val="0021143C"/>
    <w:rsid w:val="00211B2C"/>
    <w:rsid w:val="00211D78"/>
    <w:rsid w:val="00211E80"/>
    <w:rsid w:val="00211F18"/>
    <w:rsid w:val="002127E5"/>
    <w:rsid w:val="00212910"/>
    <w:rsid w:val="00212B4C"/>
    <w:rsid w:val="002130CB"/>
    <w:rsid w:val="002133D4"/>
    <w:rsid w:val="002133E5"/>
    <w:rsid w:val="00213A59"/>
    <w:rsid w:val="00213ADE"/>
    <w:rsid w:val="00214E11"/>
    <w:rsid w:val="00214E9E"/>
    <w:rsid w:val="0021556A"/>
    <w:rsid w:val="00215B1E"/>
    <w:rsid w:val="00215BA7"/>
    <w:rsid w:val="00215CEF"/>
    <w:rsid w:val="002164FC"/>
    <w:rsid w:val="00216636"/>
    <w:rsid w:val="00217064"/>
    <w:rsid w:val="00217737"/>
    <w:rsid w:val="00217F5D"/>
    <w:rsid w:val="002200EC"/>
    <w:rsid w:val="00220C2A"/>
    <w:rsid w:val="00220F21"/>
    <w:rsid w:val="002212BF"/>
    <w:rsid w:val="00221A82"/>
    <w:rsid w:val="0022241C"/>
    <w:rsid w:val="002232A2"/>
    <w:rsid w:val="002233DB"/>
    <w:rsid w:val="00223CE6"/>
    <w:rsid w:val="002240F1"/>
    <w:rsid w:val="00224168"/>
    <w:rsid w:val="0022422F"/>
    <w:rsid w:val="002242D7"/>
    <w:rsid w:val="0022475D"/>
    <w:rsid w:val="002249D2"/>
    <w:rsid w:val="0022561A"/>
    <w:rsid w:val="00225782"/>
    <w:rsid w:val="00225FA6"/>
    <w:rsid w:val="00226442"/>
    <w:rsid w:val="00226EE2"/>
    <w:rsid w:val="00227DB0"/>
    <w:rsid w:val="00227EE8"/>
    <w:rsid w:val="0023029E"/>
    <w:rsid w:val="00230358"/>
    <w:rsid w:val="002309A2"/>
    <w:rsid w:val="00230FF9"/>
    <w:rsid w:val="00231A12"/>
    <w:rsid w:val="00231CC8"/>
    <w:rsid w:val="002321D8"/>
    <w:rsid w:val="0023238D"/>
    <w:rsid w:val="00232507"/>
    <w:rsid w:val="00232805"/>
    <w:rsid w:val="002329CA"/>
    <w:rsid w:val="00233347"/>
    <w:rsid w:val="00233B53"/>
    <w:rsid w:val="00233FBD"/>
    <w:rsid w:val="0023426B"/>
    <w:rsid w:val="0023444B"/>
    <w:rsid w:val="002344C8"/>
    <w:rsid w:val="002348F8"/>
    <w:rsid w:val="002357C3"/>
    <w:rsid w:val="00236107"/>
    <w:rsid w:val="0023623C"/>
    <w:rsid w:val="00236E43"/>
    <w:rsid w:val="00236F4A"/>
    <w:rsid w:val="00237791"/>
    <w:rsid w:val="00237A91"/>
    <w:rsid w:val="00237BCB"/>
    <w:rsid w:val="00237DFB"/>
    <w:rsid w:val="002402BD"/>
    <w:rsid w:val="002408E7"/>
    <w:rsid w:val="00241675"/>
    <w:rsid w:val="00241954"/>
    <w:rsid w:val="00242396"/>
    <w:rsid w:val="002424C2"/>
    <w:rsid w:val="002426B5"/>
    <w:rsid w:val="00242D92"/>
    <w:rsid w:val="0024304E"/>
    <w:rsid w:val="002432B3"/>
    <w:rsid w:val="00243392"/>
    <w:rsid w:val="0024339C"/>
    <w:rsid w:val="002435D9"/>
    <w:rsid w:val="00243B7C"/>
    <w:rsid w:val="0024468A"/>
    <w:rsid w:val="00244C32"/>
    <w:rsid w:val="00244F6A"/>
    <w:rsid w:val="00244F77"/>
    <w:rsid w:val="002452B4"/>
    <w:rsid w:val="0024543B"/>
    <w:rsid w:val="0024602F"/>
    <w:rsid w:val="00246179"/>
    <w:rsid w:val="002463DA"/>
    <w:rsid w:val="0024710A"/>
    <w:rsid w:val="002476A4"/>
    <w:rsid w:val="00247D93"/>
    <w:rsid w:val="002504D2"/>
    <w:rsid w:val="00250FE8"/>
    <w:rsid w:val="00251642"/>
    <w:rsid w:val="00251693"/>
    <w:rsid w:val="00251C24"/>
    <w:rsid w:val="00252026"/>
    <w:rsid w:val="0025202F"/>
    <w:rsid w:val="00252D3C"/>
    <w:rsid w:val="00252E21"/>
    <w:rsid w:val="00252EE1"/>
    <w:rsid w:val="00253782"/>
    <w:rsid w:val="002537C0"/>
    <w:rsid w:val="00253FAB"/>
    <w:rsid w:val="002544BD"/>
    <w:rsid w:val="00254982"/>
    <w:rsid w:val="00255323"/>
    <w:rsid w:val="0025690D"/>
    <w:rsid w:val="002569F3"/>
    <w:rsid w:val="00256C28"/>
    <w:rsid w:val="0025712C"/>
    <w:rsid w:val="002571B8"/>
    <w:rsid w:val="00257422"/>
    <w:rsid w:val="0025747A"/>
    <w:rsid w:val="00257B95"/>
    <w:rsid w:val="00260412"/>
    <w:rsid w:val="00260469"/>
    <w:rsid w:val="0026085E"/>
    <w:rsid w:val="00260D9F"/>
    <w:rsid w:val="0026102E"/>
    <w:rsid w:val="002614CA"/>
    <w:rsid w:val="00261932"/>
    <w:rsid w:val="00261AE0"/>
    <w:rsid w:val="00261EDD"/>
    <w:rsid w:val="00262454"/>
    <w:rsid w:val="0026246D"/>
    <w:rsid w:val="0026321F"/>
    <w:rsid w:val="00263255"/>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0CA3"/>
    <w:rsid w:val="00271033"/>
    <w:rsid w:val="0027117B"/>
    <w:rsid w:val="0027136F"/>
    <w:rsid w:val="00272468"/>
    <w:rsid w:val="0027266E"/>
    <w:rsid w:val="00272959"/>
    <w:rsid w:val="002729AE"/>
    <w:rsid w:val="0027341F"/>
    <w:rsid w:val="00273F9A"/>
    <w:rsid w:val="00274939"/>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2F2"/>
    <w:rsid w:val="002802F3"/>
    <w:rsid w:val="002810D7"/>
    <w:rsid w:val="00281A64"/>
    <w:rsid w:val="00281FC8"/>
    <w:rsid w:val="00282569"/>
    <w:rsid w:val="002835C9"/>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3B31"/>
    <w:rsid w:val="00294356"/>
    <w:rsid w:val="00294C9B"/>
    <w:rsid w:val="00296002"/>
    <w:rsid w:val="00296389"/>
    <w:rsid w:val="002966DA"/>
    <w:rsid w:val="002967D4"/>
    <w:rsid w:val="002978D3"/>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61B"/>
    <w:rsid w:val="002A3734"/>
    <w:rsid w:val="002A4101"/>
    <w:rsid w:val="002A46DA"/>
    <w:rsid w:val="002A47F1"/>
    <w:rsid w:val="002A4A82"/>
    <w:rsid w:val="002A4B8E"/>
    <w:rsid w:val="002A5282"/>
    <w:rsid w:val="002A5BF8"/>
    <w:rsid w:val="002A646F"/>
    <w:rsid w:val="002A76D2"/>
    <w:rsid w:val="002A78FD"/>
    <w:rsid w:val="002A7A43"/>
    <w:rsid w:val="002A7E33"/>
    <w:rsid w:val="002A7E9C"/>
    <w:rsid w:val="002B0258"/>
    <w:rsid w:val="002B0BE0"/>
    <w:rsid w:val="002B0DAE"/>
    <w:rsid w:val="002B1AEC"/>
    <w:rsid w:val="002B1D88"/>
    <w:rsid w:val="002B2058"/>
    <w:rsid w:val="002B269C"/>
    <w:rsid w:val="002B2758"/>
    <w:rsid w:val="002B335A"/>
    <w:rsid w:val="002B3553"/>
    <w:rsid w:val="002B37B1"/>
    <w:rsid w:val="002B3C41"/>
    <w:rsid w:val="002B3D00"/>
    <w:rsid w:val="002B3DD9"/>
    <w:rsid w:val="002B401C"/>
    <w:rsid w:val="002B41E0"/>
    <w:rsid w:val="002B4FB6"/>
    <w:rsid w:val="002B57E9"/>
    <w:rsid w:val="002B60C7"/>
    <w:rsid w:val="002B6174"/>
    <w:rsid w:val="002B61E6"/>
    <w:rsid w:val="002B737F"/>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6E4B"/>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03"/>
    <w:rsid w:val="002D37D7"/>
    <w:rsid w:val="002D482D"/>
    <w:rsid w:val="002D4866"/>
    <w:rsid w:val="002D4D82"/>
    <w:rsid w:val="002D5002"/>
    <w:rsid w:val="002D5178"/>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FF6"/>
    <w:rsid w:val="002E216A"/>
    <w:rsid w:val="002E2CF5"/>
    <w:rsid w:val="002E35F0"/>
    <w:rsid w:val="002E36C1"/>
    <w:rsid w:val="002E3859"/>
    <w:rsid w:val="002E39B8"/>
    <w:rsid w:val="002E42C7"/>
    <w:rsid w:val="002E50B9"/>
    <w:rsid w:val="002E54F6"/>
    <w:rsid w:val="002E5724"/>
    <w:rsid w:val="002E5945"/>
    <w:rsid w:val="002E5A70"/>
    <w:rsid w:val="002E6439"/>
    <w:rsid w:val="002E6569"/>
    <w:rsid w:val="002E6BA6"/>
    <w:rsid w:val="002E701D"/>
    <w:rsid w:val="002E7E27"/>
    <w:rsid w:val="002F0989"/>
    <w:rsid w:val="002F1C23"/>
    <w:rsid w:val="002F1C3B"/>
    <w:rsid w:val="002F29A8"/>
    <w:rsid w:val="002F2FD3"/>
    <w:rsid w:val="002F3171"/>
    <w:rsid w:val="002F3320"/>
    <w:rsid w:val="002F3D41"/>
    <w:rsid w:val="002F480A"/>
    <w:rsid w:val="002F5F5B"/>
    <w:rsid w:val="002F69FE"/>
    <w:rsid w:val="002F6BC3"/>
    <w:rsid w:val="002F6D7E"/>
    <w:rsid w:val="0030024B"/>
    <w:rsid w:val="00300EE2"/>
    <w:rsid w:val="0030100F"/>
    <w:rsid w:val="00301211"/>
    <w:rsid w:val="0030242A"/>
    <w:rsid w:val="003025B3"/>
    <w:rsid w:val="003026DF"/>
    <w:rsid w:val="00302B73"/>
    <w:rsid w:val="003030D3"/>
    <w:rsid w:val="003030F7"/>
    <w:rsid w:val="00304314"/>
    <w:rsid w:val="00304AD6"/>
    <w:rsid w:val="00306B74"/>
    <w:rsid w:val="00306D72"/>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F06"/>
    <w:rsid w:val="003141FD"/>
    <w:rsid w:val="003146CE"/>
    <w:rsid w:val="003146EF"/>
    <w:rsid w:val="00314CEA"/>
    <w:rsid w:val="00314D39"/>
    <w:rsid w:val="00314FC7"/>
    <w:rsid w:val="00315101"/>
    <w:rsid w:val="00315964"/>
    <w:rsid w:val="00315C8C"/>
    <w:rsid w:val="00316017"/>
    <w:rsid w:val="00316032"/>
    <w:rsid w:val="00316359"/>
    <w:rsid w:val="00316BE9"/>
    <w:rsid w:val="00317036"/>
    <w:rsid w:val="003178B1"/>
    <w:rsid w:val="00317D68"/>
    <w:rsid w:val="00320135"/>
    <w:rsid w:val="0032061B"/>
    <w:rsid w:val="003210D5"/>
    <w:rsid w:val="003214AA"/>
    <w:rsid w:val="00321EE7"/>
    <w:rsid w:val="00322412"/>
    <w:rsid w:val="00322841"/>
    <w:rsid w:val="0032372F"/>
    <w:rsid w:val="003237E9"/>
    <w:rsid w:val="00323BBB"/>
    <w:rsid w:val="0032468F"/>
    <w:rsid w:val="0032471A"/>
    <w:rsid w:val="0032494F"/>
    <w:rsid w:val="00325382"/>
    <w:rsid w:val="00325C7B"/>
    <w:rsid w:val="00326D96"/>
    <w:rsid w:val="00327127"/>
    <w:rsid w:val="00330B87"/>
    <w:rsid w:val="00330EBF"/>
    <w:rsid w:val="00331245"/>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89D"/>
    <w:rsid w:val="00350973"/>
    <w:rsid w:val="00350D54"/>
    <w:rsid w:val="0035231C"/>
    <w:rsid w:val="003528E3"/>
    <w:rsid w:val="003536C3"/>
    <w:rsid w:val="003536D1"/>
    <w:rsid w:val="003542DB"/>
    <w:rsid w:val="003543E9"/>
    <w:rsid w:val="003546F2"/>
    <w:rsid w:val="00354D34"/>
    <w:rsid w:val="00354E06"/>
    <w:rsid w:val="00354EBA"/>
    <w:rsid w:val="00354F03"/>
    <w:rsid w:val="0035523B"/>
    <w:rsid w:val="00355421"/>
    <w:rsid w:val="00355500"/>
    <w:rsid w:val="00355A4D"/>
    <w:rsid w:val="00355B96"/>
    <w:rsid w:val="0035604B"/>
    <w:rsid w:val="00356CFB"/>
    <w:rsid w:val="0035716A"/>
    <w:rsid w:val="00357653"/>
    <w:rsid w:val="003576CC"/>
    <w:rsid w:val="0035787B"/>
    <w:rsid w:val="0035799E"/>
    <w:rsid w:val="00357FD6"/>
    <w:rsid w:val="003608F9"/>
    <w:rsid w:val="00360A4A"/>
    <w:rsid w:val="003612F6"/>
    <w:rsid w:val="00362C9E"/>
    <w:rsid w:val="0036307C"/>
    <w:rsid w:val="003631BB"/>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6418"/>
    <w:rsid w:val="00377CB1"/>
    <w:rsid w:val="00380788"/>
    <w:rsid w:val="00381603"/>
    <w:rsid w:val="00382BA0"/>
    <w:rsid w:val="00382EB1"/>
    <w:rsid w:val="003832C8"/>
    <w:rsid w:val="003834DE"/>
    <w:rsid w:val="0038372E"/>
    <w:rsid w:val="00383A0F"/>
    <w:rsid w:val="00383C8D"/>
    <w:rsid w:val="003843EA"/>
    <w:rsid w:val="0038447E"/>
    <w:rsid w:val="003845E8"/>
    <w:rsid w:val="003846E2"/>
    <w:rsid w:val="00384FAA"/>
    <w:rsid w:val="003857D4"/>
    <w:rsid w:val="00385BC4"/>
    <w:rsid w:val="003863AF"/>
    <w:rsid w:val="00386C0F"/>
    <w:rsid w:val="00386D06"/>
    <w:rsid w:val="00391333"/>
    <w:rsid w:val="003926D2"/>
    <w:rsid w:val="00393398"/>
    <w:rsid w:val="003947C6"/>
    <w:rsid w:val="00394E17"/>
    <w:rsid w:val="00394F4A"/>
    <w:rsid w:val="003950FF"/>
    <w:rsid w:val="00395DCF"/>
    <w:rsid w:val="00395E06"/>
    <w:rsid w:val="00395E15"/>
    <w:rsid w:val="003963BA"/>
    <w:rsid w:val="003967C4"/>
    <w:rsid w:val="00396E8C"/>
    <w:rsid w:val="003971F6"/>
    <w:rsid w:val="003972C0"/>
    <w:rsid w:val="0039768F"/>
    <w:rsid w:val="0039795A"/>
    <w:rsid w:val="00397BAD"/>
    <w:rsid w:val="003A0348"/>
    <w:rsid w:val="003A0653"/>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B50"/>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C91"/>
    <w:rsid w:val="003B5E89"/>
    <w:rsid w:val="003B77BF"/>
    <w:rsid w:val="003B78CD"/>
    <w:rsid w:val="003B7B70"/>
    <w:rsid w:val="003C0778"/>
    <w:rsid w:val="003C084F"/>
    <w:rsid w:val="003C0C6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4D6"/>
    <w:rsid w:val="003D2F7D"/>
    <w:rsid w:val="003D306E"/>
    <w:rsid w:val="003D3125"/>
    <w:rsid w:val="003D3663"/>
    <w:rsid w:val="003D38CA"/>
    <w:rsid w:val="003D43AE"/>
    <w:rsid w:val="003D4B33"/>
    <w:rsid w:val="003D5034"/>
    <w:rsid w:val="003D55AA"/>
    <w:rsid w:val="003D5B32"/>
    <w:rsid w:val="003D5F2A"/>
    <w:rsid w:val="003D60DB"/>
    <w:rsid w:val="003D66C9"/>
    <w:rsid w:val="003D6B7E"/>
    <w:rsid w:val="003D6E95"/>
    <w:rsid w:val="003D7CFF"/>
    <w:rsid w:val="003E0425"/>
    <w:rsid w:val="003E0555"/>
    <w:rsid w:val="003E0739"/>
    <w:rsid w:val="003E083E"/>
    <w:rsid w:val="003E08D8"/>
    <w:rsid w:val="003E11F7"/>
    <w:rsid w:val="003E17CB"/>
    <w:rsid w:val="003E18DC"/>
    <w:rsid w:val="003E245F"/>
    <w:rsid w:val="003E2579"/>
    <w:rsid w:val="003E2969"/>
    <w:rsid w:val="003E3920"/>
    <w:rsid w:val="003E3BFF"/>
    <w:rsid w:val="003E3D33"/>
    <w:rsid w:val="003E4324"/>
    <w:rsid w:val="003E462C"/>
    <w:rsid w:val="003E4710"/>
    <w:rsid w:val="003E4E31"/>
    <w:rsid w:val="003E54B2"/>
    <w:rsid w:val="003E575E"/>
    <w:rsid w:val="003E6787"/>
    <w:rsid w:val="003E6FB0"/>
    <w:rsid w:val="003E7268"/>
    <w:rsid w:val="003E728D"/>
    <w:rsid w:val="003E74DA"/>
    <w:rsid w:val="003E7ACC"/>
    <w:rsid w:val="003E7E4F"/>
    <w:rsid w:val="003E7E66"/>
    <w:rsid w:val="003F00A0"/>
    <w:rsid w:val="003F03A6"/>
    <w:rsid w:val="003F05DC"/>
    <w:rsid w:val="003F062E"/>
    <w:rsid w:val="003F0825"/>
    <w:rsid w:val="003F0C6A"/>
    <w:rsid w:val="003F0DC1"/>
    <w:rsid w:val="003F0DE1"/>
    <w:rsid w:val="003F0E3B"/>
    <w:rsid w:val="003F0E65"/>
    <w:rsid w:val="003F0FF4"/>
    <w:rsid w:val="003F1300"/>
    <w:rsid w:val="003F1E81"/>
    <w:rsid w:val="003F223E"/>
    <w:rsid w:val="003F29D4"/>
    <w:rsid w:val="003F36B7"/>
    <w:rsid w:val="003F36C4"/>
    <w:rsid w:val="003F3C8C"/>
    <w:rsid w:val="003F417F"/>
    <w:rsid w:val="003F5513"/>
    <w:rsid w:val="003F5BB7"/>
    <w:rsid w:val="003F5D54"/>
    <w:rsid w:val="003F5DDD"/>
    <w:rsid w:val="003F5E09"/>
    <w:rsid w:val="003F64C3"/>
    <w:rsid w:val="003F67DB"/>
    <w:rsid w:val="003F6843"/>
    <w:rsid w:val="003F6883"/>
    <w:rsid w:val="004001B7"/>
    <w:rsid w:val="00400499"/>
    <w:rsid w:val="0040160E"/>
    <w:rsid w:val="00402331"/>
    <w:rsid w:val="00402434"/>
    <w:rsid w:val="00402635"/>
    <w:rsid w:val="004026EE"/>
    <w:rsid w:val="00402E32"/>
    <w:rsid w:val="004036DC"/>
    <w:rsid w:val="00403CB8"/>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A18"/>
    <w:rsid w:val="00410B0D"/>
    <w:rsid w:val="00410C2E"/>
    <w:rsid w:val="0041189E"/>
    <w:rsid w:val="00411E0F"/>
    <w:rsid w:val="004121FF"/>
    <w:rsid w:val="0041266A"/>
    <w:rsid w:val="00412671"/>
    <w:rsid w:val="00412DC2"/>
    <w:rsid w:val="004131F5"/>
    <w:rsid w:val="004132BA"/>
    <w:rsid w:val="00413849"/>
    <w:rsid w:val="00413B61"/>
    <w:rsid w:val="00413BEA"/>
    <w:rsid w:val="00414047"/>
    <w:rsid w:val="00414580"/>
    <w:rsid w:val="004146F2"/>
    <w:rsid w:val="004148F8"/>
    <w:rsid w:val="00414920"/>
    <w:rsid w:val="0041685B"/>
    <w:rsid w:val="00416EFD"/>
    <w:rsid w:val="004172A5"/>
    <w:rsid w:val="0041794E"/>
    <w:rsid w:val="00417994"/>
    <w:rsid w:val="00417EBA"/>
    <w:rsid w:val="00417F98"/>
    <w:rsid w:val="00420211"/>
    <w:rsid w:val="004204E6"/>
    <w:rsid w:val="00420770"/>
    <w:rsid w:val="00420F73"/>
    <w:rsid w:val="0042129F"/>
    <w:rsid w:val="00421531"/>
    <w:rsid w:val="00421558"/>
    <w:rsid w:val="00421898"/>
    <w:rsid w:val="00421A19"/>
    <w:rsid w:val="00422076"/>
    <w:rsid w:val="00422204"/>
    <w:rsid w:val="00422DF2"/>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748"/>
    <w:rsid w:val="004339BC"/>
    <w:rsid w:val="00433EF3"/>
    <w:rsid w:val="004346B2"/>
    <w:rsid w:val="00434CCE"/>
    <w:rsid w:val="00434E71"/>
    <w:rsid w:val="00435307"/>
    <w:rsid w:val="00435384"/>
    <w:rsid w:val="00435B91"/>
    <w:rsid w:val="004367E4"/>
    <w:rsid w:val="004371D0"/>
    <w:rsid w:val="00437E68"/>
    <w:rsid w:val="004403ED"/>
    <w:rsid w:val="00440979"/>
    <w:rsid w:val="00440C17"/>
    <w:rsid w:val="00440F27"/>
    <w:rsid w:val="004417E9"/>
    <w:rsid w:val="00441B33"/>
    <w:rsid w:val="00441BE9"/>
    <w:rsid w:val="00441D56"/>
    <w:rsid w:val="00442123"/>
    <w:rsid w:val="00442F9A"/>
    <w:rsid w:val="004432E4"/>
    <w:rsid w:val="0044365D"/>
    <w:rsid w:val="00443693"/>
    <w:rsid w:val="004436F7"/>
    <w:rsid w:val="00443A47"/>
    <w:rsid w:val="00443B37"/>
    <w:rsid w:val="00443BAB"/>
    <w:rsid w:val="00443E59"/>
    <w:rsid w:val="00443F47"/>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1D33"/>
    <w:rsid w:val="0045259B"/>
    <w:rsid w:val="004529E5"/>
    <w:rsid w:val="00452B04"/>
    <w:rsid w:val="004533B8"/>
    <w:rsid w:val="00454819"/>
    <w:rsid w:val="0045497F"/>
    <w:rsid w:val="00454D21"/>
    <w:rsid w:val="00454F20"/>
    <w:rsid w:val="00454F95"/>
    <w:rsid w:val="00454FEA"/>
    <w:rsid w:val="0045577F"/>
    <w:rsid w:val="00455E5D"/>
    <w:rsid w:val="00456863"/>
    <w:rsid w:val="00456BC4"/>
    <w:rsid w:val="00456D09"/>
    <w:rsid w:val="00457CD0"/>
    <w:rsid w:val="00460602"/>
    <w:rsid w:val="00460DB0"/>
    <w:rsid w:val="00461ACA"/>
    <w:rsid w:val="00462ED1"/>
    <w:rsid w:val="00463548"/>
    <w:rsid w:val="0046491D"/>
    <w:rsid w:val="00464A30"/>
    <w:rsid w:val="00464D2C"/>
    <w:rsid w:val="00464E8C"/>
    <w:rsid w:val="004657E0"/>
    <w:rsid w:val="00465948"/>
    <w:rsid w:val="00465F86"/>
    <w:rsid w:val="004661F3"/>
    <w:rsid w:val="00466EFF"/>
    <w:rsid w:val="00466FB6"/>
    <w:rsid w:val="00466FCB"/>
    <w:rsid w:val="0046759C"/>
    <w:rsid w:val="00467CC7"/>
    <w:rsid w:val="00467DA8"/>
    <w:rsid w:val="00470095"/>
    <w:rsid w:val="00470DEC"/>
    <w:rsid w:val="0047107E"/>
    <w:rsid w:val="0047175C"/>
    <w:rsid w:val="0047229D"/>
    <w:rsid w:val="00472418"/>
    <w:rsid w:val="00472665"/>
    <w:rsid w:val="00472C66"/>
    <w:rsid w:val="004738AE"/>
    <w:rsid w:val="00473968"/>
    <w:rsid w:val="00473BE9"/>
    <w:rsid w:val="00474386"/>
    <w:rsid w:val="0047448F"/>
    <w:rsid w:val="0047466E"/>
    <w:rsid w:val="00474AD0"/>
    <w:rsid w:val="00475E83"/>
    <w:rsid w:val="00475F5C"/>
    <w:rsid w:val="0047674E"/>
    <w:rsid w:val="004770C6"/>
    <w:rsid w:val="00477760"/>
    <w:rsid w:val="00480270"/>
    <w:rsid w:val="004802FA"/>
    <w:rsid w:val="004810D5"/>
    <w:rsid w:val="0048161E"/>
    <w:rsid w:val="004822F8"/>
    <w:rsid w:val="00483083"/>
    <w:rsid w:val="0048340C"/>
    <w:rsid w:val="004834C9"/>
    <w:rsid w:val="00483A17"/>
    <w:rsid w:val="00483F7F"/>
    <w:rsid w:val="0048410C"/>
    <w:rsid w:val="00484123"/>
    <w:rsid w:val="00484191"/>
    <w:rsid w:val="004863D2"/>
    <w:rsid w:val="00486952"/>
    <w:rsid w:val="00486BA6"/>
    <w:rsid w:val="004878A1"/>
    <w:rsid w:val="004878C6"/>
    <w:rsid w:val="00487CDC"/>
    <w:rsid w:val="00487D18"/>
    <w:rsid w:val="00490984"/>
    <w:rsid w:val="00491336"/>
    <w:rsid w:val="00491400"/>
    <w:rsid w:val="0049153D"/>
    <w:rsid w:val="0049175B"/>
    <w:rsid w:val="00491B93"/>
    <w:rsid w:val="00491BC3"/>
    <w:rsid w:val="004925E2"/>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71C"/>
    <w:rsid w:val="00497810"/>
    <w:rsid w:val="004A0912"/>
    <w:rsid w:val="004A0D58"/>
    <w:rsid w:val="004A0F57"/>
    <w:rsid w:val="004A15C9"/>
    <w:rsid w:val="004A1960"/>
    <w:rsid w:val="004A25BD"/>
    <w:rsid w:val="004A2F9A"/>
    <w:rsid w:val="004A32C1"/>
    <w:rsid w:val="004A3FBF"/>
    <w:rsid w:val="004A4FC7"/>
    <w:rsid w:val="004A51C4"/>
    <w:rsid w:val="004A53A0"/>
    <w:rsid w:val="004A543E"/>
    <w:rsid w:val="004A5A6F"/>
    <w:rsid w:val="004A5CCF"/>
    <w:rsid w:val="004A5D8F"/>
    <w:rsid w:val="004A615A"/>
    <w:rsid w:val="004A6605"/>
    <w:rsid w:val="004A782F"/>
    <w:rsid w:val="004A791B"/>
    <w:rsid w:val="004A7D34"/>
    <w:rsid w:val="004B05C7"/>
    <w:rsid w:val="004B06BE"/>
    <w:rsid w:val="004B0D6B"/>
    <w:rsid w:val="004B104D"/>
    <w:rsid w:val="004B12EC"/>
    <w:rsid w:val="004B1751"/>
    <w:rsid w:val="004B1BD6"/>
    <w:rsid w:val="004B3718"/>
    <w:rsid w:val="004B3DA9"/>
    <w:rsid w:val="004B46F8"/>
    <w:rsid w:val="004B4DC4"/>
    <w:rsid w:val="004B4EBD"/>
    <w:rsid w:val="004B59B8"/>
    <w:rsid w:val="004B64C3"/>
    <w:rsid w:val="004B64F3"/>
    <w:rsid w:val="004B665D"/>
    <w:rsid w:val="004B668E"/>
    <w:rsid w:val="004B6AA2"/>
    <w:rsid w:val="004B72F3"/>
    <w:rsid w:val="004B7B42"/>
    <w:rsid w:val="004C03A3"/>
    <w:rsid w:val="004C0A79"/>
    <w:rsid w:val="004C15AC"/>
    <w:rsid w:val="004C1900"/>
    <w:rsid w:val="004C1B2A"/>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D64"/>
    <w:rsid w:val="004C6E1D"/>
    <w:rsid w:val="004C7A0A"/>
    <w:rsid w:val="004C7F20"/>
    <w:rsid w:val="004D07B7"/>
    <w:rsid w:val="004D141C"/>
    <w:rsid w:val="004D1C02"/>
    <w:rsid w:val="004D32F8"/>
    <w:rsid w:val="004D3A7D"/>
    <w:rsid w:val="004D479C"/>
    <w:rsid w:val="004D4F02"/>
    <w:rsid w:val="004D549E"/>
    <w:rsid w:val="004D5A70"/>
    <w:rsid w:val="004D5E64"/>
    <w:rsid w:val="004D60CA"/>
    <w:rsid w:val="004D6390"/>
    <w:rsid w:val="004D63E0"/>
    <w:rsid w:val="004D66B2"/>
    <w:rsid w:val="004D73E8"/>
    <w:rsid w:val="004E03B6"/>
    <w:rsid w:val="004E0C2A"/>
    <w:rsid w:val="004E0CD2"/>
    <w:rsid w:val="004E0CF3"/>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4C98"/>
    <w:rsid w:val="004E5165"/>
    <w:rsid w:val="004E52C1"/>
    <w:rsid w:val="004E5694"/>
    <w:rsid w:val="004E5987"/>
    <w:rsid w:val="004E6613"/>
    <w:rsid w:val="004E6944"/>
    <w:rsid w:val="004E756C"/>
    <w:rsid w:val="004E7CFC"/>
    <w:rsid w:val="004F03FB"/>
    <w:rsid w:val="004F0AB0"/>
    <w:rsid w:val="004F0C5F"/>
    <w:rsid w:val="004F0E20"/>
    <w:rsid w:val="004F1BCE"/>
    <w:rsid w:val="004F1BD5"/>
    <w:rsid w:val="004F1E82"/>
    <w:rsid w:val="004F1FBF"/>
    <w:rsid w:val="004F1FCC"/>
    <w:rsid w:val="004F237E"/>
    <w:rsid w:val="004F2451"/>
    <w:rsid w:val="004F27ED"/>
    <w:rsid w:val="004F2AF4"/>
    <w:rsid w:val="004F2C65"/>
    <w:rsid w:val="004F2ECD"/>
    <w:rsid w:val="004F32D4"/>
    <w:rsid w:val="004F3B93"/>
    <w:rsid w:val="004F3C69"/>
    <w:rsid w:val="004F3EA1"/>
    <w:rsid w:val="004F453F"/>
    <w:rsid w:val="004F4623"/>
    <w:rsid w:val="004F485F"/>
    <w:rsid w:val="004F4947"/>
    <w:rsid w:val="004F4A9F"/>
    <w:rsid w:val="004F4DC0"/>
    <w:rsid w:val="004F6C26"/>
    <w:rsid w:val="004F717C"/>
    <w:rsid w:val="004F7862"/>
    <w:rsid w:val="004F7EE6"/>
    <w:rsid w:val="005003C8"/>
    <w:rsid w:val="0050093F"/>
    <w:rsid w:val="00500ABA"/>
    <w:rsid w:val="00500BA8"/>
    <w:rsid w:val="00500E13"/>
    <w:rsid w:val="00500F0D"/>
    <w:rsid w:val="00501763"/>
    <w:rsid w:val="00501EC5"/>
    <w:rsid w:val="0050212C"/>
    <w:rsid w:val="00502832"/>
    <w:rsid w:val="0050284D"/>
    <w:rsid w:val="005030E7"/>
    <w:rsid w:val="005030EB"/>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4000"/>
    <w:rsid w:val="005153D1"/>
    <w:rsid w:val="00515871"/>
    <w:rsid w:val="00515C0A"/>
    <w:rsid w:val="00515E9F"/>
    <w:rsid w:val="0051663D"/>
    <w:rsid w:val="005167D9"/>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572"/>
    <w:rsid w:val="00526A9C"/>
    <w:rsid w:val="00527281"/>
    <w:rsid w:val="00527766"/>
    <w:rsid w:val="005277A6"/>
    <w:rsid w:val="0052786C"/>
    <w:rsid w:val="00527936"/>
    <w:rsid w:val="00530194"/>
    <w:rsid w:val="00530298"/>
    <w:rsid w:val="005304E8"/>
    <w:rsid w:val="00530651"/>
    <w:rsid w:val="00530DE4"/>
    <w:rsid w:val="00531085"/>
    <w:rsid w:val="005317C7"/>
    <w:rsid w:val="00531F11"/>
    <w:rsid w:val="00532BBE"/>
    <w:rsid w:val="00534FB4"/>
    <w:rsid w:val="005356D4"/>
    <w:rsid w:val="00535854"/>
    <w:rsid w:val="00535B26"/>
    <w:rsid w:val="00535C9D"/>
    <w:rsid w:val="00536097"/>
    <w:rsid w:val="005363DC"/>
    <w:rsid w:val="0053670D"/>
    <w:rsid w:val="00536C13"/>
    <w:rsid w:val="00537252"/>
    <w:rsid w:val="0053732E"/>
    <w:rsid w:val="00537FF1"/>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D42"/>
    <w:rsid w:val="0054511A"/>
    <w:rsid w:val="00545362"/>
    <w:rsid w:val="00545BC2"/>
    <w:rsid w:val="00545D63"/>
    <w:rsid w:val="00545E1B"/>
    <w:rsid w:val="00546AB4"/>
    <w:rsid w:val="005476EA"/>
    <w:rsid w:val="00547866"/>
    <w:rsid w:val="00547BB3"/>
    <w:rsid w:val="0055050A"/>
    <w:rsid w:val="00550774"/>
    <w:rsid w:val="00551243"/>
    <w:rsid w:val="00551710"/>
    <w:rsid w:val="00551E83"/>
    <w:rsid w:val="00551FBC"/>
    <w:rsid w:val="00552038"/>
    <w:rsid w:val="00552306"/>
    <w:rsid w:val="00552917"/>
    <w:rsid w:val="00552C92"/>
    <w:rsid w:val="00553290"/>
    <w:rsid w:val="00553626"/>
    <w:rsid w:val="00553A76"/>
    <w:rsid w:val="0055413B"/>
    <w:rsid w:val="00554515"/>
    <w:rsid w:val="0055462A"/>
    <w:rsid w:val="00554687"/>
    <w:rsid w:val="00554C63"/>
    <w:rsid w:val="0055561D"/>
    <w:rsid w:val="00555B23"/>
    <w:rsid w:val="00555DE1"/>
    <w:rsid w:val="005566F0"/>
    <w:rsid w:val="0055678B"/>
    <w:rsid w:val="00556A80"/>
    <w:rsid w:val="005573DE"/>
    <w:rsid w:val="005579E2"/>
    <w:rsid w:val="0056009F"/>
    <w:rsid w:val="00560771"/>
    <w:rsid w:val="00560B9F"/>
    <w:rsid w:val="00561206"/>
    <w:rsid w:val="005618C1"/>
    <w:rsid w:val="00561A32"/>
    <w:rsid w:val="00561D09"/>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E47"/>
    <w:rsid w:val="00577FD5"/>
    <w:rsid w:val="00580751"/>
    <w:rsid w:val="0058105A"/>
    <w:rsid w:val="005811A6"/>
    <w:rsid w:val="00581258"/>
    <w:rsid w:val="005816EB"/>
    <w:rsid w:val="0058225D"/>
    <w:rsid w:val="00582BC3"/>
    <w:rsid w:val="00582ED7"/>
    <w:rsid w:val="00584700"/>
    <w:rsid w:val="005851DD"/>
    <w:rsid w:val="005852AA"/>
    <w:rsid w:val="00585879"/>
    <w:rsid w:val="00585BA5"/>
    <w:rsid w:val="005862DC"/>
    <w:rsid w:val="005868E2"/>
    <w:rsid w:val="00586D7E"/>
    <w:rsid w:val="00587A69"/>
    <w:rsid w:val="00587B42"/>
    <w:rsid w:val="00587C71"/>
    <w:rsid w:val="00587FA7"/>
    <w:rsid w:val="00590286"/>
    <w:rsid w:val="0059066B"/>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8E5"/>
    <w:rsid w:val="00595978"/>
    <w:rsid w:val="00595C8E"/>
    <w:rsid w:val="005962AF"/>
    <w:rsid w:val="0059674B"/>
    <w:rsid w:val="00597300"/>
    <w:rsid w:val="00597B0A"/>
    <w:rsid w:val="00597E57"/>
    <w:rsid w:val="005A003E"/>
    <w:rsid w:val="005A0084"/>
    <w:rsid w:val="005A07F2"/>
    <w:rsid w:val="005A084A"/>
    <w:rsid w:val="005A123D"/>
    <w:rsid w:val="005A128A"/>
    <w:rsid w:val="005A1BC7"/>
    <w:rsid w:val="005A1C72"/>
    <w:rsid w:val="005A2077"/>
    <w:rsid w:val="005A2166"/>
    <w:rsid w:val="005A276C"/>
    <w:rsid w:val="005A2830"/>
    <w:rsid w:val="005A2989"/>
    <w:rsid w:val="005A2C27"/>
    <w:rsid w:val="005A2F76"/>
    <w:rsid w:val="005A5806"/>
    <w:rsid w:val="005A59A0"/>
    <w:rsid w:val="005A5B1A"/>
    <w:rsid w:val="005A6A63"/>
    <w:rsid w:val="005A6A75"/>
    <w:rsid w:val="005A6B8C"/>
    <w:rsid w:val="005A6BA6"/>
    <w:rsid w:val="005A6CC1"/>
    <w:rsid w:val="005A6EA1"/>
    <w:rsid w:val="005A73A8"/>
    <w:rsid w:val="005A75A3"/>
    <w:rsid w:val="005A78C6"/>
    <w:rsid w:val="005A7DFB"/>
    <w:rsid w:val="005B0211"/>
    <w:rsid w:val="005B071B"/>
    <w:rsid w:val="005B0B6E"/>
    <w:rsid w:val="005B1313"/>
    <w:rsid w:val="005B1782"/>
    <w:rsid w:val="005B1B46"/>
    <w:rsid w:val="005B1E65"/>
    <w:rsid w:val="005B2170"/>
    <w:rsid w:val="005B2229"/>
    <w:rsid w:val="005B22EF"/>
    <w:rsid w:val="005B261E"/>
    <w:rsid w:val="005B2B5F"/>
    <w:rsid w:val="005B2E8B"/>
    <w:rsid w:val="005B2EBC"/>
    <w:rsid w:val="005B330E"/>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92F"/>
    <w:rsid w:val="005C1AA8"/>
    <w:rsid w:val="005C25AA"/>
    <w:rsid w:val="005C26A3"/>
    <w:rsid w:val="005C287E"/>
    <w:rsid w:val="005C2C49"/>
    <w:rsid w:val="005C3E81"/>
    <w:rsid w:val="005C4066"/>
    <w:rsid w:val="005C452F"/>
    <w:rsid w:val="005C4A9C"/>
    <w:rsid w:val="005C4B9E"/>
    <w:rsid w:val="005C4F00"/>
    <w:rsid w:val="005C5A5B"/>
    <w:rsid w:val="005C6257"/>
    <w:rsid w:val="005C6402"/>
    <w:rsid w:val="005C69D1"/>
    <w:rsid w:val="005C6A95"/>
    <w:rsid w:val="005C6E5D"/>
    <w:rsid w:val="005C79BA"/>
    <w:rsid w:val="005C7E97"/>
    <w:rsid w:val="005D0429"/>
    <w:rsid w:val="005D05B2"/>
    <w:rsid w:val="005D0A86"/>
    <w:rsid w:val="005D0F2E"/>
    <w:rsid w:val="005D10D2"/>
    <w:rsid w:val="005D1222"/>
    <w:rsid w:val="005D16A6"/>
    <w:rsid w:val="005D1882"/>
    <w:rsid w:val="005D1B24"/>
    <w:rsid w:val="005D1C68"/>
    <w:rsid w:val="005D1D81"/>
    <w:rsid w:val="005D26B0"/>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512"/>
    <w:rsid w:val="005E2D8B"/>
    <w:rsid w:val="005E39D4"/>
    <w:rsid w:val="005E4BFF"/>
    <w:rsid w:val="005E4E90"/>
    <w:rsid w:val="005E5567"/>
    <w:rsid w:val="005E5C86"/>
    <w:rsid w:val="005E5FEB"/>
    <w:rsid w:val="005E66DC"/>
    <w:rsid w:val="005E6CB7"/>
    <w:rsid w:val="005E71FD"/>
    <w:rsid w:val="005F067C"/>
    <w:rsid w:val="005F067E"/>
    <w:rsid w:val="005F14D3"/>
    <w:rsid w:val="005F1AE0"/>
    <w:rsid w:val="005F24D3"/>
    <w:rsid w:val="005F2521"/>
    <w:rsid w:val="005F2C1A"/>
    <w:rsid w:val="005F31FA"/>
    <w:rsid w:val="005F3A40"/>
    <w:rsid w:val="005F3DD8"/>
    <w:rsid w:val="005F3E52"/>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A08"/>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59"/>
    <w:rsid w:val="006043F0"/>
    <w:rsid w:val="006048B0"/>
    <w:rsid w:val="00604E82"/>
    <w:rsid w:val="0060563D"/>
    <w:rsid w:val="0060598F"/>
    <w:rsid w:val="00605BF3"/>
    <w:rsid w:val="00606192"/>
    <w:rsid w:val="00606282"/>
    <w:rsid w:val="00606847"/>
    <w:rsid w:val="0060743D"/>
    <w:rsid w:val="0061024B"/>
    <w:rsid w:val="00610372"/>
    <w:rsid w:val="00610617"/>
    <w:rsid w:val="0061061A"/>
    <w:rsid w:val="0061065E"/>
    <w:rsid w:val="006110F9"/>
    <w:rsid w:val="00611189"/>
    <w:rsid w:val="006112B7"/>
    <w:rsid w:val="00612061"/>
    <w:rsid w:val="0061299E"/>
    <w:rsid w:val="00613219"/>
    <w:rsid w:val="006138ED"/>
    <w:rsid w:val="00613B42"/>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946"/>
    <w:rsid w:val="00622AFE"/>
    <w:rsid w:val="00623687"/>
    <w:rsid w:val="006237A2"/>
    <w:rsid w:val="00623B28"/>
    <w:rsid w:val="00624589"/>
    <w:rsid w:val="00624DD1"/>
    <w:rsid w:val="0062570A"/>
    <w:rsid w:val="00625F01"/>
    <w:rsid w:val="00626504"/>
    <w:rsid w:val="00626708"/>
    <w:rsid w:val="00630733"/>
    <w:rsid w:val="00631005"/>
    <w:rsid w:val="00631314"/>
    <w:rsid w:val="00631F71"/>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75F"/>
    <w:rsid w:val="0063585C"/>
    <w:rsid w:val="00636C39"/>
    <w:rsid w:val="00636CC0"/>
    <w:rsid w:val="00636E05"/>
    <w:rsid w:val="00637273"/>
    <w:rsid w:val="0063730C"/>
    <w:rsid w:val="006373A5"/>
    <w:rsid w:val="006378D4"/>
    <w:rsid w:val="00637F26"/>
    <w:rsid w:val="0064091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5163"/>
    <w:rsid w:val="00645379"/>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0F6"/>
    <w:rsid w:val="00654813"/>
    <w:rsid w:val="00655059"/>
    <w:rsid w:val="00657DBF"/>
    <w:rsid w:val="00660089"/>
    <w:rsid w:val="00660385"/>
    <w:rsid w:val="006608BA"/>
    <w:rsid w:val="00661105"/>
    <w:rsid w:val="0066117C"/>
    <w:rsid w:val="00661973"/>
    <w:rsid w:val="00661C51"/>
    <w:rsid w:val="00661E36"/>
    <w:rsid w:val="00661F67"/>
    <w:rsid w:val="0066262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4E45"/>
    <w:rsid w:val="00675669"/>
    <w:rsid w:val="0067762E"/>
    <w:rsid w:val="00677A49"/>
    <w:rsid w:val="0068019E"/>
    <w:rsid w:val="0068032E"/>
    <w:rsid w:val="00680446"/>
    <w:rsid w:val="00680A47"/>
    <w:rsid w:val="006818D1"/>
    <w:rsid w:val="00681B15"/>
    <w:rsid w:val="00681F56"/>
    <w:rsid w:val="006822C0"/>
    <w:rsid w:val="00682742"/>
    <w:rsid w:val="00682DC8"/>
    <w:rsid w:val="00682DE9"/>
    <w:rsid w:val="006831C9"/>
    <w:rsid w:val="006836C6"/>
    <w:rsid w:val="006836D7"/>
    <w:rsid w:val="00683B2D"/>
    <w:rsid w:val="00683EA0"/>
    <w:rsid w:val="0068426E"/>
    <w:rsid w:val="00685039"/>
    <w:rsid w:val="00685A52"/>
    <w:rsid w:val="0068608A"/>
    <w:rsid w:val="006861CE"/>
    <w:rsid w:val="00686363"/>
    <w:rsid w:val="00686A7F"/>
    <w:rsid w:val="00686B18"/>
    <w:rsid w:val="006875C5"/>
    <w:rsid w:val="006900F0"/>
    <w:rsid w:val="006903BF"/>
    <w:rsid w:val="0069090B"/>
    <w:rsid w:val="00691065"/>
    <w:rsid w:val="006911BE"/>
    <w:rsid w:val="00691961"/>
    <w:rsid w:val="006919C5"/>
    <w:rsid w:val="00691F0D"/>
    <w:rsid w:val="00692D18"/>
    <w:rsid w:val="006931AC"/>
    <w:rsid w:val="00693C58"/>
    <w:rsid w:val="00694416"/>
    <w:rsid w:val="00695174"/>
    <w:rsid w:val="00695513"/>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8E1"/>
    <w:rsid w:val="006A5D51"/>
    <w:rsid w:val="006A5ECE"/>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1F8"/>
    <w:rsid w:val="006C56FF"/>
    <w:rsid w:val="006C57C9"/>
    <w:rsid w:val="006C621C"/>
    <w:rsid w:val="006C65EC"/>
    <w:rsid w:val="006C670B"/>
    <w:rsid w:val="006C6D34"/>
    <w:rsid w:val="006C77B1"/>
    <w:rsid w:val="006D01E4"/>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C7F"/>
    <w:rsid w:val="006D4F27"/>
    <w:rsid w:val="006D5091"/>
    <w:rsid w:val="006D548E"/>
    <w:rsid w:val="006D600E"/>
    <w:rsid w:val="006D60C6"/>
    <w:rsid w:val="006E0095"/>
    <w:rsid w:val="006E0858"/>
    <w:rsid w:val="006E09FB"/>
    <w:rsid w:val="006E0B58"/>
    <w:rsid w:val="006E0D44"/>
    <w:rsid w:val="006E1269"/>
    <w:rsid w:val="006E18CB"/>
    <w:rsid w:val="006E27AF"/>
    <w:rsid w:val="006E2BD8"/>
    <w:rsid w:val="006E3472"/>
    <w:rsid w:val="006E368F"/>
    <w:rsid w:val="006E3F01"/>
    <w:rsid w:val="006E43C3"/>
    <w:rsid w:val="006E48D3"/>
    <w:rsid w:val="006E4CE3"/>
    <w:rsid w:val="006E4D55"/>
    <w:rsid w:val="006E4DD4"/>
    <w:rsid w:val="006E52CA"/>
    <w:rsid w:val="006E5BBE"/>
    <w:rsid w:val="006E5D93"/>
    <w:rsid w:val="006E5DF5"/>
    <w:rsid w:val="006E6561"/>
    <w:rsid w:val="006E6571"/>
    <w:rsid w:val="006E67B0"/>
    <w:rsid w:val="006E7029"/>
    <w:rsid w:val="006E7CD3"/>
    <w:rsid w:val="006F00AF"/>
    <w:rsid w:val="006F052B"/>
    <w:rsid w:val="006F0E17"/>
    <w:rsid w:val="006F0F92"/>
    <w:rsid w:val="006F1050"/>
    <w:rsid w:val="006F129C"/>
    <w:rsid w:val="006F16AB"/>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23EC"/>
    <w:rsid w:val="00702486"/>
    <w:rsid w:val="00702902"/>
    <w:rsid w:val="00702C5C"/>
    <w:rsid w:val="00702CE4"/>
    <w:rsid w:val="00702D0D"/>
    <w:rsid w:val="00702E2C"/>
    <w:rsid w:val="00703660"/>
    <w:rsid w:val="00703D23"/>
    <w:rsid w:val="00704712"/>
    <w:rsid w:val="00705029"/>
    <w:rsid w:val="007057E5"/>
    <w:rsid w:val="00705F7C"/>
    <w:rsid w:val="007064CA"/>
    <w:rsid w:val="0070655F"/>
    <w:rsid w:val="00706DB9"/>
    <w:rsid w:val="00707108"/>
    <w:rsid w:val="007073AF"/>
    <w:rsid w:val="00707EDE"/>
    <w:rsid w:val="00707FD0"/>
    <w:rsid w:val="00710826"/>
    <w:rsid w:val="00710C4D"/>
    <w:rsid w:val="00710E8A"/>
    <w:rsid w:val="0071148E"/>
    <w:rsid w:val="00711603"/>
    <w:rsid w:val="0071161B"/>
    <w:rsid w:val="00711823"/>
    <w:rsid w:val="00711911"/>
    <w:rsid w:val="007135AE"/>
    <w:rsid w:val="0071384A"/>
    <w:rsid w:val="00713FA9"/>
    <w:rsid w:val="007147B8"/>
    <w:rsid w:val="00714B7C"/>
    <w:rsid w:val="00714F65"/>
    <w:rsid w:val="007151BF"/>
    <w:rsid w:val="00715294"/>
    <w:rsid w:val="00715657"/>
    <w:rsid w:val="00716A3A"/>
    <w:rsid w:val="00717003"/>
    <w:rsid w:val="007170E0"/>
    <w:rsid w:val="0071728A"/>
    <w:rsid w:val="007176B0"/>
    <w:rsid w:val="0071770A"/>
    <w:rsid w:val="00717ECA"/>
    <w:rsid w:val="00717F36"/>
    <w:rsid w:val="00720469"/>
    <w:rsid w:val="00720C82"/>
    <w:rsid w:val="007211D0"/>
    <w:rsid w:val="00721398"/>
    <w:rsid w:val="007214A7"/>
    <w:rsid w:val="007215A3"/>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5B87"/>
    <w:rsid w:val="00726398"/>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2FC5"/>
    <w:rsid w:val="00734202"/>
    <w:rsid w:val="00734247"/>
    <w:rsid w:val="0073427E"/>
    <w:rsid w:val="00734295"/>
    <w:rsid w:val="00734EC7"/>
    <w:rsid w:val="00735338"/>
    <w:rsid w:val="00735373"/>
    <w:rsid w:val="00735859"/>
    <w:rsid w:val="00735B0D"/>
    <w:rsid w:val="007360D9"/>
    <w:rsid w:val="007364AC"/>
    <w:rsid w:val="0073650B"/>
    <w:rsid w:val="00736FC0"/>
    <w:rsid w:val="00737164"/>
    <w:rsid w:val="007371FB"/>
    <w:rsid w:val="00737643"/>
    <w:rsid w:val="0074078E"/>
    <w:rsid w:val="007411AA"/>
    <w:rsid w:val="007418F9"/>
    <w:rsid w:val="00742F71"/>
    <w:rsid w:val="007441CB"/>
    <w:rsid w:val="00744E2C"/>
    <w:rsid w:val="00745081"/>
    <w:rsid w:val="007456FF"/>
    <w:rsid w:val="0074587E"/>
    <w:rsid w:val="00745A79"/>
    <w:rsid w:val="007460C3"/>
    <w:rsid w:val="007466E7"/>
    <w:rsid w:val="00746B96"/>
    <w:rsid w:val="007471EC"/>
    <w:rsid w:val="00747287"/>
    <w:rsid w:val="007477CF"/>
    <w:rsid w:val="00750015"/>
    <w:rsid w:val="00750274"/>
    <w:rsid w:val="0075039A"/>
    <w:rsid w:val="00750B8D"/>
    <w:rsid w:val="00750BCC"/>
    <w:rsid w:val="00750D7E"/>
    <w:rsid w:val="00750ED5"/>
    <w:rsid w:val="007519B3"/>
    <w:rsid w:val="00751D17"/>
    <w:rsid w:val="00751FB6"/>
    <w:rsid w:val="007522DD"/>
    <w:rsid w:val="00752713"/>
    <w:rsid w:val="00752E69"/>
    <w:rsid w:val="00752F88"/>
    <w:rsid w:val="007534C1"/>
    <w:rsid w:val="00753513"/>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963"/>
    <w:rsid w:val="00767472"/>
    <w:rsid w:val="007675C6"/>
    <w:rsid w:val="007677C9"/>
    <w:rsid w:val="00767CF3"/>
    <w:rsid w:val="007707FF"/>
    <w:rsid w:val="00771D29"/>
    <w:rsid w:val="00772169"/>
    <w:rsid w:val="007723C8"/>
    <w:rsid w:val="00772499"/>
    <w:rsid w:val="007725AD"/>
    <w:rsid w:val="00772862"/>
    <w:rsid w:val="00772A4E"/>
    <w:rsid w:val="00772B1D"/>
    <w:rsid w:val="00772BD5"/>
    <w:rsid w:val="00773395"/>
    <w:rsid w:val="0077386E"/>
    <w:rsid w:val="00773CF1"/>
    <w:rsid w:val="007745A4"/>
    <w:rsid w:val="00774789"/>
    <w:rsid w:val="00774896"/>
    <w:rsid w:val="00774D75"/>
    <w:rsid w:val="00775802"/>
    <w:rsid w:val="007759CB"/>
    <w:rsid w:val="00775C25"/>
    <w:rsid w:val="00775CDB"/>
    <w:rsid w:val="00776563"/>
    <w:rsid w:val="00776894"/>
    <w:rsid w:val="0077738F"/>
    <w:rsid w:val="00777B61"/>
    <w:rsid w:val="00777C0E"/>
    <w:rsid w:val="00777C5A"/>
    <w:rsid w:val="00777CBD"/>
    <w:rsid w:val="007800D4"/>
    <w:rsid w:val="007804E9"/>
    <w:rsid w:val="00780986"/>
    <w:rsid w:val="0078130C"/>
    <w:rsid w:val="007814EC"/>
    <w:rsid w:val="00781EB7"/>
    <w:rsid w:val="00782DC6"/>
    <w:rsid w:val="0078392F"/>
    <w:rsid w:val="00783F34"/>
    <w:rsid w:val="00784AC5"/>
    <w:rsid w:val="00784AE1"/>
    <w:rsid w:val="007851F9"/>
    <w:rsid w:val="00785701"/>
    <w:rsid w:val="007858B3"/>
    <w:rsid w:val="00785AB2"/>
    <w:rsid w:val="00785F2C"/>
    <w:rsid w:val="00786221"/>
    <w:rsid w:val="0078671F"/>
    <w:rsid w:val="00786908"/>
    <w:rsid w:val="00787078"/>
    <w:rsid w:val="007870D5"/>
    <w:rsid w:val="007871B8"/>
    <w:rsid w:val="00787954"/>
    <w:rsid w:val="00790668"/>
    <w:rsid w:val="00790D76"/>
    <w:rsid w:val="00790F50"/>
    <w:rsid w:val="00791959"/>
    <w:rsid w:val="0079270A"/>
    <w:rsid w:val="007929EC"/>
    <w:rsid w:val="0079381A"/>
    <w:rsid w:val="00794543"/>
    <w:rsid w:val="007945C2"/>
    <w:rsid w:val="00794633"/>
    <w:rsid w:val="00794A7D"/>
    <w:rsid w:val="00794C92"/>
    <w:rsid w:val="0079588F"/>
    <w:rsid w:val="00795E4E"/>
    <w:rsid w:val="00795F70"/>
    <w:rsid w:val="00796211"/>
    <w:rsid w:val="007967DB"/>
    <w:rsid w:val="00797507"/>
    <w:rsid w:val="00797745"/>
    <w:rsid w:val="007977F8"/>
    <w:rsid w:val="00797973"/>
    <w:rsid w:val="00797BD2"/>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608"/>
    <w:rsid w:val="007A69AA"/>
    <w:rsid w:val="007A6CDB"/>
    <w:rsid w:val="007A6D01"/>
    <w:rsid w:val="007A6E3A"/>
    <w:rsid w:val="007A755B"/>
    <w:rsid w:val="007A7736"/>
    <w:rsid w:val="007A79AC"/>
    <w:rsid w:val="007A7BE0"/>
    <w:rsid w:val="007B0694"/>
    <w:rsid w:val="007B0776"/>
    <w:rsid w:val="007B0BF1"/>
    <w:rsid w:val="007B0C74"/>
    <w:rsid w:val="007B19FF"/>
    <w:rsid w:val="007B1CB9"/>
    <w:rsid w:val="007B21E3"/>
    <w:rsid w:val="007B2696"/>
    <w:rsid w:val="007B3E22"/>
    <w:rsid w:val="007B4008"/>
    <w:rsid w:val="007B43CD"/>
    <w:rsid w:val="007B450E"/>
    <w:rsid w:val="007B4711"/>
    <w:rsid w:val="007B47C3"/>
    <w:rsid w:val="007B48EC"/>
    <w:rsid w:val="007B4A7B"/>
    <w:rsid w:val="007B52FE"/>
    <w:rsid w:val="007B5598"/>
    <w:rsid w:val="007B5F33"/>
    <w:rsid w:val="007B61F6"/>
    <w:rsid w:val="007B628E"/>
    <w:rsid w:val="007B6344"/>
    <w:rsid w:val="007B647D"/>
    <w:rsid w:val="007B677F"/>
    <w:rsid w:val="007B6DBE"/>
    <w:rsid w:val="007B7273"/>
    <w:rsid w:val="007B72E6"/>
    <w:rsid w:val="007B7FFB"/>
    <w:rsid w:val="007C0D0D"/>
    <w:rsid w:val="007C0E31"/>
    <w:rsid w:val="007C1195"/>
    <w:rsid w:val="007C12F6"/>
    <w:rsid w:val="007C22BD"/>
    <w:rsid w:val="007C2E4F"/>
    <w:rsid w:val="007C34DC"/>
    <w:rsid w:val="007C40C1"/>
    <w:rsid w:val="007C4160"/>
    <w:rsid w:val="007C459B"/>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84A"/>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0ADA"/>
    <w:rsid w:val="007E1094"/>
    <w:rsid w:val="007E1922"/>
    <w:rsid w:val="007E1FA4"/>
    <w:rsid w:val="007E2391"/>
    <w:rsid w:val="007E3629"/>
    <w:rsid w:val="007E38DC"/>
    <w:rsid w:val="007E4989"/>
    <w:rsid w:val="007E590A"/>
    <w:rsid w:val="007E5AE9"/>
    <w:rsid w:val="007E5E11"/>
    <w:rsid w:val="007E5E99"/>
    <w:rsid w:val="007E5FE2"/>
    <w:rsid w:val="007E6074"/>
    <w:rsid w:val="007E64C1"/>
    <w:rsid w:val="007E6EA5"/>
    <w:rsid w:val="007E7375"/>
    <w:rsid w:val="007E749E"/>
    <w:rsid w:val="007E7F0A"/>
    <w:rsid w:val="007F0164"/>
    <w:rsid w:val="007F01CB"/>
    <w:rsid w:val="007F037C"/>
    <w:rsid w:val="007F069E"/>
    <w:rsid w:val="007F076F"/>
    <w:rsid w:val="007F16A9"/>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9A7"/>
    <w:rsid w:val="00800A9A"/>
    <w:rsid w:val="00801036"/>
    <w:rsid w:val="008011A0"/>
    <w:rsid w:val="0080153B"/>
    <w:rsid w:val="008015A2"/>
    <w:rsid w:val="008016CC"/>
    <w:rsid w:val="00801B8B"/>
    <w:rsid w:val="00801E2F"/>
    <w:rsid w:val="00801E87"/>
    <w:rsid w:val="00803084"/>
    <w:rsid w:val="008040EF"/>
    <w:rsid w:val="00804D6F"/>
    <w:rsid w:val="00804E34"/>
    <w:rsid w:val="0080555E"/>
    <w:rsid w:val="008056A5"/>
    <w:rsid w:val="00805AA8"/>
    <w:rsid w:val="00806083"/>
    <w:rsid w:val="0080637B"/>
    <w:rsid w:val="00806E9A"/>
    <w:rsid w:val="00806EC1"/>
    <w:rsid w:val="008071B4"/>
    <w:rsid w:val="0080720B"/>
    <w:rsid w:val="00807445"/>
    <w:rsid w:val="00807553"/>
    <w:rsid w:val="00807933"/>
    <w:rsid w:val="00807F60"/>
    <w:rsid w:val="008102B6"/>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C87"/>
    <w:rsid w:val="00825DB6"/>
    <w:rsid w:val="00826094"/>
    <w:rsid w:val="00826513"/>
    <w:rsid w:val="00826CCE"/>
    <w:rsid w:val="00826E93"/>
    <w:rsid w:val="00827052"/>
    <w:rsid w:val="0082756B"/>
    <w:rsid w:val="00827761"/>
    <w:rsid w:val="00830304"/>
    <w:rsid w:val="00830DCC"/>
    <w:rsid w:val="00831057"/>
    <w:rsid w:val="0083125B"/>
    <w:rsid w:val="00831727"/>
    <w:rsid w:val="00831B3A"/>
    <w:rsid w:val="00832616"/>
    <w:rsid w:val="00832C62"/>
    <w:rsid w:val="00832E4C"/>
    <w:rsid w:val="008336F6"/>
    <w:rsid w:val="0083497E"/>
    <w:rsid w:val="008354F9"/>
    <w:rsid w:val="00840043"/>
    <w:rsid w:val="00840288"/>
    <w:rsid w:val="00840313"/>
    <w:rsid w:val="0084058A"/>
    <w:rsid w:val="00840714"/>
    <w:rsid w:val="008407B8"/>
    <w:rsid w:val="00840B76"/>
    <w:rsid w:val="00841C4F"/>
    <w:rsid w:val="00841E14"/>
    <w:rsid w:val="00842089"/>
    <w:rsid w:val="008426B5"/>
    <w:rsid w:val="00842AD6"/>
    <w:rsid w:val="00842C3E"/>
    <w:rsid w:val="0084366E"/>
    <w:rsid w:val="00843A13"/>
    <w:rsid w:val="00843AA9"/>
    <w:rsid w:val="00843F23"/>
    <w:rsid w:val="00843FE6"/>
    <w:rsid w:val="00844071"/>
    <w:rsid w:val="00844263"/>
    <w:rsid w:val="00844704"/>
    <w:rsid w:val="008449DB"/>
    <w:rsid w:val="00844C43"/>
    <w:rsid w:val="00844D86"/>
    <w:rsid w:val="00844F16"/>
    <w:rsid w:val="00844FB7"/>
    <w:rsid w:val="00845BB9"/>
    <w:rsid w:val="008461E4"/>
    <w:rsid w:val="008466CA"/>
    <w:rsid w:val="00846A82"/>
    <w:rsid w:val="00846BC1"/>
    <w:rsid w:val="00846C19"/>
    <w:rsid w:val="00846E68"/>
    <w:rsid w:val="00847083"/>
    <w:rsid w:val="008473D5"/>
    <w:rsid w:val="00847A81"/>
    <w:rsid w:val="00850140"/>
    <w:rsid w:val="00850327"/>
    <w:rsid w:val="00850A01"/>
    <w:rsid w:val="00850B5D"/>
    <w:rsid w:val="00851128"/>
    <w:rsid w:val="008517CF"/>
    <w:rsid w:val="00851E63"/>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0F1B"/>
    <w:rsid w:val="00861E39"/>
    <w:rsid w:val="008627FA"/>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67BFD"/>
    <w:rsid w:val="00870442"/>
    <w:rsid w:val="00870E4C"/>
    <w:rsid w:val="008712B5"/>
    <w:rsid w:val="00871A59"/>
    <w:rsid w:val="00871E67"/>
    <w:rsid w:val="00871FBD"/>
    <w:rsid w:val="0087217F"/>
    <w:rsid w:val="008722D3"/>
    <w:rsid w:val="008722F1"/>
    <w:rsid w:val="0087285E"/>
    <w:rsid w:val="00872D69"/>
    <w:rsid w:val="008736C8"/>
    <w:rsid w:val="00873EA8"/>
    <w:rsid w:val="0087417F"/>
    <w:rsid w:val="00874658"/>
    <w:rsid w:val="00875846"/>
    <w:rsid w:val="0087589F"/>
    <w:rsid w:val="008766CB"/>
    <w:rsid w:val="00876C5D"/>
    <w:rsid w:val="00880043"/>
    <w:rsid w:val="00880102"/>
    <w:rsid w:val="00880111"/>
    <w:rsid w:val="00880C2E"/>
    <w:rsid w:val="00880ED3"/>
    <w:rsid w:val="00881082"/>
    <w:rsid w:val="0088114E"/>
    <w:rsid w:val="00881A32"/>
    <w:rsid w:val="00881DA9"/>
    <w:rsid w:val="008824FD"/>
    <w:rsid w:val="00884755"/>
    <w:rsid w:val="00884AEA"/>
    <w:rsid w:val="00884B40"/>
    <w:rsid w:val="00884DE7"/>
    <w:rsid w:val="0088522E"/>
    <w:rsid w:val="008867BB"/>
    <w:rsid w:val="00886996"/>
    <w:rsid w:val="00886D11"/>
    <w:rsid w:val="00886EF1"/>
    <w:rsid w:val="008902F2"/>
    <w:rsid w:val="0089031F"/>
    <w:rsid w:val="00891000"/>
    <w:rsid w:val="00892049"/>
    <w:rsid w:val="00892250"/>
    <w:rsid w:val="00892360"/>
    <w:rsid w:val="00892508"/>
    <w:rsid w:val="00892C9F"/>
    <w:rsid w:val="00893DB0"/>
    <w:rsid w:val="00894161"/>
    <w:rsid w:val="00894FB0"/>
    <w:rsid w:val="00895026"/>
    <w:rsid w:val="00895572"/>
    <w:rsid w:val="008961E1"/>
    <w:rsid w:val="00896894"/>
    <w:rsid w:val="00896C4C"/>
    <w:rsid w:val="0089744F"/>
    <w:rsid w:val="00897E2F"/>
    <w:rsid w:val="00897EB3"/>
    <w:rsid w:val="008A0883"/>
    <w:rsid w:val="008A0B5E"/>
    <w:rsid w:val="008A1A3D"/>
    <w:rsid w:val="008A2035"/>
    <w:rsid w:val="008A2167"/>
    <w:rsid w:val="008A257C"/>
    <w:rsid w:val="008A25CF"/>
    <w:rsid w:val="008A2954"/>
    <w:rsid w:val="008A2C23"/>
    <w:rsid w:val="008A2C96"/>
    <w:rsid w:val="008A3144"/>
    <w:rsid w:val="008A3456"/>
    <w:rsid w:val="008A34A2"/>
    <w:rsid w:val="008A3580"/>
    <w:rsid w:val="008A3AC7"/>
    <w:rsid w:val="008A3B4D"/>
    <w:rsid w:val="008A3EAA"/>
    <w:rsid w:val="008A4529"/>
    <w:rsid w:val="008A56B1"/>
    <w:rsid w:val="008A599E"/>
    <w:rsid w:val="008A5A5E"/>
    <w:rsid w:val="008A6275"/>
    <w:rsid w:val="008A627B"/>
    <w:rsid w:val="008A672F"/>
    <w:rsid w:val="008A6A95"/>
    <w:rsid w:val="008A6CBF"/>
    <w:rsid w:val="008A6E00"/>
    <w:rsid w:val="008A6E21"/>
    <w:rsid w:val="008A6E55"/>
    <w:rsid w:val="008A71D6"/>
    <w:rsid w:val="008A7740"/>
    <w:rsid w:val="008A79E7"/>
    <w:rsid w:val="008A7BB6"/>
    <w:rsid w:val="008A7F7C"/>
    <w:rsid w:val="008B0270"/>
    <w:rsid w:val="008B02BE"/>
    <w:rsid w:val="008B1516"/>
    <w:rsid w:val="008B19BA"/>
    <w:rsid w:val="008B1AC0"/>
    <w:rsid w:val="008B1B37"/>
    <w:rsid w:val="008B1C2D"/>
    <w:rsid w:val="008B300B"/>
    <w:rsid w:val="008B38B6"/>
    <w:rsid w:val="008B39A2"/>
    <w:rsid w:val="008B5135"/>
    <w:rsid w:val="008B53C0"/>
    <w:rsid w:val="008B5949"/>
    <w:rsid w:val="008B5A90"/>
    <w:rsid w:val="008B6167"/>
    <w:rsid w:val="008B688D"/>
    <w:rsid w:val="008B6D6C"/>
    <w:rsid w:val="008B6FD2"/>
    <w:rsid w:val="008B71E9"/>
    <w:rsid w:val="008B73E1"/>
    <w:rsid w:val="008B75EA"/>
    <w:rsid w:val="008B7BA6"/>
    <w:rsid w:val="008C0785"/>
    <w:rsid w:val="008C0BA4"/>
    <w:rsid w:val="008C0C13"/>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128D"/>
    <w:rsid w:val="008D19D1"/>
    <w:rsid w:val="008D245B"/>
    <w:rsid w:val="008D28F9"/>
    <w:rsid w:val="008D33C5"/>
    <w:rsid w:val="008D3811"/>
    <w:rsid w:val="008D3ABB"/>
    <w:rsid w:val="008D44EC"/>
    <w:rsid w:val="008D4565"/>
    <w:rsid w:val="008D49AB"/>
    <w:rsid w:val="008D4A69"/>
    <w:rsid w:val="008D4F10"/>
    <w:rsid w:val="008D5630"/>
    <w:rsid w:val="008D56ED"/>
    <w:rsid w:val="008D594C"/>
    <w:rsid w:val="008D5BAE"/>
    <w:rsid w:val="008D5E9D"/>
    <w:rsid w:val="008D5F4F"/>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215"/>
    <w:rsid w:val="008E381C"/>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5F4"/>
    <w:rsid w:val="008F07AB"/>
    <w:rsid w:val="008F141A"/>
    <w:rsid w:val="008F1742"/>
    <w:rsid w:val="008F17DF"/>
    <w:rsid w:val="008F1AF7"/>
    <w:rsid w:val="008F2766"/>
    <w:rsid w:val="008F2A61"/>
    <w:rsid w:val="008F2AF5"/>
    <w:rsid w:val="008F3309"/>
    <w:rsid w:val="008F3742"/>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4391"/>
    <w:rsid w:val="00904557"/>
    <w:rsid w:val="00904661"/>
    <w:rsid w:val="00904D3B"/>
    <w:rsid w:val="00905089"/>
    <w:rsid w:val="00905C34"/>
    <w:rsid w:val="009067D4"/>
    <w:rsid w:val="009068DD"/>
    <w:rsid w:val="00906972"/>
    <w:rsid w:val="00906D5F"/>
    <w:rsid w:val="0090752B"/>
    <w:rsid w:val="00907C63"/>
    <w:rsid w:val="00907F26"/>
    <w:rsid w:val="009101E4"/>
    <w:rsid w:val="00910C35"/>
    <w:rsid w:val="009110D8"/>
    <w:rsid w:val="00911381"/>
    <w:rsid w:val="00911CA4"/>
    <w:rsid w:val="00911F69"/>
    <w:rsid w:val="00912587"/>
    <w:rsid w:val="00912985"/>
    <w:rsid w:val="00912AC3"/>
    <w:rsid w:val="00913506"/>
    <w:rsid w:val="00913D76"/>
    <w:rsid w:val="009142AC"/>
    <w:rsid w:val="0091442C"/>
    <w:rsid w:val="00914720"/>
    <w:rsid w:val="00914AD7"/>
    <w:rsid w:val="00915769"/>
    <w:rsid w:val="00915983"/>
    <w:rsid w:val="00915E23"/>
    <w:rsid w:val="0091643A"/>
    <w:rsid w:val="0091699D"/>
    <w:rsid w:val="00916E06"/>
    <w:rsid w:val="0091742D"/>
    <w:rsid w:val="009174CB"/>
    <w:rsid w:val="00917BAB"/>
    <w:rsid w:val="00917BEA"/>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886"/>
    <w:rsid w:val="009239A7"/>
    <w:rsid w:val="00923C6E"/>
    <w:rsid w:val="00924B1C"/>
    <w:rsid w:val="00924CA2"/>
    <w:rsid w:val="00925097"/>
    <w:rsid w:val="00925669"/>
    <w:rsid w:val="00925766"/>
    <w:rsid w:val="009259C1"/>
    <w:rsid w:val="00925A08"/>
    <w:rsid w:val="00925FA1"/>
    <w:rsid w:val="009260B7"/>
    <w:rsid w:val="00926676"/>
    <w:rsid w:val="009270D4"/>
    <w:rsid w:val="00927175"/>
    <w:rsid w:val="009271CC"/>
    <w:rsid w:val="00927430"/>
    <w:rsid w:val="009274FD"/>
    <w:rsid w:val="00927660"/>
    <w:rsid w:val="00927BF5"/>
    <w:rsid w:val="00927CDC"/>
    <w:rsid w:val="0093020C"/>
    <w:rsid w:val="00930585"/>
    <w:rsid w:val="00930962"/>
    <w:rsid w:val="00930B9E"/>
    <w:rsid w:val="0093121E"/>
    <w:rsid w:val="00931DEA"/>
    <w:rsid w:val="00932F44"/>
    <w:rsid w:val="00933463"/>
    <w:rsid w:val="00933A6E"/>
    <w:rsid w:val="00933C8D"/>
    <w:rsid w:val="00934D54"/>
    <w:rsid w:val="00935229"/>
    <w:rsid w:val="009358AF"/>
    <w:rsid w:val="009364F6"/>
    <w:rsid w:val="00936AED"/>
    <w:rsid w:val="00936C1E"/>
    <w:rsid w:val="00936E7E"/>
    <w:rsid w:val="00936EE1"/>
    <w:rsid w:val="00937326"/>
    <w:rsid w:val="00937382"/>
    <w:rsid w:val="00937813"/>
    <w:rsid w:val="0094100F"/>
    <w:rsid w:val="009410A4"/>
    <w:rsid w:val="0094139C"/>
    <w:rsid w:val="00941893"/>
    <w:rsid w:val="009419A6"/>
    <w:rsid w:val="00941A18"/>
    <w:rsid w:val="00941B2B"/>
    <w:rsid w:val="00941B4A"/>
    <w:rsid w:val="00942179"/>
    <w:rsid w:val="00942361"/>
    <w:rsid w:val="00942DA7"/>
    <w:rsid w:val="00942F21"/>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47F"/>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2DC"/>
    <w:rsid w:val="00957325"/>
    <w:rsid w:val="0095770F"/>
    <w:rsid w:val="009600A9"/>
    <w:rsid w:val="00960452"/>
    <w:rsid w:val="00960737"/>
    <w:rsid w:val="0096074C"/>
    <w:rsid w:val="00960C38"/>
    <w:rsid w:val="00960D2C"/>
    <w:rsid w:val="00960EEB"/>
    <w:rsid w:val="00961154"/>
    <w:rsid w:val="009615C3"/>
    <w:rsid w:val="00961767"/>
    <w:rsid w:val="0096250A"/>
    <w:rsid w:val="00962AD1"/>
    <w:rsid w:val="00962BDF"/>
    <w:rsid w:val="00962C78"/>
    <w:rsid w:val="0096345C"/>
    <w:rsid w:val="0096363E"/>
    <w:rsid w:val="0096364A"/>
    <w:rsid w:val="00963A08"/>
    <w:rsid w:val="00963B49"/>
    <w:rsid w:val="009653D7"/>
    <w:rsid w:val="009658AA"/>
    <w:rsid w:val="00965D1B"/>
    <w:rsid w:val="00967A7E"/>
    <w:rsid w:val="00970527"/>
    <w:rsid w:val="00970BA3"/>
    <w:rsid w:val="00970C59"/>
    <w:rsid w:val="00970F32"/>
    <w:rsid w:val="00970FA8"/>
    <w:rsid w:val="00971CD8"/>
    <w:rsid w:val="00971DB4"/>
    <w:rsid w:val="00971E96"/>
    <w:rsid w:val="00972709"/>
    <w:rsid w:val="00973615"/>
    <w:rsid w:val="0097393D"/>
    <w:rsid w:val="00973D31"/>
    <w:rsid w:val="0097439D"/>
    <w:rsid w:val="00974AAA"/>
    <w:rsid w:val="00974D25"/>
    <w:rsid w:val="009751A5"/>
    <w:rsid w:val="0097543A"/>
    <w:rsid w:val="00975929"/>
    <w:rsid w:val="009770F8"/>
    <w:rsid w:val="009772D1"/>
    <w:rsid w:val="00977411"/>
    <w:rsid w:val="009802D1"/>
    <w:rsid w:val="00980AB6"/>
    <w:rsid w:val="00980F6D"/>
    <w:rsid w:val="0098123E"/>
    <w:rsid w:val="009822DC"/>
    <w:rsid w:val="009824D9"/>
    <w:rsid w:val="009825F6"/>
    <w:rsid w:val="00983252"/>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70"/>
    <w:rsid w:val="00986ACF"/>
    <w:rsid w:val="00987314"/>
    <w:rsid w:val="00990061"/>
    <w:rsid w:val="009900FC"/>
    <w:rsid w:val="00990721"/>
    <w:rsid w:val="0099108B"/>
    <w:rsid w:val="009911B1"/>
    <w:rsid w:val="009915AF"/>
    <w:rsid w:val="009919FC"/>
    <w:rsid w:val="00992142"/>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18C9"/>
    <w:rsid w:val="009A2537"/>
    <w:rsid w:val="009A2AAB"/>
    <w:rsid w:val="009A3034"/>
    <w:rsid w:val="009A3518"/>
    <w:rsid w:val="009A39D9"/>
    <w:rsid w:val="009A428B"/>
    <w:rsid w:val="009A4392"/>
    <w:rsid w:val="009A46A7"/>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4A8B"/>
    <w:rsid w:val="009B4F4A"/>
    <w:rsid w:val="009B64F4"/>
    <w:rsid w:val="009B66A4"/>
    <w:rsid w:val="009B6CBA"/>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193"/>
    <w:rsid w:val="009D38DD"/>
    <w:rsid w:val="009D42D1"/>
    <w:rsid w:val="009D4360"/>
    <w:rsid w:val="009D4BD0"/>
    <w:rsid w:val="009D4F68"/>
    <w:rsid w:val="009D5357"/>
    <w:rsid w:val="009D5495"/>
    <w:rsid w:val="009D550A"/>
    <w:rsid w:val="009D575D"/>
    <w:rsid w:val="009D5A40"/>
    <w:rsid w:val="009D5C63"/>
    <w:rsid w:val="009D6D70"/>
    <w:rsid w:val="009D70B0"/>
    <w:rsid w:val="009D79C2"/>
    <w:rsid w:val="009D7A33"/>
    <w:rsid w:val="009E02D5"/>
    <w:rsid w:val="009E1166"/>
    <w:rsid w:val="009E1437"/>
    <w:rsid w:val="009E1688"/>
    <w:rsid w:val="009E1BC5"/>
    <w:rsid w:val="009E20AD"/>
    <w:rsid w:val="009E22EB"/>
    <w:rsid w:val="009E23F5"/>
    <w:rsid w:val="009E251F"/>
    <w:rsid w:val="009E2635"/>
    <w:rsid w:val="009E2A32"/>
    <w:rsid w:val="009E2A4B"/>
    <w:rsid w:val="009E2CA1"/>
    <w:rsid w:val="009E3DF3"/>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562"/>
    <w:rsid w:val="009F0619"/>
    <w:rsid w:val="009F07A8"/>
    <w:rsid w:val="009F08FD"/>
    <w:rsid w:val="009F0E99"/>
    <w:rsid w:val="009F1364"/>
    <w:rsid w:val="009F19C6"/>
    <w:rsid w:val="009F1BC7"/>
    <w:rsid w:val="009F28DC"/>
    <w:rsid w:val="009F3273"/>
    <w:rsid w:val="009F3F0E"/>
    <w:rsid w:val="009F44E0"/>
    <w:rsid w:val="009F4528"/>
    <w:rsid w:val="009F4B0C"/>
    <w:rsid w:val="009F5196"/>
    <w:rsid w:val="009F58E0"/>
    <w:rsid w:val="009F5F1A"/>
    <w:rsid w:val="009F6467"/>
    <w:rsid w:val="009F67A7"/>
    <w:rsid w:val="009F6B4A"/>
    <w:rsid w:val="009F6F06"/>
    <w:rsid w:val="009F7069"/>
    <w:rsid w:val="009F7628"/>
    <w:rsid w:val="009F78D8"/>
    <w:rsid w:val="009F7DA6"/>
    <w:rsid w:val="00A00407"/>
    <w:rsid w:val="00A00E1C"/>
    <w:rsid w:val="00A0193D"/>
    <w:rsid w:val="00A01AF4"/>
    <w:rsid w:val="00A02187"/>
    <w:rsid w:val="00A024D9"/>
    <w:rsid w:val="00A026E8"/>
    <w:rsid w:val="00A026EF"/>
    <w:rsid w:val="00A02BC4"/>
    <w:rsid w:val="00A02EDE"/>
    <w:rsid w:val="00A036E1"/>
    <w:rsid w:val="00A037E1"/>
    <w:rsid w:val="00A03BB7"/>
    <w:rsid w:val="00A03C92"/>
    <w:rsid w:val="00A04978"/>
    <w:rsid w:val="00A04B1E"/>
    <w:rsid w:val="00A04C2B"/>
    <w:rsid w:val="00A052AA"/>
    <w:rsid w:val="00A05737"/>
    <w:rsid w:val="00A06107"/>
    <w:rsid w:val="00A062B6"/>
    <w:rsid w:val="00A062D0"/>
    <w:rsid w:val="00A0687A"/>
    <w:rsid w:val="00A06C6A"/>
    <w:rsid w:val="00A06D31"/>
    <w:rsid w:val="00A06DA1"/>
    <w:rsid w:val="00A06FF8"/>
    <w:rsid w:val="00A0707B"/>
    <w:rsid w:val="00A07DC6"/>
    <w:rsid w:val="00A10247"/>
    <w:rsid w:val="00A105FA"/>
    <w:rsid w:val="00A1062D"/>
    <w:rsid w:val="00A108C9"/>
    <w:rsid w:val="00A10B3E"/>
    <w:rsid w:val="00A10FCF"/>
    <w:rsid w:val="00A116EB"/>
    <w:rsid w:val="00A11ED0"/>
    <w:rsid w:val="00A120D0"/>
    <w:rsid w:val="00A12354"/>
    <w:rsid w:val="00A128CA"/>
    <w:rsid w:val="00A12CD5"/>
    <w:rsid w:val="00A13AFA"/>
    <w:rsid w:val="00A143D7"/>
    <w:rsid w:val="00A148E9"/>
    <w:rsid w:val="00A1518D"/>
    <w:rsid w:val="00A1585E"/>
    <w:rsid w:val="00A1621F"/>
    <w:rsid w:val="00A16C82"/>
    <w:rsid w:val="00A17854"/>
    <w:rsid w:val="00A178C2"/>
    <w:rsid w:val="00A2018D"/>
    <w:rsid w:val="00A201E7"/>
    <w:rsid w:val="00A201EC"/>
    <w:rsid w:val="00A20C4D"/>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8D8"/>
    <w:rsid w:val="00A309BB"/>
    <w:rsid w:val="00A31625"/>
    <w:rsid w:val="00A31756"/>
    <w:rsid w:val="00A319FC"/>
    <w:rsid w:val="00A31F88"/>
    <w:rsid w:val="00A3249E"/>
    <w:rsid w:val="00A32A82"/>
    <w:rsid w:val="00A336D0"/>
    <w:rsid w:val="00A3399D"/>
    <w:rsid w:val="00A3508B"/>
    <w:rsid w:val="00A35DC9"/>
    <w:rsid w:val="00A361AE"/>
    <w:rsid w:val="00A3634F"/>
    <w:rsid w:val="00A3663B"/>
    <w:rsid w:val="00A36939"/>
    <w:rsid w:val="00A37161"/>
    <w:rsid w:val="00A375AD"/>
    <w:rsid w:val="00A37998"/>
    <w:rsid w:val="00A37E04"/>
    <w:rsid w:val="00A40D94"/>
    <w:rsid w:val="00A41710"/>
    <w:rsid w:val="00A41797"/>
    <w:rsid w:val="00A41BE0"/>
    <w:rsid w:val="00A422AA"/>
    <w:rsid w:val="00A426C7"/>
    <w:rsid w:val="00A42726"/>
    <w:rsid w:val="00A43184"/>
    <w:rsid w:val="00A43A2B"/>
    <w:rsid w:val="00A44256"/>
    <w:rsid w:val="00A44665"/>
    <w:rsid w:val="00A449EE"/>
    <w:rsid w:val="00A4545B"/>
    <w:rsid w:val="00A45684"/>
    <w:rsid w:val="00A4589F"/>
    <w:rsid w:val="00A45B41"/>
    <w:rsid w:val="00A45CBC"/>
    <w:rsid w:val="00A46050"/>
    <w:rsid w:val="00A46131"/>
    <w:rsid w:val="00A46D74"/>
    <w:rsid w:val="00A46DF7"/>
    <w:rsid w:val="00A47B80"/>
    <w:rsid w:val="00A503D5"/>
    <w:rsid w:val="00A506F9"/>
    <w:rsid w:val="00A5084E"/>
    <w:rsid w:val="00A50A65"/>
    <w:rsid w:val="00A50B94"/>
    <w:rsid w:val="00A50F29"/>
    <w:rsid w:val="00A51005"/>
    <w:rsid w:val="00A51572"/>
    <w:rsid w:val="00A51B57"/>
    <w:rsid w:val="00A52521"/>
    <w:rsid w:val="00A528A1"/>
    <w:rsid w:val="00A538C3"/>
    <w:rsid w:val="00A54B01"/>
    <w:rsid w:val="00A54CE2"/>
    <w:rsid w:val="00A555CD"/>
    <w:rsid w:val="00A556A5"/>
    <w:rsid w:val="00A569F9"/>
    <w:rsid w:val="00A56D8F"/>
    <w:rsid w:val="00A56EDD"/>
    <w:rsid w:val="00A5704C"/>
    <w:rsid w:val="00A57CBC"/>
    <w:rsid w:val="00A57CBF"/>
    <w:rsid w:val="00A60280"/>
    <w:rsid w:val="00A6035F"/>
    <w:rsid w:val="00A60ADB"/>
    <w:rsid w:val="00A60B8A"/>
    <w:rsid w:val="00A60E33"/>
    <w:rsid w:val="00A60F1C"/>
    <w:rsid w:val="00A62EB7"/>
    <w:rsid w:val="00A62F40"/>
    <w:rsid w:val="00A63278"/>
    <w:rsid w:val="00A634EF"/>
    <w:rsid w:val="00A643BC"/>
    <w:rsid w:val="00A646D6"/>
    <w:rsid w:val="00A64F93"/>
    <w:rsid w:val="00A660AB"/>
    <w:rsid w:val="00A662D9"/>
    <w:rsid w:val="00A664CC"/>
    <w:rsid w:val="00A666E8"/>
    <w:rsid w:val="00A67A5A"/>
    <w:rsid w:val="00A67DF6"/>
    <w:rsid w:val="00A67EC5"/>
    <w:rsid w:val="00A700EB"/>
    <w:rsid w:val="00A70430"/>
    <w:rsid w:val="00A7085C"/>
    <w:rsid w:val="00A70B24"/>
    <w:rsid w:val="00A70C2C"/>
    <w:rsid w:val="00A713CD"/>
    <w:rsid w:val="00A71AAC"/>
    <w:rsid w:val="00A71F5D"/>
    <w:rsid w:val="00A727E0"/>
    <w:rsid w:val="00A72FBE"/>
    <w:rsid w:val="00A738DF"/>
    <w:rsid w:val="00A74317"/>
    <w:rsid w:val="00A74FD9"/>
    <w:rsid w:val="00A75220"/>
    <w:rsid w:val="00A75787"/>
    <w:rsid w:val="00A7617F"/>
    <w:rsid w:val="00A76D63"/>
    <w:rsid w:val="00A771C7"/>
    <w:rsid w:val="00A7738D"/>
    <w:rsid w:val="00A777BD"/>
    <w:rsid w:val="00A7797F"/>
    <w:rsid w:val="00A77D1E"/>
    <w:rsid w:val="00A77E92"/>
    <w:rsid w:val="00A80837"/>
    <w:rsid w:val="00A80EF7"/>
    <w:rsid w:val="00A81688"/>
    <w:rsid w:val="00A818FB"/>
    <w:rsid w:val="00A827CD"/>
    <w:rsid w:val="00A827D0"/>
    <w:rsid w:val="00A83482"/>
    <w:rsid w:val="00A83DA5"/>
    <w:rsid w:val="00A83EEC"/>
    <w:rsid w:val="00A843EA"/>
    <w:rsid w:val="00A84847"/>
    <w:rsid w:val="00A849B2"/>
    <w:rsid w:val="00A849E3"/>
    <w:rsid w:val="00A84E28"/>
    <w:rsid w:val="00A850D9"/>
    <w:rsid w:val="00A85311"/>
    <w:rsid w:val="00A85D6F"/>
    <w:rsid w:val="00A85F15"/>
    <w:rsid w:val="00A86526"/>
    <w:rsid w:val="00A86BD7"/>
    <w:rsid w:val="00A86DD1"/>
    <w:rsid w:val="00A87583"/>
    <w:rsid w:val="00A902C1"/>
    <w:rsid w:val="00A90762"/>
    <w:rsid w:val="00A90B4D"/>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919"/>
    <w:rsid w:val="00AA6AAD"/>
    <w:rsid w:val="00AA6AB4"/>
    <w:rsid w:val="00AA6E25"/>
    <w:rsid w:val="00AA725F"/>
    <w:rsid w:val="00AA732E"/>
    <w:rsid w:val="00AA769A"/>
    <w:rsid w:val="00AA77D3"/>
    <w:rsid w:val="00AA787F"/>
    <w:rsid w:val="00AA7F6B"/>
    <w:rsid w:val="00AB055A"/>
    <w:rsid w:val="00AB11D1"/>
    <w:rsid w:val="00AB1FAE"/>
    <w:rsid w:val="00AB21FD"/>
    <w:rsid w:val="00AB2A27"/>
    <w:rsid w:val="00AB3665"/>
    <w:rsid w:val="00AB38D6"/>
    <w:rsid w:val="00AB49CD"/>
    <w:rsid w:val="00AB4C73"/>
    <w:rsid w:val="00AB4FBC"/>
    <w:rsid w:val="00AB5125"/>
    <w:rsid w:val="00AB537C"/>
    <w:rsid w:val="00AB660C"/>
    <w:rsid w:val="00AB6864"/>
    <w:rsid w:val="00AB6D93"/>
    <w:rsid w:val="00AC0042"/>
    <w:rsid w:val="00AC025F"/>
    <w:rsid w:val="00AC1805"/>
    <w:rsid w:val="00AC19C3"/>
    <w:rsid w:val="00AC239B"/>
    <w:rsid w:val="00AC2B2C"/>
    <w:rsid w:val="00AC30FD"/>
    <w:rsid w:val="00AC3504"/>
    <w:rsid w:val="00AC3C0E"/>
    <w:rsid w:val="00AC45E8"/>
    <w:rsid w:val="00AC4D29"/>
    <w:rsid w:val="00AC4EE6"/>
    <w:rsid w:val="00AC552C"/>
    <w:rsid w:val="00AC5C30"/>
    <w:rsid w:val="00AC64E4"/>
    <w:rsid w:val="00AC6767"/>
    <w:rsid w:val="00AC69D6"/>
    <w:rsid w:val="00AC788C"/>
    <w:rsid w:val="00AD04AF"/>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3E70"/>
    <w:rsid w:val="00AD42D1"/>
    <w:rsid w:val="00AD44CE"/>
    <w:rsid w:val="00AD4C18"/>
    <w:rsid w:val="00AD4C37"/>
    <w:rsid w:val="00AD4C87"/>
    <w:rsid w:val="00AD4CEF"/>
    <w:rsid w:val="00AD5C86"/>
    <w:rsid w:val="00AD5F80"/>
    <w:rsid w:val="00AD610E"/>
    <w:rsid w:val="00AD654C"/>
    <w:rsid w:val="00AD687F"/>
    <w:rsid w:val="00AD6CB2"/>
    <w:rsid w:val="00AD6F25"/>
    <w:rsid w:val="00AD7268"/>
    <w:rsid w:val="00AD76D7"/>
    <w:rsid w:val="00AD7D50"/>
    <w:rsid w:val="00AE01B3"/>
    <w:rsid w:val="00AE0367"/>
    <w:rsid w:val="00AE05AF"/>
    <w:rsid w:val="00AE0620"/>
    <w:rsid w:val="00AE078B"/>
    <w:rsid w:val="00AE0B88"/>
    <w:rsid w:val="00AE0C03"/>
    <w:rsid w:val="00AE0CC4"/>
    <w:rsid w:val="00AE0EE5"/>
    <w:rsid w:val="00AE1182"/>
    <w:rsid w:val="00AE16BB"/>
    <w:rsid w:val="00AE19FB"/>
    <w:rsid w:val="00AE2381"/>
    <w:rsid w:val="00AE2789"/>
    <w:rsid w:val="00AE3612"/>
    <w:rsid w:val="00AE38A1"/>
    <w:rsid w:val="00AE4245"/>
    <w:rsid w:val="00AE43A5"/>
    <w:rsid w:val="00AE4A26"/>
    <w:rsid w:val="00AE58D4"/>
    <w:rsid w:val="00AE5DFB"/>
    <w:rsid w:val="00AE5F0B"/>
    <w:rsid w:val="00AE6414"/>
    <w:rsid w:val="00AE649F"/>
    <w:rsid w:val="00AE6D23"/>
    <w:rsid w:val="00AE6D95"/>
    <w:rsid w:val="00AE6FA4"/>
    <w:rsid w:val="00AE6FB7"/>
    <w:rsid w:val="00AF010F"/>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6E5"/>
    <w:rsid w:val="00AF5904"/>
    <w:rsid w:val="00AF5922"/>
    <w:rsid w:val="00AF69EA"/>
    <w:rsid w:val="00AF7284"/>
    <w:rsid w:val="00AF7707"/>
    <w:rsid w:val="00AF7BB0"/>
    <w:rsid w:val="00AF7F46"/>
    <w:rsid w:val="00B002A2"/>
    <w:rsid w:val="00B00534"/>
    <w:rsid w:val="00B01C03"/>
    <w:rsid w:val="00B01D33"/>
    <w:rsid w:val="00B02047"/>
    <w:rsid w:val="00B02119"/>
    <w:rsid w:val="00B021BC"/>
    <w:rsid w:val="00B02773"/>
    <w:rsid w:val="00B02F30"/>
    <w:rsid w:val="00B0326A"/>
    <w:rsid w:val="00B03446"/>
    <w:rsid w:val="00B03B27"/>
    <w:rsid w:val="00B04300"/>
    <w:rsid w:val="00B04380"/>
    <w:rsid w:val="00B04895"/>
    <w:rsid w:val="00B0491E"/>
    <w:rsid w:val="00B04936"/>
    <w:rsid w:val="00B04E51"/>
    <w:rsid w:val="00B04F37"/>
    <w:rsid w:val="00B059FE"/>
    <w:rsid w:val="00B05BF2"/>
    <w:rsid w:val="00B05E16"/>
    <w:rsid w:val="00B05EC5"/>
    <w:rsid w:val="00B066B0"/>
    <w:rsid w:val="00B0753D"/>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B21"/>
    <w:rsid w:val="00B14B80"/>
    <w:rsid w:val="00B15896"/>
    <w:rsid w:val="00B159C8"/>
    <w:rsid w:val="00B15B9E"/>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1F39"/>
    <w:rsid w:val="00B2284D"/>
    <w:rsid w:val="00B22B1A"/>
    <w:rsid w:val="00B22D13"/>
    <w:rsid w:val="00B230BC"/>
    <w:rsid w:val="00B231B4"/>
    <w:rsid w:val="00B2355D"/>
    <w:rsid w:val="00B23690"/>
    <w:rsid w:val="00B23DEA"/>
    <w:rsid w:val="00B23F56"/>
    <w:rsid w:val="00B244EB"/>
    <w:rsid w:val="00B2468B"/>
    <w:rsid w:val="00B24AD2"/>
    <w:rsid w:val="00B2562C"/>
    <w:rsid w:val="00B25782"/>
    <w:rsid w:val="00B26352"/>
    <w:rsid w:val="00B274AF"/>
    <w:rsid w:val="00B27F48"/>
    <w:rsid w:val="00B30723"/>
    <w:rsid w:val="00B30CFC"/>
    <w:rsid w:val="00B3238D"/>
    <w:rsid w:val="00B326D2"/>
    <w:rsid w:val="00B32A66"/>
    <w:rsid w:val="00B32C14"/>
    <w:rsid w:val="00B32DD7"/>
    <w:rsid w:val="00B337AC"/>
    <w:rsid w:val="00B33BBA"/>
    <w:rsid w:val="00B33EB6"/>
    <w:rsid w:val="00B34157"/>
    <w:rsid w:val="00B3435F"/>
    <w:rsid w:val="00B34A8E"/>
    <w:rsid w:val="00B34AAD"/>
    <w:rsid w:val="00B34FA4"/>
    <w:rsid w:val="00B351DD"/>
    <w:rsid w:val="00B355AA"/>
    <w:rsid w:val="00B35CF1"/>
    <w:rsid w:val="00B35DE1"/>
    <w:rsid w:val="00B360BB"/>
    <w:rsid w:val="00B362D7"/>
    <w:rsid w:val="00B36356"/>
    <w:rsid w:val="00B36621"/>
    <w:rsid w:val="00B36CC1"/>
    <w:rsid w:val="00B37221"/>
    <w:rsid w:val="00B37238"/>
    <w:rsid w:val="00B37A2E"/>
    <w:rsid w:val="00B37FFE"/>
    <w:rsid w:val="00B40020"/>
    <w:rsid w:val="00B400D3"/>
    <w:rsid w:val="00B41055"/>
    <w:rsid w:val="00B41860"/>
    <w:rsid w:val="00B41D5B"/>
    <w:rsid w:val="00B424A1"/>
    <w:rsid w:val="00B42A68"/>
    <w:rsid w:val="00B42CB2"/>
    <w:rsid w:val="00B42D67"/>
    <w:rsid w:val="00B43134"/>
    <w:rsid w:val="00B43367"/>
    <w:rsid w:val="00B433CA"/>
    <w:rsid w:val="00B4399A"/>
    <w:rsid w:val="00B43DAC"/>
    <w:rsid w:val="00B445E8"/>
    <w:rsid w:val="00B44AB8"/>
    <w:rsid w:val="00B44CFD"/>
    <w:rsid w:val="00B4581C"/>
    <w:rsid w:val="00B45D10"/>
    <w:rsid w:val="00B464FC"/>
    <w:rsid w:val="00B47751"/>
    <w:rsid w:val="00B47FA1"/>
    <w:rsid w:val="00B50F71"/>
    <w:rsid w:val="00B5125C"/>
    <w:rsid w:val="00B51C46"/>
    <w:rsid w:val="00B51CCC"/>
    <w:rsid w:val="00B52055"/>
    <w:rsid w:val="00B520A8"/>
    <w:rsid w:val="00B546D6"/>
    <w:rsid w:val="00B54BE2"/>
    <w:rsid w:val="00B54D90"/>
    <w:rsid w:val="00B550B4"/>
    <w:rsid w:val="00B558A9"/>
    <w:rsid w:val="00B55AF1"/>
    <w:rsid w:val="00B56B1F"/>
    <w:rsid w:val="00B574A2"/>
    <w:rsid w:val="00B5761C"/>
    <w:rsid w:val="00B5783E"/>
    <w:rsid w:val="00B5798A"/>
    <w:rsid w:val="00B57A8A"/>
    <w:rsid w:val="00B57ADD"/>
    <w:rsid w:val="00B604C9"/>
    <w:rsid w:val="00B60B1C"/>
    <w:rsid w:val="00B6106A"/>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1F2"/>
    <w:rsid w:val="00B67D8B"/>
    <w:rsid w:val="00B70537"/>
    <w:rsid w:val="00B71727"/>
    <w:rsid w:val="00B72010"/>
    <w:rsid w:val="00B720FE"/>
    <w:rsid w:val="00B7233B"/>
    <w:rsid w:val="00B72B1D"/>
    <w:rsid w:val="00B732E3"/>
    <w:rsid w:val="00B73B97"/>
    <w:rsid w:val="00B73BF1"/>
    <w:rsid w:val="00B745DF"/>
    <w:rsid w:val="00B74979"/>
    <w:rsid w:val="00B74C3F"/>
    <w:rsid w:val="00B7558D"/>
    <w:rsid w:val="00B75BBC"/>
    <w:rsid w:val="00B76069"/>
    <w:rsid w:val="00B76C7D"/>
    <w:rsid w:val="00B778CF"/>
    <w:rsid w:val="00B77C03"/>
    <w:rsid w:val="00B77CA9"/>
    <w:rsid w:val="00B77E3E"/>
    <w:rsid w:val="00B77F8E"/>
    <w:rsid w:val="00B77FEB"/>
    <w:rsid w:val="00B81F1F"/>
    <w:rsid w:val="00B82372"/>
    <w:rsid w:val="00B82693"/>
    <w:rsid w:val="00B8278A"/>
    <w:rsid w:val="00B8357F"/>
    <w:rsid w:val="00B83D23"/>
    <w:rsid w:val="00B84342"/>
    <w:rsid w:val="00B846DA"/>
    <w:rsid w:val="00B847A3"/>
    <w:rsid w:val="00B84D18"/>
    <w:rsid w:val="00B859D9"/>
    <w:rsid w:val="00B85DAD"/>
    <w:rsid w:val="00B85FAB"/>
    <w:rsid w:val="00B86522"/>
    <w:rsid w:val="00B86D15"/>
    <w:rsid w:val="00B87327"/>
    <w:rsid w:val="00B874CC"/>
    <w:rsid w:val="00B87EAB"/>
    <w:rsid w:val="00B90066"/>
    <w:rsid w:val="00B9037B"/>
    <w:rsid w:val="00B908A5"/>
    <w:rsid w:val="00B90EAE"/>
    <w:rsid w:val="00B9104C"/>
    <w:rsid w:val="00B914CA"/>
    <w:rsid w:val="00B9185B"/>
    <w:rsid w:val="00B91A3F"/>
    <w:rsid w:val="00B91AC0"/>
    <w:rsid w:val="00B91AF2"/>
    <w:rsid w:val="00B91B70"/>
    <w:rsid w:val="00B921E5"/>
    <w:rsid w:val="00B92D0C"/>
    <w:rsid w:val="00B93F3B"/>
    <w:rsid w:val="00B943A3"/>
    <w:rsid w:val="00B945CD"/>
    <w:rsid w:val="00B947AE"/>
    <w:rsid w:val="00B94AF2"/>
    <w:rsid w:val="00B95291"/>
    <w:rsid w:val="00B9545F"/>
    <w:rsid w:val="00B962CC"/>
    <w:rsid w:val="00B96F8B"/>
    <w:rsid w:val="00B97AAB"/>
    <w:rsid w:val="00BA0411"/>
    <w:rsid w:val="00BA04B6"/>
    <w:rsid w:val="00BA0C1C"/>
    <w:rsid w:val="00BA0C97"/>
    <w:rsid w:val="00BA0D57"/>
    <w:rsid w:val="00BA0EEB"/>
    <w:rsid w:val="00BA13C3"/>
    <w:rsid w:val="00BA1749"/>
    <w:rsid w:val="00BA1F64"/>
    <w:rsid w:val="00BA2078"/>
    <w:rsid w:val="00BA2311"/>
    <w:rsid w:val="00BA2552"/>
    <w:rsid w:val="00BA2D0E"/>
    <w:rsid w:val="00BA4ADA"/>
    <w:rsid w:val="00BA4B13"/>
    <w:rsid w:val="00BA5869"/>
    <w:rsid w:val="00BA757F"/>
    <w:rsid w:val="00BA76E0"/>
    <w:rsid w:val="00BA7BFE"/>
    <w:rsid w:val="00BA7DC0"/>
    <w:rsid w:val="00BA7F57"/>
    <w:rsid w:val="00BB0072"/>
    <w:rsid w:val="00BB073E"/>
    <w:rsid w:val="00BB0953"/>
    <w:rsid w:val="00BB1184"/>
    <w:rsid w:val="00BB1792"/>
    <w:rsid w:val="00BB1A21"/>
    <w:rsid w:val="00BB1EE7"/>
    <w:rsid w:val="00BB1F7F"/>
    <w:rsid w:val="00BB2472"/>
    <w:rsid w:val="00BB280F"/>
    <w:rsid w:val="00BB2F27"/>
    <w:rsid w:val="00BB3CAC"/>
    <w:rsid w:val="00BB42F9"/>
    <w:rsid w:val="00BB44C4"/>
    <w:rsid w:val="00BB45C8"/>
    <w:rsid w:val="00BB4F05"/>
    <w:rsid w:val="00BB59CA"/>
    <w:rsid w:val="00BB5D3A"/>
    <w:rsid w:val="00BB60DC"/>
    <w:rsid w:val="00BB6392"/>
    <w:rsid w:val="00BB6C9C"/>
    <w:rsid w:val="00BB70DB"/>
    <w:rsid w:val="00BB75E8"/>
    <w:rsid w:val="00BB7B42"/>
    <w:rsid w:val="00BB7F26"/>
    <w:rsid w:val="00BC0424"/>
    <w:rsid w:val="00BC0A35"/>
    <w:rsid w:val="00BC0BF1"/>
    <w:rsid w:val="00BC16C7"/>
    <w:rsid w:val="00BC1F45"/>
    <w:rsid w:val="00BC2070"/>
    <w:rsid w:val="00BC3490"/>
    <w:rsid w:val="00BC373B"/>
    <w:rsid w:val="00BC3899"/>
    <w:rsid w:val="00BC39C2"/>
    <w:rsid w:val="00BC3A3F"/>
    <w:rsid w:val="00BC3B5B"/>
    <w:rsid w:val="00BC3DA0"/>
    <w:rsid w:val="00BC420D"/>
    <w:rsid w:val="00BC4571"/>
    <w:rsid w:val="00BC457B"/>
    <w:rsid w:val="00BC4904"/>
    <w:rsid w:val="00BC4A75"/>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B95"/>
    <w:rsid w:val="00BD3F44"/>
    <w:rsid w:val="00BD4292"/>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1DEE"/>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6980"/>
    <w:rsid w:val="00BF7947"/>
    <w:rsid w:val="00BF7FD3"/>
    <w:rsid w:val="00C007CC"/>
    <w:rsid w:val="00C024DF"/>
    <w:rsid w:val="00C0276C"/>
    <w:rsid w:val="00C0286D"/>
    <w:rsid w:val="00C03069"/>
    <w:rsid w:val="00C030D9"/>
    <w:rsid w:val="00C04417"/>
    <w:rsid w:val="00C04806"/>
    <w:rsid w:val="00C04D2D"/>
    <w:rsid w:val="00C05928"/>
    <w:rsid w:val="00C066F3"/>
    <w:rsid w:val="00C079ED"/>
    <w:rsid w:val="00C07CB5"/>
    <w:rsid w:val="00C1021C"/>
    <w:rsid w:val="00C10739"/>
    <w:rsid w:val="00C107B6"/>
    <w:rsid w:val="00C11003"/>
    <w:rsid w:val="00C111E9"/>
    <w:rsid w:val="00C11251"/>
    <w:rsid w:val="00C11703"/>
    <w:rsid w:val="00C12578"/>
    <w:rsid w:val="00C1292D"/>
    <w:rsid w:val="00C1340A"/>
    <w:rsid w:val="00C13514"/>
    <w:rsid w:val="00C13A17"/>
    <w:rsid w:val="00C13B8E"/>
    <w:rsid w:val="00C13CD5"/>
    <w:rsid w:val="00C13F3C"/>
    <w:rsid w:val="00C13FA9"/>
    <w:rsid w:val="00C14EEA"/>
    <w:rsid w:val="00C14F1C"/>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49E5"/>
    <w:rsid w:val="00C25631"/>
    <w:rsid w:val="00C25A4F"/>
    <w:rsid w:val="00C25F76"/>
    <w:rsid w:val="00C26450"/>
    <w:rsid w:val="00C26F21"/>
    <w:rsid w:val="00C274AD"/>
    <w:rsid w:val="00C30236"/>
    <w:rsid w:val="00C309A5"/>
    <w:rsid w:val="00C30A1B"/>
    <w:rsid w:val="00C310AC"/>
    <w:rsid w:val="00C31842"/>
    <w:rsid w:val="00C31904"/>
    <w:rsid w:val="00C31C94"/>
    <w:rsid w:val="00C31CDD"/>
    <w:rsid w:val="00C31D8C"/>
    <w:rsid w:val="00C31F9A"/>
    <w:rsid w:val="00C32187"/>
    <w:rsid w:val="00C321AA"/>
    <w:rsid w:val="00C322CB"/>
    <w:rsid w:val="00C327A5"/>
    <w:rsid w:val="00C32E5C"/>
    <w:rsid w:val="00C33077"/>
    <w:rsid w:val="00C334CB"/>
    <w:rsid w:val="00C33D11"/>
    <w:rsid w:val="00C348D5"/>
    <w:rsid w:val="00C34B49"/>
    <w:rsid w:val="00C34DEC"/>
    <w:rsid w:val="00C34FBC"/>
    <w:rsid w:val="00C352DB"/>
    <w:rsid w:val="00C3546A"/>
    <w:rsid w:val="00C35C11"/>
    <w:rsid w:val="00C36650"/>
    <w:rsid w:val="00C402F2"/>
    <w:rsid w:val="00C40A05"/>
    <w:rsid w:val="00C40A1C"/>
    <w:rsid w:val="00C4150F"/>
    <w:rsid w:val="00C418F0"/>
    <w:rsid w:val="00C4211B"/>
    <w:rsid w:val="00C421B8"/>
    <w:rsid w:val="00C428DB"/>
    <w:rsid w:val="00C43E9B"/>
    <w:rsid w:val="00C43ED0"/>
    <w:rsid w:val="00C44049"/>
    <w:rsid w:val="00C44111"/>
    <w:rsid w:val="00C44AB2"/>
    <w:rsid w:val="00C4506D"/>
    <w:rsid w:val="00C450A8"/>
    <w:rsid w:val="00C45CE9"/>
    <w:rsid w:val="00C466F8"/>
    <w:rsid w:val="00C46FA4"/>
    <w:rsid w:val="00C46FE3"/>
    <w:rsid w:val="00C47092"/>
    <w:rsid w:val="00C47E12"/>
    <w:rsid w:val="00C507E0"/>
    <w:rsid w:val="00C50BD6"/>
    <w:rsid w:val="00C51F96"/>
    <w:rsid w:val="00C52257"/>
    <w:rsid w:val="00C52322"/>
    <w:rsid w:val="00C52538"/>
    <w:rsid w:val="00C525F5"/>
    <w:rsid w:val="00C52A2B"/>
    <w:rsid w:val="00C52E8F"/>
    <w:rsid w:val="00C52F08"/>
    <w:rsid w:val="00C5379F"/>
    <w:rsid w:val="00C54309"/>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064"/>
    <w:rsid w:val="00C66591"/>
    <w:rsid w:val="00C66A2C"/>
    <w:rsid w:val="00C672F7"/>
    <w:rsid w:val="00C675F6"/>
    <w:rsid w:val="00C701C1"/>
    <w:rsid w:val="00C70659"/>
    <w:rsid w:val="00C70CCD"/>
    <w:rsid w:val="00C72A62"/>
    <w:rsid w:val="00C72F3F"/>
    <w:rsid w:val="00C7315D"/>
    <w:rsid w:val="00C73172"/>
    <w:rsid w:val="00C738CB"/>
    <w:rsid w:val="00C73F6E"/>
    <w:rsid w:val="00C74103"/>
    <w:rsid w:val="00C74672"/>
    <w:rsid w:val="00C753D5"/>
    <w:rsid w:val="00C75C52"/>
    <w:rsid w:val="00C765E8"/>
    <w:rsid w:val="00C77892"/>
    <w:rsid w:val="00C80790"/>
    <w:rsid w:val="00C809C9"/>
    <w:rsid w:val="00C80ABF"/>
    <w:rsid w:val="00C8151C"/>
    <w:rsid w:val="00C81E91"/>
    <w:rsid w:val="00C8228B"/>
    <w:rsid w:val="00C82485"/>
    <w:rsid w:val="00C83589"/>
    <w:rsid w:val="00C839EE"/>
    <w:rsid w:val="00C839FD"/>
    <w:rsid w:val="00C83C93"/>
    <w:rsid w:val="00C83EDA"/>
    <w:rsid w:val="00C84B12"/>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1DD8"/>
    <w:rsid w:val="00C923CC"/>
    <w:rsid w:val="00C9259B"/>
    <w:rsid w:val="00C9271D"/>
    <w:rsid w:val="00C92C4F"/>
    <w:rsid w:val="00C9301C"/>
    <w:rsid w:val="00C930B7"/>
    <w:rsid w:val="00C932D7"/>
    <w:rsid w:val="00C93520"/>
    <w:rsid w:val="00C936BC"/>
    <w:rsid w:val="00C937FC"/>
    <w:rsid w:val="00C93883"/>
    <w:rsid w:val="00C940DB"/>
    <w:rsid w:val="00C9483C"/>
    <w:rsid w:val="00C94F55"/>
    <w:rsid w:val="00C95720"/>
    <w:rsid w:val="00C95BEE"/>
    <w:rsid w:val="00C95F2B"/>
    <w:rsid w:val="00C96197"/>
    <w:rsid w:val="00C96A99"/>
    <w:rsid w:val="00C96C23"/>
    <w:rsid w:val="00C97024"/>
    <w:rsid w:val="00C97CB9"/>
    <w:rsid w:val="00CA0A6D"/>
    <w:rsid w:val="00CA13AF"/>
    <w:rsid w:val="00CA17C9"/>
    <w:rsid w:val="00CA1DA8"/>
    <w:rsid w:val="00CA1EF2"/>
    <w:rsid w:val="00CA21FA"/>
    <w:rsid w:val="00CA2947"/>
    <w:rsid w:val="00CA2B94"/>
    <w:rsid w:val="00CA2FD6"/>
    <w:rsid w:val="00CA3083"/>
    <w:rsid w:val="00CA313B"/>
    <w:rsid w:val="00CA332B"/>
    <w:rsid w:val="00CA36A4"/>
    <w:rsid w:val="00CA4849"/>
    <w:rsid w:val="00CA4BD7"/>
    <w:rsid w:val="00CA5375"/>
    <w:rsid w:val="00CA59CC"/>
    <w:rsid w:val="00CA5FD7"/>
    <w:rsid w:val="00CA6560"/>
    <w:rsid w:val="00CA6D1E"/>
    <w:rsid w:val="00CA6E46"/>
    <w:rsid w:val="00CA705C"/>
    <w:rsid w:val="00CA71F7"/>
    <w:rsid w:val="00CA780E"/>
    <w:rsid w:val="00CB066A"/>
    <w:rsid w:val="00CB068B"/>
    <w:rsid w:val="00CB0731"/>
    <w:rsid w:val="00CB0C42"/>
    <w:rsid w:val="00CB0F5B"/>
    <w:rsid w:val="00CB1200"/>
    <w:rsid w:val="00CB1748"/>
    <w:rsid w:val="00CB1B23"/>
    <w:rsid w:val="00CB1BB4"/>
    <w:rsid w:val="00CB2A1A"/>
    <w:rsid w:val="00CB2D78"/>
    <w:rsid w:val="00CB3033"/>
    <w:rsid w:val="00CB3464"/>
    <w:rsid w:val="00CB3B32"/>
    <w:rsid w:val="00CB3CA6"/>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3EB"/>
    <w:rsid w:val="00CB7B59"/>
    <w:rsid w:val="00CB7D33"/>
    <w:rsid w:val="00CB7EC8"/>
    <w:rsid w:val="00CC0200"/>
    <w:rsid w:val="00CC038C"/>
    <w:rsid w:val="00CC0992"/>
    <w:rsid w:val="00CC0DEB"/>
    <w:rsid w:val="00CC1A9A"/>
    <w:rsid w:val="00CC219F"/>
    <w:rsid w:val="00CC2333"/>
    <w:rsid w:val="00CC2A23"/>
    <w:rsid w:val="00CC2BD6"/>
    <w:rsid w:val="00CC2CAD"/>
    <w:rsid w:val="00CC2DC9"/>
    <w:rsid w:val="00CC2E19"/>
    <w:rsid w:val="00CC310C"/>
    <w:rsid w:val="00CC3B21"/>
    <w:rsid w:val="00CC41CF"/>
    <w:rsid w:val="00CC438D"/>
    <w:rsid w:val="00CC465E"/>
    <w:rsid w:val="00CC49F8"/>
    <w:rsid w:val="00CC52E4"/>
    <w:rsid w:val="00CC5CAC"/>
    <w:rsid w:val="00CC5E57"/>
    <w:rsid w:val="00CC6158"/>
    <w:rsid w:val="00CC61D9"/>
    <w:rsid w:val="00CC63A3"/>
    <w:rsid w:val="00CC68C2"/>
    <w:rsid w:val="00CC6976"/>
    <w:rsid w:val="00CC7891"/>
    <w:rsid w:val="00CC791F"/>
    <w:rsid w:val="00CC7C7E"/>
    <w:rsid w:val="00CD00A6"/>
    <w:rsid w:val="00CD02D9"/>
    <w:rsid w:val="00CD09B9"/>
    <w:rsid w:val="00CD0D7B"/>
    <w:rsid w:val="00CD0F84"/>
    <w:rsid w:val="00CD14E7"/>
    <w:rsid w:val="00CD1854"/>
    <w:rsid w:val="00CD2931"/>
    <w:rsid w:val="00CD2AA1"/>
    <w:rsid w:val="00CD2D91"/>
    <w:rsid w:val="00CD2F37"/>
    <w:rsid w:val="00CD3401"/>
    <w:rsid w:val="00CD340C"/>
    <w:rsid w:val="00CD3A90"/>
    <w:rsid w:val="00CD407D"/>
    <w:rsid w:val="00CD4358"/>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2EC2"/>
    <w:rsid w:val="00CE3227"/>
    <w:rsid w:val="00CE37C1"/>
    <w:rsid w:val="00CE4178"/>
    <w:rsid w:val="00CE45A2"/>
    <w:rsid w:val="00CE4DB4"/>
    <w:rsid w:val="00CE5479"/>
    <w:rsid w:val="00CE55AA"/>
    <w:rsid w:val="00CE65BA"/>
    <w:rsid w:val="00CE7096"/>
    <w:rsid w:val="00CE70A3"/>
    <w:rsid w:val="00CE73F3"/>
    <w:rsid w:val="00CE78DF"/>
    <w:rsid w:val="00CF0177"/>
    <w:rsid w:val="00CF0AB9"/>
    <w:rsid w:val="00CF0D6B"/>
    <w:rsid w:val="00CF10A2"/>
    <w:rsid w:val="00CF12CE"/>
    <w:rsid w:val="00CF1310"/>
    <w:rsid w:val="00CF15A5"/>
    <w:rsid w:val="00CF1C59"/>
    <w:rsid w:val="00CF1E8A"/>
    <w:rsid w:val="00CF2283"/>
    <w:rsid w:val="00CF3B06"/>
    <w:rsid w:val="00CF3D99"/>
    <w:rsid w:val="00CF408B"/>
    <w:rsid w:val="00CF4834"/>
    <w:rsid w:val="00CF4AE7"/>
    <w:rsid w:val="00CF5479"/>
    <w:rsid w:val="00CF55C6"/>
    <w:rsid w:val="00CF55DC"/>
    <w:rsid w:val="00CF56CC"/>
    <w:rsid w:val="00CF5938"/>
    <w:rsid w:val="00CF644E"/>
    <w:rsid w:val="00CF6D0C"/>
    <w:rsid w:val="00CF75EE"/>
    <w:rsid w:val="00CF76EB"/>
    <w:rsid w:val="00CF7B03"/>
    <w:rsid w:val="00CF7C93"/>
    <w:rsid w:val="00CF7F73"/>
    <w:rsid w:val="00D00151"/>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728"/>
    <w:rsid w:val="00D14FDF"/>
    <w:rsid w:val="00D1519F"/>
    <w:rsid w:val="00D152DB"/>
    <w:rsid w:val="00D154BD"/>
    <w:rsid w:val="00D15E43"/>
    <w:rsid w:val="00D16166"/>
    <w:rsid w:val="00D1660C"/>
    <w:rsid w:val="00D16DDF"/>
    <w:rsid w:val="00D1781D"/>
    <w:rsid w:val="00D200AE"/>
    <w:rsid w:val="00D20898"/>
    <w:rsid w:val="00D2093B"/>
    <w:rsid w:val="00D20BC9"/>
    <w:rsid w:val="00D20E34"/>
    <w:rsid w:val="00D21520"/>
    <w:rsid w:val="00D217EA"/>
    <w:rsid w:val="00D221A1"/>
    <w:rsid w:val="00D22215"/>
    <w:rsid w:val="00D22724"/>
    <w:rsid w:val="00D232CB"/>
    <w:rsid w:val="00D234A7"/>
    <w:rsid w:val="00D239FA"/>
    <w:rsid w:val="00D24554"/>
    <w:rsid w:val="00D2549D"/>
    <w:rsid w:val="00D25B34"/>
    <w:rsid w:val="00D25B7A"/>
    <w:rsid w:val="00D2674D"/>
    <w:rsid w:val="00D27066"/>
    <w:rsid w:val="00D27A3D"/>
    <w:rsid w:val="00D30697"/>
    <w:rsid w:val="00D306F8"/>
    <w:rsid w:val="00D30ABD"/>
    <w:rsid w:val="00D31662"/>
    <w:rsid w:val="00D31846"/>
    <w:rsid w:val="00D31A56"/>
    <w:rsid w:val="00D31B73"/>
    <w:rsid w:val="00D3228B"/>
    <w:rsid w:val="00D32439"/>
    <w:rsid w:val="00D3267D"/>
    <w:rsid w:val="00D32EC9"/>
    <w:rsid w:val="00D32F84"/>
    <w:rsid w:val="00D3384C"/>
    <w:rsid w:val="00D33AAE"/>
    <w:rsid w:val="00D3422D"/>
    <w:rsid w:val="00D34812"/>
    <w:rsid w:val="00D34E39"/>
    <w:rsid w:val="00D353C5"/>
    <w:rsid w:val="00D35B05"/>
    <w:rsid w:val="00D35C41"/>
    <w:rsid w:val="00D36495"/>
    <w:rsid w:val="00D36C8C"/>
    <w:rsid w:val="00D37167"/>
    <w:rsid w:val="00D37349"/>
    <w:rsid w:val="00D37867"/>
    <w:rsid w:val="00D402DE"/>
    <w:rsid w:val="00D40482"/>
    <w:rsid w:val="00D40624"/>
    <w:rsid w:val="00D4132F"/>
    <w:rsid w:val="00D414D7"/>
    <w:rsid w:val="00D41B09"/>
    <w:rsid w:val="00D42084"/>
    <w:rsid w:val="00D42089"/>
    <w:rsid w:val="00D429A1"/>
    <w:rsid w:val="00D429E3"/>
    <w:rsid w:val="00D4305A"/>
    <w:rsid w:val="00D43CB0"/>
    <w:rsid w:val="00D43CD3"/>
    <w:rsid w:val="00D448F7"/>
    <w:rsid w:val="00D44B16"/>
    <w:rsid w:val="00D44BCC"/>
    <w:rsid w:val="00D44F80"/>
    <w:rsid w:val="00D4531C"/>
    <w:rsid w:val="00D45371"/>
    <w:rsid w:val="00D45E58"/>
    <w:rsid w:val="00D4612D"/>
    <w:rsid w:val="00D4613C"/>
    <w:rsid w:val="00D46968"/>
    <w:rsid w:val="00D46E16"/>
    <w:rsid w:val="00D470E6"/>
    <w:rsid w:val="00D47307"/>
    <w:rsid w:val="00D47BEA"/>
    <w:rsid w:val="00D47FD8"/>
    <w:rsid w:val="00D50389"/>
    <w:rsid w:val="00D519F5"/>
    <w:rsid w:val="00D51AA2"/>
    <w:rsid w:val="00D51C6F"/>
    <w:rsid w:val="00D52205"/>
    <w:rsid w:val="00D526D9"/>
    <w:rsid w:val="00D52720"/>
    <w:rsid w:val="00D53320"/>
    <w:rsid w:val="00D537FA"/>
    <w:rsid w:val="00D53852"/>
    <w:rsid w:val="00D541E5"/>
    <w:rsid w:val="00D5423A"/>
    <w:rsid w:val="00D550A1"/>
    <w:rsid w:val="00D550A9"/>
    <w:rsid w:val="00D55139"/>
    <w:rsid w:val="00D55DBB"/>
    <w:rsid w:val="00D55ED7"/>
    <w:rsid w:val="00D568D1"/>
    <w:rsid w:val="00D56F9B"/>
    <w:rsid w:val="00D5713B"/>
    <w:rsid w:val="00D6030E"/>
    <w:rsid w:val="00D6073A"/>
    <w:rsid w:val="00D60A46"/>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C1C"/>
    <w:rsid w:val="00D71E27"/>
    <w:rsid w:val="00D71FC0"/>
    <w:rsid w:val="00D7219F"/>
    <w:rsid w:val="00D72422"/>
    <w:rsid w:val="00D72ADD"/>
    <w:rsid w:val="00D730CF"/>
    <w:rsid w:val="00D734B9"/>
    <w:rsid w:val="00D73B5B"/>
    <w:rsid w:val="00D73F53"/>
    <w:rsid w:val="00D748DC"/>
    <w:rsid w:val="00D74ABC"/>
    <w:rsid w:val="00D74BC9"/>
    <w:rsid w:val="00D74C6E"/>
    <w:rsid w:val="00D74CD8"/>
    <w:rsid w:val="00D75A00"/>
    <w:rsid w:val="00D76174"/>
    <w:rsid w:val="00D76625"/>
    <w:rsid w:val="00D76AC2"/>
    <w:rsid w:val="00D7706F"/>
    <w:rsid w:val="00D7719E"/>
    <w:rsid w:val="00D777E2"/>
    <w:rsid w:val="00D77A63"/>
    <w:rsid w:val="00D77EE3"/>
    <w:rsid w:val="00D8076F"/>
    <w:rsid w:val="00D807E5"/>
    <w:rsid w:val="00D80C47"/>
    <w:rsid w:val="00D8108C"/>
    <w:rsid w:val="00D81316"/>
    <w:rsid w:val="00D81DF8"/>
    <w:rsid w:val="00D821F7"/>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BB2"/>
    <w:rsid w:val="00D95DE5"/>
    <w:rsid w:val="00D97545"/>
    <w:rsid w:val="00D977A8"/>
    <w:rsid w:val="00D97B02"/>
    <w:rsid w:val="00DA013F"/>
    <w:rsid w:val="00DA0FB6"/>
    <w:rsid w:val="00DA0FDF"/>
    <w:rsid w:val="00DA0FED"/>
    <w:rsid w:val="00DA1023"/>
    <w:rsid w:val="00DA11AB"/>
    <w:rsid w:val="00DA11DA"/>
    <w:rsid w:val="00DA142F"/>
    <w:rsid w:val="00DA1A85"/>
    <w:rsid w:val="00DA1BAD"/>
    <w:rsid w:val="00DA1BB8"/>
    <w:rsid w:val="00DA1D9D"/>
    <w:rsid w:val="00DA2EFC"/>
    <w:rsid w:val="00DA31A9"/>
    <w:rsid w:val="00DA31F7"/>
    <w:rsid w:val="00DA36B3"/>
    <w:rsid w:val="00DA3926"/>
    <w:rsid w:val="00DA39B1"/>
    <w:rsid w:val="00DA4214"/>
    <w:rsid w:val="00DA43C5"/>
    <w:rsid w:val="00DA48C3"/>
    <w:rsid w:val="00DA4B4C"/>
    <w:rsid w:val="00DA4C59"/>
    <w:rsid w:val="00DA506A"/>
    <w:rsid w:val="00DA508A"/>
    <w:rsid w:val="00DA5944"/>
    <w:rsid w:val="00DA5B99"/>
    <w:rsid w:val="00DA5D83"/>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B7855"/>
    <w:rsid w:val="00DC06F0"/>
    <w:rsid w:val="00DC09F5"/>
    <w:rsid w:val="00DC0F56"/>
    <w:rsid w:val="00DC110E"/>
    <w:rsid w:val="00DC1210"/>
    <w:rsid w:val="00DC14F4"/>
    <w:rsid w:val="00DC1ADE"/>
    <w:rsid w:val="00DC36FA"/>
    <w:rsid w:val="00DC3993"/>
    <w:rsid w:val="00DC3D70"/>
    <w:rsid w:val="00DC4FF4"/>
    <w:rsid w:val="00DC6745"/>
    <w:rsid w:val="00DC67FA"/>
    <w:rsid w:val="00DC690D"/>
    <w:rsid w:val="00DC7478"/>
    <w:rsid w:val="00DC783D"/>
    <w:rsid w:val="00DC7A06"/>
    <w:rsid w:val="00DD0572"/>
    <w:rsid w:val="00DD09F2"/>
    <w:rsid w:val="00DD1BB0"/>
    <w:rsid w:val="00DD27E2"/>
    <w:rsid w:val="00DD2BD1"/>
    <w:rsid w:val="00DD3061"/>
    <w:rsid w:val="00DD34C6"/>
    <w:rsid w:val="00DD350B"/>
    <w:rsid w:val="00DD3691"/>
    <w:rsid w:val="00DD4E1C"/>
    <w:rsid w:val="00DD54C3"/>
    <w:rsid w:val="00DD54CA"/>
    <w:rsid w:val="00DD572F"/>
    <w:rsid w:val="00DD5E14"/>
    <w:rsid w:val="00DD6D2E"/>
    <w:rsid w:val="00DD6E87"/>
    <w:rsid w:val="00DD7084"/>
    <w:rsid w:val="00DD73D3"/>
    <w:rsid w:val="00DD7F39"/>
    <w:rsid w:val="00DD7FC6"/>
    <w:rsid w:val="00DE08D4"/>
    <w:rsid w:val="00DE0D83"/>
    <w:rsid w:val="00DE1193"/>
    <w:rsid w:val="00DE121D"/>
    <w:rsid w:val="00DE1223"/>
    <w:rsid w:val="00DE16CA"/>
    <w:rsid w:val="00DE1AC4"/>
    <w:rsid w:val="00DE1E2F"/>
    <w:rsid w:val="00DE1E8B"/>
    <w:rsid w:val="00DE207B"/>
    <w:rsid w:val="00DE21D9"/>
    <w:rsid w:val="00DE2450"/>
    <w:rsid w:val="00DE2860"/>
    <w:rsid w:val="00DE2E6F"/>
    <w:rsid w:val="00DE415C"/>
    <w:rsid w:val="00DE4F59"/>
    <w:rsid w:val="00DE60D2"/>
    <w:rsid w:val="00DE6365"/>
    <w:rsid w:val="00DE6646"/>
    <w:rsid w:val="00DE6B09"/>
    <w:rsid w:val="00DE6BD9"/>
    <w:rsid w:val="00DE7537"/>
    <w:rsid w:val="00DE796A"/>
    <w:rsid w:val="00DE7982"/>
    <w:rsid w:val="00DE7EF5"/>
    <w:rsid w:val="00DF0A80"/>
    <w:rsid w:val="00DF126F"/>
    <w:rsid w:val="00DF1582"/>
    <w:rsid w:val="00DF1B4F"/>
    <w:rsid w:val="00DF1C11"/>
    <w:rsid w:val="00DF1EC8"/>
    <w:rsid w:val="00DF20DA"/>
    <w:rsid w:val="00DF24BF"/>
    <w:rsid w:val="00DF2801"/>
    <w:rsid w:val="00DF2E6A"/>
    <w:rsid w:val="00DF39F3"/>
    <w:rsid w:val="00DF3A36"/>
    <w:rsid w:val="00DF44C5"/>
    <w:rsid w:val="00DF4C9F"/>
    <w:rsid w:val="00DF4EC8"/>
    <w:rsid w:val="00DF50AF"/>
    <w:rsid w:val="00DF52B5"/>
    <w:rsid w:val="00DF530A"/>
    <w:rsid w:val="00DF5344"/>
    <w:rsid w:val="00DF53AD"/>
    <w:rsid w:val="00DF56DD"/>
    <w:rsid w:val="00DF5CA1"/>
    <w:rsid w:val="00DF652B"/>
    <w:rsid w:val="00DF6670"/>
    <w:rsid w:val="00DF7059"/>
    <w:rsid w:val="00DF72D3"/>
    <w:rsid w:val="00E00625"/>
    <w:rsid w:val="00E00780"/>
    <w:rsid w:val="00E00911"/>
    <w:rsid w:val="00E00BC1"/>
    <w:rsid w:val="00E00C72"/>
    <w:rsid w:val="00E00D0A"/>
    <w:rsid w:val="00E019C2"/>
    <w:rsid w:val="00E01C20"/>
    <w:rsid w:val="00E023F7"/>
    <w:rsid w:val="00E028A6"/>
    <w:rsid w:val="00E032D8"/>
    <w:rsid w:val="00E03744"/>
    <w:rsid w:val="00E03B2D"/>
    <w:rsid w:val="00E04329"/>
    <w:rsid w:val="00E04AE7"/>
    <w:rsid w:val="00E04C2F"/>
    <w:rsid w:val="00E04C95"/>
    <w:rsid w:val="00E0520D"/>
    <w:rsid w:val="00E05DA0"/>
    <w:rsid w:val="00E060EC"/>
    <w:rsid w:val="00E068BB"/>
    <w:rsid w:val="00E07233"/>
    <w:rsid w:val="00E0725D"/>
    <w:rsid w:val="00E07B9F"/>
    <w:rsid w:val="00E1001D"/>
    <w:rsid w:val="00E102D0"/>
    <w:rsid w:val="00E10578"/>
    <w:rsid w:val="00E10E0F"/>
    <w:rsid w:val="00E10E64"/>
    <w:rsid w:val="00E11B45"/>
    <w:rsid w:val="00E11ED2"/>
    <w:rsid w:val="00E1230D"/>
    <w:rsid w:val="00E12CDC"/>
    <w:rsid w:val="00E12CFF"/>
    <w:rsid w:val="00E13F29"/>
    <w:rsid w:val="00E14A45"/>
    <w:rsid w:val="00E1505A"/>
    <w:rsid w:val="00E15828"/>
    <w:rsid w:val="00E15918"/>
    <w:rsid w:val="00E15955"/>
    <w:rsid w:val="00E15B8B"/>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27A2"/>
    <w:rsid w:val="00E229BB"/>
    <w:rsid w:val="00E23133"/>
    <w:rsid w:val="00E234E5"/>
    <w:rsid w:val="00E23C4B"/>
    <w:rsid w:val="00E23FA8"/>
    <w:rsid w:val="00E249CF"/>
    <w:rsid w:val="00E24E84"/>
    <w:rsid w:val="00E25CBA"/>
    <w:rsid w:val="00E25DEE"/>
    <w:rsid w:val="00E26338"/>
    <w:rsid w:val="00E26D63"/>
    <w:rsid w:val="00E2735B"/>
    <w:rsid w:val="00E278A4"/>
    <w:rsid w:val="00E27A49"/>
    <w:rsid w:val="00E27CD8"/>
    <w:rsid w:val="00E27F02"/>
    <w:rsid w:val="00E301E5"/>
    <w:rsid w:val="00E30291"/>
    <w:rsid w:val="00E30641"/>
    <w:rsid w:val="00E31154"/>
    <w:rsid w:val="00E3119F"/>
    <w:rsid w:val="00E3125C"/>
    <w:rsid w:val="00E3142F"/>
    <w:rsid w:val="00E315B1"/>
    <w:rsid w:val="00E319E5"/>
    <w:rsid w:val="00E31D62"/>
    <w:rsid w:val="00E321A5"/>
    <w:rsid w:val="00E32938"/>
    <w:rsid w:val="00E32AED"/>
    <w:rsid w:val="00E32E96"/>
    <w:rsid w:val="00E32F1B"/>
    <w:rsid w:val="00E332E0"/>
    <w:rsid w:val="00E3363F"/>
    <w:rsid w:val="00E342F5"/>
    <w:rsid w:val="00E347CA"/>
    <w:rsid w:val="00E34969"/>
    <w:rsid w:val="00E34BE6"/>
    <w:rsid w:val="00E34D80"/>
    <w:rsid w:val="00E34F0B"/>
    <w:rsid w:val="00E35804"/>
    <w:rsid w:val="00E3593C"/>
    <w:rsid w:val="00E35EB4"/>
    <w:rsid w:val="00E35F4F"/>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2987"/>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A86"/>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C91"/>
    <w:rsid w:val="00E56D72"/>
    <w:rsid w:val="00E57D42"/>
    <w:rsid w:val="00E600A3"/>
    <w:rsid w:val="00E60177"/>
    <w:rsid w:val="00E602B7"/>
    <w:rsid w:val="00E60669"/>
    <w:rsid w:val="00E60B35"/>
    <w:rsid w:val="00E60D2A"/>
    <w:rsid w:val="00E6177D"/>
    <w:rsid w:val="00E61F9A"/>
    <w:rsid w:val="00E61FF8"/>
    <w:rsid w:val="00E62049"/>
    <w:rsid w:val="00E620E4"/>
    <w:rsid w:val="00E63447"/>
    <w:rsid w:val="00E636B7"/>
    <w:rsid w:val="00E63738"/>
    <w:rsid w:val="00E63C49"/>
    <w:rsid w:val="00E64748"/>
    <w:rsid w:val="00E64F0D"/>
    <w:rsid w:val="00E65275"/>
    <w:rsid w:val="00E65EAD"/>
    <w:rsid w:val="00E660AD"/>
    <w:rsid w:val="00E66485"/>
    <w:rsid w:val="00E66E6A"/>
    <w:rsid w:val="00E70172"/>
    <w:rsid w:val="00E709F5"/>
    <w:rsid w:val="00E70CE2"/>
    <w:rsid w:val="00E71564"/>
    <w:rsid w:val="00E71B45"/>
    <w:rsid w:val="00E725FC"/>
    <w:rsid w:val="00E7267F"/>
    <w:rsid w:val="00E72779"/>
    <w:rsid w:val="00E745EC"/>
    <w:rsid w:val="00E748FA"/>
    <w:rsid w:val="00E749D4"/>
    <w:rsid w:val="00E74BAF"/>
    <w:rsid w:val="00E750A3"/>
    <w:rsid w:val="00E75243"/>
    <w:rsid w:val="00E7546D"/>
    <w:rsid w:val="00E759D7"/>
    <w:rsid w:val="00E76E71"/>
    <w:rsid w:val="00E77281"/>
    <w:rsid w:val="00E77663"/>
    <w:rsid w:val="00E776D2"/>
    <w:rsid w:val="00E77C07"/>
    <w:rsid w:val="00E80024"/>
    <w:rsid w:val="00E803B5"/>
    <w:rsid w:val="00E8066E"/>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90290"/>
    <w:rsid w:val="00E904E4"/>
    <w:rsid w:val="00E90A7A"/>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5B7"/>
    <w:rsid w:val="00EB0733"/>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255"/>
    <w:rsid w:val="00EB7427"/>
    <w:rsid w:val="00EB7631"/>
    <w:rsid w:val="00EB77D4"/>
    <w:rsid w:val="00EC070D"/>
    <w:rsid w:val="00EC1B6B"/>
    <w:rsid w:val="00EC24DE"/>
    <w:rsid w:val="00EC278C"/>
    <w:rsid w:val="00EC27C6"/>
    <w:rsid w:val="00EC28F3"/>
    <w:rsid w:val="00EC2946"/>
    <w:rsid w:val="00EC2958"/>
    <w:rsid w:val="00EC31FF"/>
    <w:rsid w:val="00EC403B"/>
    <w:rsid w:val="00EC5432"/>
    <w:rsid w:val="00EC5526"/>
    <w:rsid w:val="00EC58E4"/>
    <w:rsid w:val="00EC59D2"/>
    <w:rsid w:val="00EC5CF4"/>
    <w:rsid w:val="00EC5F06"/>
    <w:rsid w:val="00EC613F"/>
    <w:rsid w:val="00EC63BF"/>
    <w:rsid w:val="00EC6AC7"/>
    <w:rsid w:val="00EC6CEF"/>
    <w:rsid w:val="00EC718D"/>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96"/>
    <w:rsid w:val="00ED32C1"/>
    <w:rsid w:val="00ED32DB"/>
    <w:rsid w:val="00ED3C2B"/>
    <w:rsid w:val="00ED3DFD"/>
    <w:rsid w:val="00ED3F8A"/>
    <w:rsid w:val="00ED4009"/>
    <w:rsid w:val="00ED44E4"/>
    <w:rsid w:val="00ED45DF"/>
    <w:rsid w:val="00ED4FED"/>
    <w:rsid w:val="00ED5A0B"/>
    <w:rsid w:val="00ED6048"/>
    <w:rsid w:val="00ED63E2"/>
    <w:rsid w:val="00ED6516"/>
    <w:rsid w:val="00ED661E"/>
    <w:rsid w:val="00ED6FD2"/>
    <w:rsid w:val="00ED715C"/>
    <w:rsid w:val="00ED7A0F"/>
    <w:rsid w:val="00ED7E48"/>
    <w:rsid w:val="00EE18EC"/>
    <w:rsid w:val="00EE1E39"/>
    <w:rsid w:val="00EE2313"/>
    <w:rsid w:val="00EE246C"/>
    <w:rsid w:val="00EE3616"/>
    <w:rsid w:val="00EE3654"/>
    <w:rsid w:val="00EE36C8"/>
    <w:rsid w:val="00EE4478"/>
    <w:rsid w:val="00EE5134"/>
    <w:rsid w:val="00EE5189"/>
    <w:rsid w:val="00EE59CF"/>
    <w:rsid w:val="00EE5DCC"/>
    <w:rsid w:val="00EE6475"/>
    <w:rsid w:val="00EE6539"/>
    <w:rsid w:val="00EE69AF"/>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48F"/>
    <w:rsid w:val="00EF47D3"/>
    <w:rsid w:val="00EF4836"/>
    <w:rsid w:val="00EF594F"/>
    <w:rsid w:val="00EF5C36"/>
    <w:rsid w:val="00EF5D69"/>
    <w:rsid w:val="00EF5FFE"/>
    <w:rsid w:val="00EF602D"/>
    <w:rsid w:val="00EF6DEF"/>
    <w:rsid w:val="00EF71E6"/>
    <w:rsid w:val="00EF7A93"/>
    <w:rsid w:val="00EF7B11"/>
    <w:rsid w:val="00EF7CFB"/>
    <w:rsid w:val="00F0033B"/>
    <w:rsid w:val="00F011A6"/>
    <w:rsid w:val="00F01580"/>
    <w:rsid w:val="00F018C6"/>
    <w:rsid w:val="00F01AB5"/>
    <w:rsid w:val="00F01ACD"/>
    <w:rsid w:val="00F0245D"/>
    <w:rsid w:val="00F038B2"/>
    <w:rsid w:val="00F03D04"/>
    <w:rsid w:val="00F03FBD"/>
    <w:rsid w:val="00F04B35"/>
    <w:rsid w:val="00F056E6"/>
    <w:rsid w:val="00F05A55"/>
    <w:rsid w:val="00F05C40"/>
    <w:rsid w:val="00F0611F"/>
    <w:rsid w:val="00F06200"/>
    <w:rsid w:val="00F06B52"/>
    <w:rsid w:val="00F07157"/>
    <w:rsid w:val="00F07769"/>
    <w:rsid w:val="00F078B2"/>
    <w:rsid w:val="00F07B6B"/>
    <w:rsid w:val="00F07CB8"/>
    <w:rsid w:val="00F105BC"/>
    <w:rsid w:val="00F11C21"/>
    <w:rsid w:val="00F12B10"/>
    <w:rsid w:val="00F12D15"/>
    <w:rsid w:val="00F12E23"/>
    <w:rsid w:val="00F1350A"/>
    <w:rsid w:val="00F13523"/>
    <w:rsid w:val="00F13B2A"/>
    <w:rsid w:val="00F13C8E"/>
    <w:rsid w:val="00F14D94"/>
    <w:rsid w:val="00F1583B"/>
    <w:rsid w:val="00F1598B"/>
    <w:rsid w:val="00F15D99"/>
    <w:rsid w:val="00F16069"/>
    <w:rsid w:val="00F164D7"/>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3EE3"/>
    <w:rsid w:val="00F24181"/>
    <w:rsid w:val="00F24190"/>
    <w:rsid w:val="00F242B2"/>
    <w:rsid w:val="00F24316"/>
    <w:rsid w:val="00F24430"/>
    <w:rsid w:val="00F246CD"/>
    <w:rsid w:val="00F24C21"/>
    <w:rsid w:val="00F24CFD"/>
    <w:rsid w:val="00F25C0A"/>
    <w:rsid w:val="00F262AD"/>
    <w:rsid w:val="00F26467"/>
    <w:rsid w:val="00F265A3"/>
    <w:rsid w:val="00F26684"/>
    <w:rsid w:val="00F26738"/>
    <w:rsid w:val="00F26A81"/>
    <w:rsid w:val="00F26ED7"/>
    <w:rsid w:val="00F26FA2"/>
    <w:rsid w:val="00F2776D"/>
    <w:rsid w:val="00F27A6B"/>
    <w:rsid w:val="00F300D0"/>
    <w:rsid w:val="00F30120"/>
    <w:rsid w:val="00F30204"/>
    <w:rsid w:val="00F3020B"/>
    <w:rsid w:val="00F305F8"/>
    <w:rsid w:val="00F307FA"/>
    <w:rsid w:val="00F30EB8"/>
    <w:rsid w:val="00F312DD"/>
    <w:rsid w:val="00F31737"/>
    <w:rsid w:val="00F324AA"/>
    <w:rsid w:val="00F32871"/>
    <w:rsid w:val="00F33BF4"/>
    <w:rsid w:val="00F33D2D"/>
    <w:rsid w:val="00F34594"/>
    <w:rsid w:val="00F345DC"/>
    <w:rsid w:val="00F34E9C"/>
    <w:rsid w:val="00F34F01"/>
    <w:rsid w:val="00F35B1A"/>
    <w:rsid w:val="00F35DF7"/>
    <w:rsid w:val="00F364B5"/>
    <w:rsid w:val="00F36B87"/>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C09"/>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82D"/>
    <w:rsid w:val="00F45D81"/>
    <w:rsid w:val="00F45E28"/>
    <w:rsid w:val="00F46180"/>
    <w:rsid w:val="00F46692"/>
    <w:rsid w:val="00F4712F"/>
    <w:rsid w:val="00F47C14"/>
    <w:rsid w:val="00F50255"/>
    <w:rsid w:val="00F502E2"/>
    <w:rsid w:val="00F5096A"/>
    <w:rsid w:val="00F50E0B"/>
    <w:rsid w:val="00F51638"/>
    <w:rsid w:val="00F51A3E"/>
    <w:rsid w:val="00F5218B"/>
    <w:rsid w:val="00F52B5A"/>
    <w:rsid w:val="00F52C09"/>
    <w:rsid w:val="00F52D5E"/>
    <w:rsid w:val="00F5325F"/>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34E"/>
    <w:rsid w:val="00F66B7B"/>
    <w:rsid w:val="00F66D4F"/>
    <w:rsid w:val="00F6781E"/>
    <w:rsid w:val="00F70B71"/>
    <w:rsid w:val="00F70C00"/>
    <w:rsid w:val="00F70D7E"/>
    <w:rsid w:val="00F7108A"/>
    <w:rsid w:val="00F715C0"/>
    <w:rsid w:val="00F723E4"/>
    <w:rsid w:val="00F728A8"/>
    <w:rsid w:val="00F728DB"/>
    <w:rsid w:val="00F73CD8"/>
    <w:rsid w:val="00F7423E"/>
    <w:rsid w:val="00F74AEE"/>
    <w:rsid w:val="00F74C9F"/>
    <w:rsid w:val="00F74FEC"/>
    <w:rsid w:val="00F751F4"/>
    <w:rsid w:val="00F754CD"/>
    <w:rsid w:val="00F75529"/>
    <w:rsid w:val="00F7562A"/>
    <w:rsid w:val="00F75CEC"/>
    <w:rsid w:val="00F76143"/>
    <w:rsid w:val="00F76269"/>
    <w:rsid w:val="00F76378"/>
    <w:rsid w:val="00F768E7"/>
    <w:rsid w:val="00F76B15"/>
    <w:rsid w:val="00F77357"/>
    <w:rsid w:val="00F80620"/>
    <w:rsid w:val="00F80CA8"/>
    <w:rsid w:val="00F811D7"/>
    <w:rsid w:val="00F817DF"/>
    <w:rsid w:val="00F819FC"/>
    <w:rsid w:val="00F81AA1"/>
    <w:rsid w:val="00F822FF"/>
    <w:rsid w:val="00F8242C"/>
    <w:rsid w:val="00F825CA"/>
    <w:rsid w:val="00F82B4F"/>
    <w:rsid w:val="00F82CD3"/>
    <w:rsid w:val="00F82DA0"/>
    <w:rsid w:val="00F82EF0"/>
    <w:rsid w:val="00F833AA"/>
    <w:rsid w:val="00F8384E"/>
    <w:rsid w:val="00F84300"/>
    <w:rsid w:val="00F853E9"/>
    <w:rsid w:val="00F85453"/>
    <w:rsid w:val="00F859B0"/>
    <w:rsid w:val="00F86CF7"/>
    <w:rsid w:val="00F86DC9"/>
    <w:rsid w:val="00F87879"/>
    <w:rsid w:val="00F90C02"/>
    <w:rsid w:val="00F90CFC"/>
    <w:rsid w:val="00F9112A"/>
    <w:rsid w:val="00F91931"/>
    <w:rsid w:val="00F91F93"/>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62D9"/>
    <w:rsid w:val="00F9658C"/>
    <w:rsid w:val="00F96644"/>
    <w:rsid w:val="00F96A31"/>
    <w:rsid w:val="00F9729C"/>
    <w:rsid w:val="00F9731E"/>
    <w:rsid w:val="00F97350"/>
    <w:rsid w:val="00F97580"/>
    <w:rsid w:val="00F97EF2"/>
    <w:rsid w:val="00FA09CB"/>
    <w:rsid w:val="00FA09E1"/>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848"/>
    <w:rsid w:val="00FB0DA8"/>
    <w:rsid w:val="00FB11EE"/>
    <w:rsid w:val="00FB1924"/>
    <w:rsid w:val="00FB1D4E"/>
    <w:rsid w:val="00FB256B"/>
    <w:rsid w:val="00FB27B6"/>
    <w:rsid w:val="00FB30D4"/>
    <w:rsid w:val="00FB3453"/>
    <w:rsid w:val="00FB362C"/>
    <w:rsid w:val="00FB3708"/>
    <w:rsid w:val="00FB37EF"/>
    <w:rsid w:val="00FB3F9D"/>
    <w:rsid w:val="00FB5D20"/>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31C5"/>
    <w:rsid w:val="00FC33F4"/>
    <w:rsid w:val="00FC3495"/>
    <w:rsid w:val="00FC382F"/>
    <w:rsid w:val="00FC3C79"/>
    <w:rsid w:val="00FC415C"/>
    <w:rsid w:val="00FC4269"/>
    <w:rsid w:val="00FC4B1A"/>
    <w:rsid w:val="00FC5AB9"/>
    <w:rsid w:val="00FC5B2F"/>
    <w:rsid w:val="00FC6845"/>
    <w:rsid w:val="00FC6ED4"/>
    <w:rsid w:val="00FC706C"/>
    <w:rsid w:val="00FC758B"/>
    <w:rsid w:val="00FC7749"/>
    <w:rsid w:val="00FC7E4D"/>
    <w:rsid w:val="00FD003D"/>
    <w:rsid w:val="00FD03BE"/>
    <w:rsid w:val="00FD052B"/>
    <w:rsid w:val="00FD0F04"/>
    <w:rsid w:val="00FD105F"/>
    <w:rsid w:val="00FD1434"/>
    <w:rsid w:val="00FD158E"/>
    <w:rsid w:val="00FD1D60"/>
    <w:rsid w:val="00FD1E9F"/>
    <w:rsid w:val="00FD1F5C"/>
    <w:rsid w:val="00FD2388"/>
    <w:rsid w:val="00FD2B51"/>
    <w:rsid w:val="00FD2C95"/>
    <w:rsid w:val="00FD337E"/>
    <w:rsid w:val="00FD33D8"/>
    <w:rsid w:val="00FD3B66"/>
    <w:rsid w:val="00FD3DB1"/>
    <w:rsid w:val="00FD3DF6"/>
    <w:rsid w:val="00FD406C"/>
    <w:rsid w:val="00FD4600"/>
    <w:rsid w:val="00FD4A90"/>
    <w:rsid w:val="00FD50A0"/>
    <w:rsid w:val="00FD59BF"/>
    <w:rsid w:val="00FD61C5"/>
    <w:rsid w:val="00FD6659"/>
    <w:rsid w:val="00FD6FD9"/>
    <w:rsid w:val="00FD73CF"/>
    <w:rsid w:val="00FD7557"/>
    <w:rsid w:val="00FD7D22"/>
    <w:rsid w:val="00FE043D"/>
    <w:rsid w:val="00FE0C67"/>
    <w:rsid w:val="00FE1458"/>
    <w:rsid w:val="00FE1A21"/>
    <w:rsid w:val="00FE1A4C"/>
    <w:rsid w:val="00FE2198"/>
    <w:rsid w:val="00FE2820"/>
    <w:rsid w:val="00FE29E7"/>
    <w:rsid w:val="00FE2A3F"/>
    <w:rsid w:val="00FE2C2D"/>
    <w:rsid w:val="00FE2FC0"/>
    <w:rsid w:val="00FE3918"/>
    <w:rsid w:val="00FE3B51"/>
    <w:rsid w:val="00FE3B54"/>
    <w:rsid w:val="00FE3F1C"/>
    <w:rsid w:val="00FE4483"/>
    <w:rsid w:val="00FE4BF2"/>
    <w:rsid w:val="00FE60B2"/>
    <w:rsid w:val="00FE6243"/>
    <w:rsid w:val="00FE6AB3"/>
    <w:rsid w:val="00FE6FEA"/>
    <w:rsid w:val="00FE73DC"/>
    <w:rsid w:val="00FE7DD1"/>
    <w:rsid w:val="00FE7F14"/>
    <w:rsid w:val="00FF0ED0"/>
    <w:rsid w:val="00FF1867"/>
    <w:rsid w:val="00FF20E5"/>
    <w:rsid w:val="00FF2168"/>
    <w:rsid w:val="00FF24CA"/>
    <w:rsid w:val="00FF2D6F"/>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27D"/>
    <w:rsid w:val="00FF73EE"/>
    <w:rsid w:val="00FF7982"/>
    <w:rsid w:val="00FF7F19"/>
    <w:rsid w:val="00FF7F61"/>
    <w:rsid w:val="01248617"/>
    <w:rsid w:val="01478E6B"/>
    <w:rsid w:val="01CBA59E"/>
    <w:rsid w:val="026C5209"/>
    <w:rsid w:val="02887BA0"/>
    <w:rsid w:val="03298326"/>
    <w:rsid w:val="033D52FE"/>
    <w:rsid w:val="035D68B4"/>
    <w:rsid w:val="03632B55"/>
    <w:rsid w:val="03FD4355"/>
    <w:rsid w:val="040AD082"/>
    <w:rsid w:val="045C61B9"/>
    <w:rsid w:val="057C47FA"/>
    <w:rsid w:val="05834A75"/>
    <w:rsid w:val="063EA492"/>
    <w:rsid w:val="0643651A"/>
    <w:rsid w:val="064BC9B2"/>
    <w:rsid w:val="065B3A7F"/>
    <w:rsid w:val="06A86B21"/>
    <w:rsid w:val="06B7B426"/>
    <w:rsid w:val="06EBC681"/>
    <w:rsid w:val="0720D100"/>
    <w:rsid w:val="0723602D"/>
    <w:rsid w:val="078F3913"/>
    <w:rsid w:val="07E371A0"/>
    <w:rsid w:val="08359336"/>
    <w:rsid w:val="08F5D1E1"/>
    <w:rsid w:val="0904C6C5"/>
    <w:rsid w:val="091EE8F0"/>
    <w:rsid w:val="092B0974"/>
    <w:rsid w:val="0930941B"/>
    <w:rsid w:val="09FA3FA2"/>
    <w:rsid w:val="0A6A830B"/>
    <w:rsid w:val="0B2F0528"/>
    <w:rsid w:val="0BB37890"/>
    <w:rsid w:val="0BC936C8"/>
    <w:rsid w:val="0C491877"/>
    <w:rsid w:val="0C56C809"/>
    <w:rsid w:val="0C8E37C2"/>
    <w:rsid w:val="0D1D2BA0"/>
    <w:rsid w:val="0DDFE9D2"/>
    <w:rsid w:val="0DFB1101"/>
    <w:rsid w:val="0E16D8AB"/>
    <w:rsid w:val="0E6114E4"/>
    <w:rsid w:val="0E7F6C65"/>
    <w:rsid w:val="0F501F90"/>
    <w:rsid w:val="0FAAF978"/>
    <w:rsid w:val="0FEB1EEE"/>
    <w:rsid w:val="103BC10E"/>
    <w:rsid w:val="10E99E5E"/>
    <w:rsid w:val="10EE0205"/>
    <w:rsid w:val="12A8B776"/>
    <w:rsid w:val="12D56220"/>
    <w:rsid w:val="131C3F7E"/>
    <w:rsid w:val="132B3F4C"/>
    <w:rsid w:val="144E4562"/>
    <w:rsid w:val="146E8569"/>
    <w:rsid w:val="1483A1CC"/>
    <w:rsid w:val="14AE4C49"/>
    <w:rsid w:val="14F1BC19"/>
    <w:rsid w:val="150226A1"/>
    <w:rsid w:val="15174A65"/>
    <w:rsid w:val="15754F34"/>
    <w:rsid w:val="15803BA9"/>
    <w:rsid w:val="1597A2A3"/>
    <w:rsid w:val="15ACF401"/>
    <w:rsid w:val="15BC5DD8"/>
    <w:rsid w:val="15E4B637"/>
    <w:rsid w:val="16DAD3C7"/>
    <w:rsid w:val="174AF19F"/>
    <w:rsid w:val="17753519"/>
    <w:rsid w:val="177C2899"/>
    <w:rsid w:val="17BB906B"/>
    <w:rsid w:val="17E19CF8"/>
    <w:rsid w:val="17EAE945"/>
    <w:rsid w:val="180FB1A4"/>
    <w:rsid w:val="182AC348"/>
    <w:rsid w:val="18AE8A08"/>
    <w:rsid w:val="18D89933"/>
    <w:rsid w:val="194D5E5C"/>
    <w:rsid w:val="199D4BF9"/>
    <w:rsid w:val="19B05996"/>
    <w:rsid w:val="19DC1F4E"/>
    <w:rsid w:val="1A0198C0"/>
    <w:rsid w:val="1A0484FA"/>
    <w:rsid w:val="1AC23108"/>
    <w:rsid w:val="1BAA4E63"/>
    <w:rsid w:val="1BC57EE3"/>
    <w:rsid w:val="1C04C8F8"/>
    <w:rsid w:val="1C3C20F1"/>
    <w:rsid w:val="1CCA396E"/>
    <w:rsid w:val="1CFB06C2"/>
    <w:rsid w:val="1D396463"/>
    <w:rsid w:val="1E07ADD3"/>
    <w:rsid w:val="1E17280C"/>
    <w:rsid w:val="1E291F81"/>
    <w:rsid w:val="1E3C0632"/>
    <w:rsid w:val="1EE1948D"/>
    <w:rsid w:val="1F9E1834"/>
    <w:rsid w:val="1FA38CB2"/>
    <w:rsid w:val="1FCCBCAA"/>
    <w:rsid w:val="1FE2506D"/>
    <w:rsid w:val="2024610A"/>
    <w:rsid w:val="2064DEC5"/>
    <w:rsid w:val="20AA747E"/>
    <w:rsid w:val="20BDB4FB"/>
    <w:rsid w:val="218F3CD9"/>
    <w:rsid w:val="228C7072"/>
    <w:rsid w:val="22F751AB"/>
    <w:rsid w:val="235A0BD6"/>
    <w:rsid w:val="236C6F66"/>
    <w:rsid w:val="237AAEEF"/>
    <w:rsid w:val="23D565CD"/>
    <w:rsid w:val="2410CDB0"/>
    <w:rsid w:val="244A5490"/>
    <w:rsid w:val="2462DB06"/>
    <w:rsid w:val="260FD136"/>
    <w:rsid w:val="262DE095"/>
    <w:rsid w:val="2663E42E"/>
    <w:rsid w:val="266ABA9D"/>
    <w:rsid w:val="26A18960"/>
    <w:rsid w:val="26FA5075"/>
    <w:rsid w:val="2768CA13"/>
    <w:rsid w:val="28EE0E6C"/>
    <w:rsid w:val="29B9558A"/>
    <w:rsid w:val="29E46115"/>
    <w:rsid w:val="2AF558AC"/>
    <w:rsid w:val="2B0E6BB7"/>
    <w:rsid w:val="2C29A27B"/>
    <w:rsid w:val="2C2A90EB"/>
    <w:rsid w:val="2C774A49"/>
    <w:rsid w:val="2C89BA05"/>
    <w:rsid w:val="2CDC1694"/>
    <w:rsid w:val="2CE1FBF0"/>
    <w:rsid w:val="2CE3FFB3"/>
    <w:rsid w:val="2D1F2D09"/>
    <w:rsid w:val="2D6C117E"/>
    <w:rsid w:val="2DAB2ACC"/>
    <w:rsid w:val="2E7910D6"/>
    <w:rsid w:val="2EA20A72"/>
    <w:rsid w:val="2EBBB158"/>
    <w:rsid w:val="2ECB6AB6"/>
    <w:rsid w:val="2F3E7A5B"/>
    <w:rsid w:val="2F56C82F"/>
    <w:rsid w:val="2F609A27"/>
    <w:rsid w:val="2F6568B8"/>
    <w:rsid w:val="2F696F5F"/>
    <w:rsid w:val="2F9BB9CC"/>
    <w:rsid w:val="30E69CE0"/>
    <w:rsid w:val="3104E63A"/>
    <w:rsid w:val="310BC0ED"/>
    <w:rsid w:val="3127F3D2"/>
    <w:rsid w:val="312B38C7"/>
    <w:rsid w:val="3262BB01"/>
    <w:rsid w:val="3272D82F"/>
    <w:rsid w:val="328E63E1"/>
    <w:rsid w:val="328E68F1"/>
    <w:rsid w:val="32ED5058"/>
    <w:rsid w:val="33308F21"/>
    <w:rsid w:val="3345637C"/>
    <w:rsid w:val="334D3284"/>
    <w:rsid w:val="33507EBE"/>
    <w:rsid w:val="33B95EC1"/>
    <w:rsid w:val="33E569A8"/>
    <w:rsid w:val="348DDB7E"/>
    <w:rsid w:val="349018EC"/>
    <w:rsid w:val="350B74A7"/>
    <w:rsid w:val="353CCA8A"/>
    <w:rsid w:val="356548F1"/>
    <w:rsid w:val="359E1237"/>
    <w:rsid w:val="359F4980"/>
    <w:rsid w:val="35DA39E2"/>
    <w:rsid w:val="36159397"/>
    <w:rsid w:val="364F38DB"/>
    <w:rsid w:val="366BBC2A"/>
    <w:rsid w:val="3744E151"/>
    <w:rsid w:val="3761DA14"/>
    <w:rsid w:val="37873E77"/>
    <w:rsid w:val="37D1C981"/>
    <w:rsid w:val="37FED9B2"/>
    <w:rsid w:val="38BEC346"/>
    <w:rsid w:val="38CD1B13"/>
    <w:rsid w:val="38E17D18"/>
    <w:rsid w:val="39B90070"/>
    <w:rsid w:val="39BC7DCA"/>
    <w:rsid w:val="3A83E889"/>
    <w:rsid w:val="3ADF3150"/>
    <w:rsid w:val="3B0DDED7"/>
    <w:rsid w:val="3B8ADC70"/>
    <w:rsid w:val="3BFC7BCF"/>
    <w:rsid w:val="3C110489"/>
    <w:rsid w:val="3C3A76BF"/>
    <w:rsid w:val="3C568E25"/>
    <w:rsid w:val="3C8F4237"/>
    <w:rsid w:val="3CC40506"/>
    <w:rsid w:val="3CC50624"/>
    <w:rsid w:val="3DA64925"/>
    <w:rsid w:val="3DC41474"/>
    <w:rsid w:val="3DD11B98"/>
    <w:rsid w:val="3E0FFFD8"/>
    <w:rsid w:val="3E3E4014"/>
    <w:rsid w:val="3E857137"/>
    <w:rsid w:val="3E9FD47C"/>
    <w:rsid w:val="3EA49E84"/>
    <w:rsid w:val="3EAF4992"/>
    <w:rsid w:val="3ED93853"/>
    <w:rsid w:val="3F6CE8CB"/>
    <w:rsid w:val="3F7B6544"/>
    <w:rsid w:val="3F9FB68A"/>
    <w:rsid w:val="4014FF92"/>
    <w:rsid w:val="408A8BD4"/>
    <w:rsid w:val="40B8D1C8"/>
    <w:rsid w:val="40D56937"/>
    <w:rsid w:val="414F46E0"/>
    <w:rsid w:val="4153DA67"/>
    <w:rsid w:val="41E13B6A"/>
    <w:rsid w:val="4254AED9"/>
    <w:rsid w:val="42A9B843"/>
    <w:rsid w:val="42EAAC67"/>
    <w:rsid w:val="43BAFEC2"/>
    <w:rsid w:val="444588A4"/>
    <w:rsid w:val="44A09C52"/>
    <w:rsid w:val="45222574"/>
    <w:rsid w:val="457B110F"/>
    <w:rsid w:val="45ACD316"/>
    <w:rsid w:val="45E41B03"/>
    <w:rsid w:val="464A83A7"/>
    <w:rsid w:val="4659B98A"/>
    <w:rsid w:val="46D871FD"/>
    <w:rsid w:val="46F0FE63"/>
    <w:rsid w:val="47005E1C"/>
    <w:rsid w:val="4737A4EB"/>
    <w:rsid w:val="47F4A6E9"/>
    <w:rsid w:val="487B7BB2"/>
    <w:rsid w:val="48956AE8"/>
    <w:rsid w:val="48CE1F2E"/>
    <w:rsid w:val="48E6E6E8"/>
    <w:rsid w:val="49239279"/>
    <w:rsid w:val="49A65E41"/>
    <w:rsid w:val="49E9875B"/>
    <w:rsid w:val="49FF3B94"/>
    <w:rsid w:val="4A2D81A2"/>
    <w:rsid w:val="4AEDFDA8"/>
    <w:rsid w:val="4B8B0F69"/>
    <w:rsid w:val="4BC95203"/>
    <w:rsid w:val="4BFF6068"/>
    <w:rsid w:val="4C8986B0"/>
    <w:rsid w:val="4CC25619"/>
    <w:rsid w:val="4D32F827"/>
    <w:rsid w:val="4DCEA3E5"/>
    <w:rsid w:val="4DE322A9"/>
    <w:rsid w:val="4DEF2CE8"/>
    <w:rsid w:val="4E409723"/>
    <w:rsid w:val="4E5CA4CB"/>
    <w:rsid w:val="4F3A1783"/>
    <w:rsid w:val="4F771E27"/>
    <w:rsid w:val="4FAAF46D"/>
    <w:rsid w:val="4FD9C84F"/>
    <w:rsid w:val="4FDC6784"/>
    <w:rsid w:val="4FFE9B7C"/>
    <w:rsid w:val="507C8F22"/>
    <w:rsid w:val="50C55E36"/>
    <w:rsid w:val="50E15F89"/>
    <w:rsid w:val="50FBFB37"/>
    <w:rsid w:val="510C7C71"/>
    <w:rsid w:val="51185FF2"/>
    <w:rsid w:val="514194BF"/>
    <w:rsid w:val="51A6F554"/>
    <w:rsid w:val="51B96574"/>
    <w:rsid w:val="5200D0C8"/>
    <w:rsid w:val="5228A735"/>
    <w:rsid w:val="532D3C6E"/>
    <w:rsid w:val="53886830"/>
    <w:rsid w:val="53E1348A"/>
    <w:rsid w:val="53ED6DF7"/>
    <w:rsid w:val="53EF421B"/>
    <w:rsid w:val="5410CD0D"/>
    <w:rsid w:val="543808C3"/>
    <w:rsid w:val="54CE7537"/>
    <w:rsid w:val="54D55F25"/>
    <w:rsid w:val="550AF6AA"/>
    <w:rsid w:val="5538718A"/>
    <w:rsid w:val="5554D5DA"/>
    <w:rsid w:val="55B574E7"/>
    <w:rsid w:val="562E82A9"/>
    <w:rsid w:val="56CEFF8E"/>
    <w:rsid w:val="57016D3F"/>
    <w:rsid w:val="5736661C"/>
    <w:rsid w:val="575BA5AC"/>
    <w:rsid w:val="57BB2A70"/>
    <w:rsid w:val="57D1B67E"/>
    <w:rsid w:val="58018DCA"/>
    <w:rsid w:val="584C3045"/>
    <w:rsid w:val="58848160"/>
    <w:rsid w:val="59167B29"/>
    <w:rsid w:val="59B1E313"/>
    <w:rsid w:val="5A2E91C0"/>
    <w:rsid w:val="5A443F50"/>
    <w:rsid w:val="5A6326F3"/>
    <w:rsid w:val="5A71B11B"/>
    <w:rsid w:val="5A8D5771"/>
    <w:rsid w:val="5B301251"/>
    <w:rsid w:val="5B374A11"/>
    <w:rsid w:val="5BC42DDE"/>
    <w:rsid w:val="5BD6FDF8"/>
    <w:rsid w:val="5C103DFA"/>
    <w:rsid w:val="5C3CFDA1"/>
    <w:rsid w:val="5CD31A72"/>
    <w:rsid w:val="5D8AB8E1"/>
    <w:rsid w:val="5DF153DD"/>
    <w:rsid w:val="5E79CBD5"/>
    <w:rsid w:val="5E881FE0"/>
    <w:rsid w:val="5EDD02FF"/>
    <w:rsid w:val="5EE3D6B4"/>
    <w:rsid w:val="5EF29278"/>
    <w:rsid w:val="5F4530F6"/>
    <w:rsid w:val="60ADB6F1"/>
    <w:rsid w:val="60BCC1AA"/>
    <w:rsid w:val="60C717A8"/>
    <w:rsid w:val="6113B8BA"/>
    <w:rsid w:val="611675CE"/>
    <w:rsid w:val="6127D778"/>
    <w:rsid w:val="6175A078"/>
    <w:rsid w:val="61765B86"/>
    <w:rsid w:val="61AF7D5D"/>
    <w:rsid w:val="61DF9547"/>
    <w:rsid w:val="621766AA"/>
    <w:rsid w:val="623583FD"/>
    <w:rsid w:val="62512AE6"/>
    <w:rsid w:val="62A7C844"/>
    <w:rsid w:val="62DEAC67"/>
    <w:rsid w:val="6394D335"/>
    <w:rsid w:val="644398A5"/>
    <w:rsid w:val="6456388A"/>
    <w:rsid w:val="6465F613"/>
    <w:rsid w:val="658EF3CC"/>
    <w:rsid w:val="65EC91AF"/>
    <w:rsid w:val="6614F39F"/>
    <w:rsid w:val="6657351E"/>
    <w:rsid w:val="6679FCB8"/>
    <w:rsid w:val="66A826B5"/>
    <w:rsid w:val="66FF0BB7"/>
    <w:rsid w:val="67236257"/>
    <w:rsid w:val="677AB81A"/>
    <w:rsid w:val="67863AE9"/>
    <w:rsid w:val="67CEF31E"/>
    <w:rsid w:val="6869D4CB"/>
    <w:rsid w:val="6886CD8E"/>
    <w:rsid w:val="6936C882"/>
    <w:rsid w:val="69B9689B"/>
    <w:rsid w:val="69E96F06"/>
    <w:rsid w:val="69FBFFF5"/>
    <w:rsid w:val="6A25D649"/>
    <w:rsid w:val="6A39562B"/>
    <w:rsid w:val="6B0EF9AC"/>
    <w:rsid w:val="6B1BA960"/>
    <w:rsid w:val="6B4D6DDB"/>
    <w:rsid w:val="6BA9880E"/>
    <w:rsid w:val="6BDEFF34"/>
    <w:rsid w:val="6BFD9E33"/>
    <w:rsid w:val="6BFFC7F8"/>
    <w:rsid w:val="6C47100E"/>
    <w:rsid w:val="6C523BE7"/>
    <w:rsid w:val="6C553673"/>
    <w:rsid w:val="6C5A592B"/>
    <w:rsid w:val="6C7F22E3"/>
    <w:rsid w:val="6D6FE380"/>
    <w:rsid w:val="6DCD4F57"/>
    <w:rsid w:val="6DE9F99E"/>
    <w:rsid w:val="6E616D23"/>
    <w:rsid w:val="6ED7C377"/>
    <w:rsid w:val="6EFBEF05"/>
    <w:rsid w:val="6F691FB8"/>
    <w:rsid w:val="6F89239F"/>
    <w:rsid w:val="6F9A6930"/>
    <w:rsid w:val="6FC36048"/>
    <w:rsid w:val="6FE41BAA"/>
    <w:rsid w:val="7081DE24"/>
    <w:rsid w:val="70E57223"/>
    <w:rsid w:val="70F25038"/>
    <w:rsid w:val="70FB9E76"/>
    <w:rsid w:val="71221A60"/>
    <w:rsid w:val="71286A94"/>
    <w:rsid w:val="71BBA405"/>
    <w:rsid w:val="721610EE"/>
    <w:rsid w:val="72618725"/>
    <w:rsid w:val="726B4667"/>
    <w:rsid w:val="72A420C9"/>
    <w:rsid w:val="73DEFA59"/>
    <w:rsid w:val="7441C996"/>
    <w:rsid w:val="744CF879"/>
    <w:rsid w:val="74797B29"/>
    <w:rsid w:val="749D0EE6"/>
    <w:rsid w:val="74B6FDA8"/>
    <w:rsid w:val="75422C54"/>
    <w:rsid w:val="756206D8"/>
    <w:rsid w:val="7564295B"/>
    <w:rsid w:val="7585617D"/>
    <w:rsid w:val="75BF38DF"/>
    <w:rsid w:val="75C54B7A"/>
    <w:rsid w:val="7626D2D0"/>
    <w:rsid w:val="76489C35"/>
    <w:rsid w:val="76980E08"/>
    <w:rsid w:val="771D9BC4"/>
    <w:rsid w:val="7784993B"/>
    <w:rsid w:val="77B1B913"/>
    <w:rsid w:val="77DBB67D"/>
    <w:rsid w:val="782122B6"/>
    <w:rsid w:val="783AF60A"/>
    <w:rsid w:val="787DE1BD"/>
    <w:rsid w:val="7890DB75"/>
    <w:rsid w:val="789A9121"/>
    <w:rsid w:val="78AC6B7E"/>
    <w:rsid w:val="78D8D9DB"/>
    <w:rsid w:val="793F9916"/>
    <w:rsid w:val="797556BC"/>
    <w:rsid w:val="79EA02D1"/>
    <w:rsid w:val="7A0E576E"/>
    <w:rsid w:val="7AF28559"/>
    <w:rsid w:val="7B09B4EF"/>
    <w:rsid w:val="7C540D7C"/>
    <w:rsid w:val="7C5AD008"/>
    <w:rsid w:val="7C623C70"/>
    <w:rsid w:val="7C745F82"/>
    <w:rsid w:val="7CE8CF1B"/>
    <w:rsid w:val="7CF2EF9F"/>
    <w:rsid w:val="7EA6E92B"/>
    <w:rsid w:val="7F8BF571"/>
    <w:rsid w:val="7F99E3B7"/>
    <w:rsid w:val="7FC58C4D"/>
  </w:rsids>
  <m:mathPr>
    <m:mathFont m:val="Cambria Math"/>
    <m:brkBin m:val="before"/>
    <m:brkBinSub m:val="--"/>
    <m:smallFrac/>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C62FA"/>
  <w15:docId w15:val="{FC07A3FB-85F5-4FF3-BB36-B740494C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6C8"/>
    <w:pPr>
      <w:jc w:val="both"/>
    </w:pPr>
    <w:rPr>
      <w:rFonts w:eastAsia="Calibri" w:cs="Times New Roman"/>
    </w:rPr>
  </w:style>
  <w:style w:type="paragraph" w:styleId="Balk1">
    <w:name w:val="heading 1"/>
    <w:basedOn w:val="Normal"/>
    <w:next w:val="Normal"/>
    <w:link w:val="Balk1Char"/>
    <w:uiPriority w:val="1"/>
    <w:qFormat/>
    <w:rsid w:val="006E0D44"/>
    <w:pPr>
      <w:keepNext/>
      <w:keepLines/>
      <w:spacing w:before="480"/>
      <w:outlineLvl w:val="0"/>
    </w:pPr>
    <w:rPr>
      <w:rFonts w:eastAsiaTheme="majorEastAsia" w:cstheme="majorBidi"/>
      <w:b/>
      <w:bCs/>
      <w:szCs w:val="28"/>
    </w:rPr>
  </w:style>
  <w:style w:type="paragraph" w:styleId="Balk2">
    <w:name w:val="heading 2"/>
    <w:basedOn w:val="Normal"/>
    <w:next w:val="Normal"/>
    <w:link w:val="Balk2Char"/>
    <w:uiPriority w:val="1"/>
    <w:unhideWhenUsed/>
    <w:qFormat/>
    <w:rsid w:val="006E0D44"/>
    <w:pPr>
      <w:keepNext/>
      <w:keepLines/>
      <w:spacing w:before="200" w:after="160"/>
      <w:outlineLvl w:val="1"/>
    </w:pPr>
    <w:rPr>
      <w:rFonts w:eastAsiaTheme="majorEastAsia" w:cstheme="majorBidi"/>
      <w:b/>
      <w:bCs/>
      <w:szCs w:val="26"/>
    </w:rPr>
  </w:style>
  <w:style w:type="paragraph" w:styleId="Balk3">
    <w:name w:val="heading 3"/>
    <w:basedOn w:val="Normal"/>
    <w:next w:val="Normal"/>
    <w:link w:val="Balk3Char"/>
    <w:uiPriority w:val="9"/>
    <w:unhideWhenUsed/>
    <w:qFormat/>
    <w:rsid w:val="00133D16"/>
    <w:pPr>
      <w:keepNext/>
      <w:keepLines/>
      <w:spacing w:before="200" w:after="120"/>
      <w:outlineLvl w:val="2"/>
    </w:pPr>
    <w:rPr>
      <w:rFonts w:eastAsiaTheme="majorEastAsia" w:cstheme="majorBidi"/>
      <w:b/>
      <w:bCs/>
    </w:rPr>
  </w:style>
  <w:style w:type="paragraph" w:styleId="Balk4">
    <w:name w:val="heading 4"/>
    <w:basedOn w:val="Normal"/>
    <w:next w:val="Normal"/>
    <w:link w:val="Balk4Char"/>
    <w:uiPriority w:val="9"/>
    <w:unhideWhenUsed/>
    <w:qFormat/>
    <w:rsid w:val="006E0D44"/>
    <w:pPr>
      <w:keepNext/>
      <w:keepLines/>
      <w:spacing w:before="200" w:after="0"/>
      <w:outlineLvl w:val="3"/>
    </w:pPr>
    <w:rPr>
      <w:rFonts w:eastAsiaTheme="majorEastAsia" w:cstheme="majorBidi"/>
      <w:b/>
      <w:bCs/>
      <w:i/>
      <w:iCs/>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6E0D44"/>
    <w:rPr>
      <w:rFonts w:eastAsiaTheme="majorEastAsia" w:cstheme="majorBidi"/>
      <w:b/>
      <w:bCs/>
      <w:szCs w:val="28"/>
    </w:rPr>
  </w:style>
  <w:style w:type="character" w:customStyle="1" w:styleId="Balk2Char">
    <w:name w:val="Başlık 2 Char"/>
    <w:basedOn w:val="VarsaylanParagrafYazTipi"/>
    <w:link w:val="Balk2"/>
    <w:uiPriority w:val="1"/>
    <w:rsid w:val="006E0D44"/>
    <w:rPr>
      <w:rFonts w:eastAsiaTheme="majorEastAsia" w:cstheme="majorBidi"/>
      <w:b/>
      <w:bCs/>
      <w:szCs w:val="26"/>
    </w:rPr>
  </w:style>
  <w:style w:type="character" w:customStyle="1" w:styleId="Balk3Char">
    <w:name w:val="Başlık 3 Char"/>
    <w:basedOn w:val="VarsaylanParagrafYazTipi"/>
    <w:link w:val="Balk3"/>
    <w:uiPriority w:val="9"/>
    <w:rsid w:val="00133D16"/>
    <w:rPr>
      <w:rFonts w:eastAsiaTheme="majorEastAsia" w:cstheme="majorBidi"/>
      <w:b/>
      <w:bCs/>
    </w:rPr>
  </w:style>
  <w:style w:type="character" w:customStyle="1" w:styleId="Balk4Char">
    <w:name w:val="Başlık 4 Char"/>
    <w:basedOn w:val="VarsaylanParagrafYazTipi"/>
    <w:link w:val="Balk4"/>
    <w:uiPriority w:val="9"/>
    <w:rsid w:val="006E0D44"/>
    <w:rPr>
      <w:rFonts w:eastAsiaTheme="majorEastAsia" w:cstheme="majorBidi"/>
      <w:b/>
      <w:bCs/>
      <w:i/>
      <w:iCs/>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aliases w:val="1.1.1. Turkish MERCADOS,UEDAŞ Bullet,abc siralı,List Paragraph_0"/>
    <w:basedOn w:val="Normal"/>
    <w:link w:val="ListeParagrafChar"/>
    <w:uiPriority w:val="1"/>
    <w:qFormat/>
    <w:rsid w:val="004367E4"/>
    <w:pPr>
      <w:ind w:left="720"/>
      <w:contextualSpacing/>
    </w:pPr>
  </w:style>
  <w:style w:type="character" w:customStyle="1" w:styleId="ListeParagrafChar">
    <w:name w:val="Liste Paragraf Char"/>
    <w:aliases w:val="1.1.1. Turkish MERCADOS Char,UEDAŞ Bullet Char,abc siralı Char,List Paragraph_0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D3193"/>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B400D3"/>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2">
    <w:name w:val="2"/>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25"/>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25"/>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1">
    <w:name w:val="1"/>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1"/>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NormalTable0">
    <w:name w:val="Normal Table0"/>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59"/>
    <w:rsid w:val="00AE58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A12CD5"/>
    <w:rPr>
      <w:color w:val="605E5C"/>
      <w:shd w:val="clear" w:color="auto" w:fill="E1DFDD"/>
    </w:rPr>
  </w:style>
  <w:style w:type="character" w:customStyle="1" w:styleId="zmlenmeyenBahsetme4">
    <w:name w:val="Çözümlenmeyen Bahsetme4"/>
    <w:basedOn w:val="VarsaylanParagrafYazTipi"/>
    <w:uiPriority w:val="99"/>
    <w:semiHidden/>
    <w:unhideWhenUsed/>
    <w:rsid w:val="00E15B8B"/>
    <w:rPr>
      <w:color w:val="605E5C"/>
      <w:shd w:val="clear" w:color="auto" w:fill="E1DFDD"/>
    </w:rPr>
  </w:style>
  <w:style w:type="character" w:customStyle="1" w:styleId="UnresolvedMention">
    <w:name w:val="Unresolved Mention"/>
    <w:basedOn w:val="VarsaylanParagrafYazTipi"/>
    <w:uiPriority w:val="99"/>
    <w:semiHidden/>
    <w:unhideWhenUsed/>
    <w:rsid w:val="00B35DE1"/>
    <w:rPr>
      <w:color w:val="605E5C"/>
      <w:shd w:val="clear" w:color="auto" w:fill="E1DFDD"/>
    </w:rPr>
  </w:style>
  <w:style w:type="numbering" w:customStyle="1" w:styleId="ListeYok1">
    <w:name w:val="Liste Yok1"/>
    <w:next w:val="ListeYok"/>
    <w:uiPriority w:val="99"/>
    <w:semiHidden/>
    <w:unhideWhenUsed/>
    <w:rsid w:val="00C11703"/>
  </w:style>
  <w:style w:type="table" w:customStyle="1" w:styleId="TabloKlavuzu5">
    <w:name w:val="Tablo Kılavuzu5"/>
    <w:basedOn w:val="NormalTablo"/>
    <w:next w:val="TabloKlavuzu"/>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rsid w:val="00C11703"/>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Klavuz-Vurgu61">
    <w:name w:val="Açık Kılavuz - Vurgu 61"/>
    <w:basedOn w:val="NormalTablo"/>
    <w:next w:val="AkKlavuz-Vurgu6"/>
    <w:uiPriority w:val="62"/>
    <w:rsid w:val="00C11703"/>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loKlavuzu21">
    <w:name w:val="Tablo Kılavuzu21"/>
    <w:basedOn w:val="NormalTablo"/>
    <w:next w:val="TabloKlavuzu"/>
    <w:uiPriority w:val="59"/>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C1170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1170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32">
    <w:name w:val="Tablo Kılavuzu32"/>
    <w:basedOn w:val="NormalTablo"/>
    <w:next w:val="TabloKlavuzu"/>
    <w:uiPriority w:val="39"/>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C1170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C1170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1">
    <w:name w:val="Tablo Kılavuzu411"/>
    <w:basedOn w:val="NormalTablo"/>
    <w:next w:val="TabloKlavuzu"/>
    <w:uiPriority w:val="39"/>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
    <w:name w:val="Tablo Kılavuzu311"/>
    <w:basedOn w:val="NormalTablo"/>
    <w:next w:val="TabloKlavuzu"/>
    <w:uiPriority w:val="39"/>
    <w:rsid w:val="00C11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1">
    <w:name w:val="Tablo Kılavuzu1201"/>
    <w:basedOn w:val="NormalTablo"/>
    <w:next w:val="TabloKlavuzu"/>
    <w:uiPriority w:val="59"/>
    <w:rsid w:val="00C117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5">
    <w:name w:val="Çözümlenmeyen Bahsetme5"/>
    <w:basedOn w:val="VarsaylanParagrafYazTipi"/>
    <w:uiPriority w:val="99"/>
    <w:semiHidden/>
    <w:unhideWhenUsed/>
    <w:rsid w:val="00C11703"/>
    <w:rPr>
      <w:color w:val="605E5C"/>
      <w:shd w:val="clear" w:color="auto" w:fill="E1DFDD"/>
    </w:rPr>
  </w:style>
  <w:style w:type="paragraph" w:styleId="TBal">
    <w:name w:val="TOC Heading"/>
    <w:basedOn w:val="Balk1"/>
    <w:next w:val="Normal"/>
    <w:uiPriority w:val="39"/>
    <w:unhideWhenUsed/>
    <w:qFormat/>
    <w:rsid w:val="006E0D44"/>
    <w:pPr>
      <w:spacing w:before="240" w:line="259" w:lineRule="auto"/>
      <w:jc w:val="left"/>
      <w:outlineLvl w:val="9"/>
    </w:pPr>
    <w:rPr>
      <w:rFonts w:asciiTheme="majorHAnsi" w:hAnsiTheme="majorHAnsi"/>
      <w:b w:val="0"/>
      <w:bCs w:val="0"/>
      <w:color w:val="365F91" w:themeColor="accent1" w:themeShade="BF"/>
      <w:sz w:val="32"/>
      <w:szCs w:val="32"/>
      <w:lang w:val="en-US"/>
    </w:rPr>
  </w:style>
  <w:style w:type="table" w:customStyle="1" w:styleId="TableNormal">
    <w:name w:val="Table Normal"/>
    <w:uiPriority w:val="2"/>
    <w:semiHidden/>
    <w:unhideWhenUsed/>
    <w:qFormat/>
    <w:rsid w:val="004C0A79"/>
    <w:pPr>
      <w:widowControl w:val="0"/>
      <w:autoSpaceDE w:val="0"/>
      <w:autoSpaceDN w:val="0"/>
      <w:spacing w:after="0" w:line="240" w:lineRule="auto"/>
    </w:pPr>
    <w:rPr>
      <w:szCs w:val="20"/>
      <w:lang w:val="en-US"/>
    </w:rPr>
    <w:tblPr>
      <w:tblInd w:w="0" w:type="dxa"/>
      <w:tblCellMar>
        <w:top w:w="0" w:type="dxa"/>
        <w:left w:w="0" w:type="dxa"/>
        <w:bottom w:w="0" w:type="dxa"/>
        <w:right w:w="0" w:type="dxa"/>
      </w:tblCellMar>
    </w:tblPr>
  </w:style>
  <w:style w:type="paragraph" w:customStyle="1" w:styleId="P68B1DB1-Normal1">
    <w:name w:val="P68B1DB1-Normal1"/>
    <w:basedOn w:val="Normal"/>
    <w:rsid w:val="004C0A79"/>
    <w:pPr>
      <w:widowControl w:val="0"/>
      <w:autoSpaceDE w:val="0"/>
      <w:autoSpaceDN w:val="0"/>
      <w:spacing w:after="0" w:line="240" w:lineRule="auto"/>
      <w:jc w:val="left"/>
    </w:pPr>
    <w:rPr>
      <w:rFonts w:ascii="Calibri" w:hAnsi="Calibri" w:cs="Calibri"/>
      <w:b/>
      <w:szCs w:val="20"/>
      <w:lang w:val="en-US"/>
    </w:rPr>
  </w:style>
  <w:style w:type="paragraph" w:customStyle="1" w:styleId="P68B1DB1-ListParagraph2">
    <w:name w:val="P68B1DB1-ListParagraph2"/>
    <w:basedOn w:val="ListeParagraf"/>
    <w:rsid w:val="004C0A79"/>
    <w:pPr>
      <w:widowControl w:val="0"/>
      <w:autoSpaceDE w:val="0"/>
      <w:autoSpaceDN w:val="0"/>
      <w:spacing w:after="0" w:line="240" w:lineRule="auto"/>
      <w:ind w:left="1575" w:hanging="360"/>
      <w:contextualSpacing w:val="0"/>
    </w:pPr>
    <w:rPr>
      <w:rFonts w:ascii="Calibri" w:hAnsi="Calibri" w:cs="Calibri"/>
      <w:b/>
      <w:szCs w:val="20"/>
      <w:lang w:val="en-US"/>
    </w:rPr>
  </w:style>
  <w:style w:type="paragraph" w:customStyle="1" w:styleId="P68B1DB1-ListParagraph3">
    <w:name w:val="P68B1DB1-ListParagraph3"/>
    <w:basedOn w:val="ListeParagraf"/>
    <w:rsid w:val="004C0A79"/>
    <w:pPr>
      <w:widowControl w:val="0"/>
      <w:autoSpaceDE w:val="0"/>
      <w:autoSpaceDN w:val="0"/>
      <w:spacing w:after="0" w:line="240" w:lineRule="auto"/>
      <w:ind w:left="1575" w:hanging="360"/>
      <w:contextualSpacing w:val="0"/>
    </w:pPr>
    <w:rPr>
      <w:rFonts w:ascii="Calibri" w:hAnsi="Calibri" w:cs="Calibri"/>
      <w:i/>
      <w:szCs w:val="20"/>
      <w:lang w:val="en-US"/>
    </w:rPr>
  </w:style>
  <w:style w:type="paragraph" w:customStyle="1" w:styleId="P68B1DB1-TableParagraph1">
    <w:name w:val="P68B1DB1-TableParagraph1"/>
    <w:basedOn w:val="TableParagraph"/>
    <w:rsid w:val="004C0A79"/>
    <w:pPr>
      <w:autoSpaceDE w:val="0"/>
      <w:autoSpaceDN w:val="0"/>
      <w:jc w:val="center"/>
    </w:pPr>
    <w:rPr>
      <w:rFonts w:ascii="Calibri" w:eastAsia="Calibri" w:hAnsi="Calibri" w:cs="Calibri"/>
      <w:b/>
      <w:color w:val="FFFFFF"/>
      <w:sz w:val="21"/>
      <w:szCs w:val="20"/>
    </w:rPr>
  </w:style>
  <w:style w:type="paragraph" w:customStyle="1" w:styleId="P68B1DB1-TableParagraph3">
    <w:name w:val="P68B1DB1-TableParagraph3"/>
    <w:basedOn w:val="TableParagraph"/>
    <w:rsid w:val="004C0A79"/>
    <w:pPr>
      <w:autoSpaceDE w:val="0"/>
      <w:autoSpaceDN w:val="0"/>
      <w:jc w:val="center"/>
    </w:pPr>
    <w:rPr>
      <w:rFonts w:ascii="Calibri" w:eastAsia="Calibri" w:hAnsi="Calibri" w:cs="Calibri"/>
      <w:b/>
      <w:szCs w:val="20"/>
    </w:rPr>
  </w:style>
  <w:style w:type="paragraph" w:customStyle="1" w:styleId="P68B1DB1-Normal4">
    <w:name w:val="P68B1DB1-Normal4"/>
    <w:basedOn w:val="Normal"/>
    <w:rsid w:val="004C0A79"/>
    <w:pPr>
      <w:widowControl w:val="0"/>
      <w:autoSpaceDE w:val="0"/>
      <w:autoSpaceDN w:val="0"/>
      <w:spacing w:after="0" w:line="240" w:lineRule="auto"/>
      <w:jc w:val="left"/>
    </w:pPr>
    <w:rPr>
      <w:rFonts w:ascii="Cambria Math" w:eastAsia="Cambria Math" w:hAnsi="Cambria Math" w:cs="Calibri"/>
      <w:szCs w:val="20"/>
      <w:lang w:val="en-US"/>
    </w:rPr>
  </w:style>
  <w:style w:type="paragraph" w:customStyle="1" w:styleId="P68B1DB1-Normal5">
    <w:name w:val="P68B1DB1-Normal5"/>
    <w:basedOn w:val="Normal"/>
    <w:rsid w:val="004C0A79"/>
    <w:pPr>
      <w:widowControl w:val="0"/>
      <w:autoSpaceDE w:val="0"/>
      <w:autoSpaceDN w:val="0"/>
      <w:spacing w:after="0" w:line="240" w:lineRule="auto"/>
      <w:jc w:val="left"/>
    </w:pPr>
    <w:rPr>
      <w:rFonts w:ascii="Calibri" w:hAnsi="Calibri" w:cs="Calibri"/>
      <w:sz w:val="20"/>
      <w:szCs w:val="20"/>
      <w:lang w:val="en-US"/>
    </w:rPr>
  </w:style>
  <w:style w:type="paragraph" w:customStyle="1" w:styleId="P68B1DB1-ListParagraph6">
    <w:name w:val="P68B1DB1-ListParagraph6"/>
    <w:basedOn w:val="ListeParagraf"/>
    <w:rsid w:val="004C0A79"/>
    <w:pPr>
      <w:widowControl w:val="0"/>
      <w:autoSpaceDE w:val="0"/>
      <w:autoSpaceDN w:val="0"/>
      <w:spacing w:after="0" w:line="240" w:lineRule="auto"/>
      <w:ind w:left="1555" w:hanging="360"/>
      <w:contextualSpacing w:val="0"/>
    </w:pPr>
    <w:rPr>
      <w:rFonts w:ascii="Calibri" w:hAnsi="Calibri" w:cs="Calibri"/>
      <w:b/>
      <w:szCs w:val="20"/>
      <w:lang w:val="en-US"/>
    </w:rPr>
  </w:style>
  <w:style w:type="paragraph" w:customStyle="1" w:styleId="P68B1DB1-TableParagraph7">
    <w:name w:val="P68B1DB1-TableParagraph7"/>
    <w:basedOn w:val="TableParagraph"/>
    <w:rsid w:val="004C0A79"/>
    <w:pPr>
      <w:autoSpaceDE w:val="0"/>
      <w:autoSpaceDN w:val="0"/>
      <w:jc w:val="center"/>
    </w:pPr>
    <w:rPr>
      <w:rFonts w:ascii="Arial" w:eastAsia="Calibri" w:hAnsi="Arial" w:cs="Calibri"/>
      <w:color w:val="464646"/>
      <w:szCs w:val="20"/>
    </w:rPr>
  </w:style>
  <w:style w:type="paragraph" w:customStyle="1" w:styleId="P68B1DB1-TableParagraph8">
    <w:name w:val="P68B1DB1-TableParagraph8"/>
    <w:basedOn w:val="TableParagraph"/>
    <w:rsid w:val="004C0A79"/>
    <w:pPr>
      <w:autoSpaceDE w:val="0"/>
      <w:autoSpaceDN w:val="0"/>
      <w:jc w:val="center"/>
    </w:pPr>
    <w:rPr>
      <w:rFonts w:ascii="Arial" w:eastAsia="Calibri" w:hAnsi="Calibri" w:cs="Calibri"/>
      <w:color w:val="464646"/>
      <w:szCs w:val="20"/>
    </w:rPr>
  </w:style>
  <w:style w:type="paragraph" w:customStyle="1" w:styleId="P68B1DB1-TableParagraph2">
    <w:name w:val="P68B1DB1-TableParagraph2"/>
    <w:basedOn w:val="TableParagraph"/>
    <w:rsid w:val="004C0A79"/>
    <w:pPr>
      <w:autoSpaceDE w:val="0"/>
      <w:autoSpaceDN w:val="0"/>
      <w:jc w:val="center"/>
    </w:pPr>
    <w:rPr>
      <w:rFonts w:ascii="Calibri" w:eastAsia="Calibri" w:hAnsi="Calibri" w:cs="Calibri"/>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8707683">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29457766">
      <w:bodyDiv w:val="1"/>
      <w:marLeft w:val="0"/>
      <w:marRight w:val="0"/>
      <w:marTop w:val="0"/>
      <w:marBottom w:val="0"/>
      <w:divBdr>
        <w:top w:val="none" w:sz="0" w:space="0" w:color="auto"/>
        <w:left w:val="none" w:sz="0" w:space="0" w:color="auto"/>
        <w:bottom w:val="none" w:sz="0" w:space="0" w:color="auto"/>
        <w:right w:val="none" w:sz="0" w:space="0" w:color="auto"/>
      </w:divBdr>
      <w:divsChild>
        <w:div w:id="775565092">
          <w:marLeft w:val="0"/>
          <w:marRight w:val="0"/>
          <w:marTop w:val="0"/>
          <w:marBottom w:val="0"/>
          <w:divBdr>
            <w:top w:val="none" w:sz="0" w:space="0" w:color="auto"/>
            <w:left w:val="none" w:sz="0" w:space="0" w:color="auto"/>
            <w:bottom w:val="none" w:sz="0" w:space="0" w:color="auto"/>
            <w:right w:val="none" w:sz="0" w:space="0" w:color="auto"/>
          </w:divBdr>
        </w:div>
        <w:div w:id="326833954">
          <w:marLeft w:val="0"/>
          <w:marRight w:val="0"/>
          <w:marTop w:val="0"/>
          <w:marBottom w:val="0"/>
          <w:divBdr>
            <w:top w:val="none" w:sz="0" w:space="0" w:color="auto"/>
            <w:left w:val="none" w:sz="0" w:space="0" w:color="auto"/>
            <w:bottom w:val="none" w:sz="0" w:space="0" w:color="auto"/>
            <w:right w:val="none" w:sz="0" w:space="0" w:color="auto"/>
          </w:divBdr>
        </w:div>
        <w:div w:id="29696009">
          <w:marLeft w:val="0"/>
          <w:marRight w:val="0"/>
          <w:marTop w:val="0"/>
          <w:marBottom w:val="0"/>
          <w:divBdr>
            <w:top w:val="none" w:sz="0" w:space="0" w:color="auto"/>
            <w:left w:val="none" w:sz="0" w:space="0" w:color="auto"/>
            <w:bottom w:val="none" w:sz="0" w:space="0" w:color="auto"/>
            <w:right w:val="none" w:sz="0" w:space="0" w:color="auto"/>
          </w:divBdr>
        </w:div>
        <w:div w:id="217514604">
          <w:marLeft w:val="0"/>
          <w:marRight w:val="0"/>
          <w:marTop w:val="0"/>
          <w:marBottom w:val="0"/>
          <w:divBdr>
            <w:top w:val="none" w:sz="0" w:space="0" w:color="auto"/>
            <w:left w:val="none" w:sz="0" w:space="0" w:color="auto"/>
            <w:bottom w:val="none" w:sz="0" w:space="0" w:color="auto"/>
            <w:right w:val="none" w:sz="0" w:space="0" w:color="auto"/>
          </w:divBdr>
        </w:div>
        <w:div w:id="1597135349">
          <w:marLeft w:val="0"/>
          <w:marRight w:val="0"/>
          <w:marTop w:val="0"/>
          <w:marBottom w:val="0"/>
          <w:divBdr>
            <w:top w:val="none" w:sz="0" w:space="0" w:color="auto"/>
            <w:left w:val="none" w:sz="0" w:space="0" w:color="auto"/>
            <w:bottom w:val="none" w:sz="0" w:space="0" w:color="auto"/>
            <w:right w:val="none" w:sz="0" w:space="0" w:color="auto"/>
          </w:divBdr>
        </w:div>
        <w:div w:id="1080323742">
          <w:marLeft w:val="0"/>
          <w:marRight w:val="0"/>
          <w:marTop w:val="0"/>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199629756">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33656095">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217135">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4158235">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89039667">
      <w:bodyDiv w:val="1"/>
      <w:marLeft w:val="0"/>
      <w:marRight w:val="0"/>
      <w:marTop w:val="0"/>
      <w:marBottom w:val="0"/>
      <w:divBdr>
        <w:top w:val="none" w:sz="0" w:space="0" w:color="auto"/>
        <w:left w:val="none" w:sz="0" w:space="0" w:color="auto"/>
        <w:bottom w:val="none" w:sz="0" w:space="0" w:color="auto"/>
        <w:right w:val="none" w:sz="0" w:space="0" w:color="auto"/>
      </w:divBdr>
      <w:divsChild>
        <w:div w:id="1232957850">
          <w:marLeft w:val="0"/>
          <w:marRight w:val="0"/>
          <w:marTop w:val="0"/>
          <w:marBottom w:val="0"/>
          <w:divBdr>
            <w:top w:val="none" w:sz="0" w:space="0" w:color="auto"/>
            <w:left w:val="none" w:sz="0" w:space="0" w:color="auto"/>
            <w:bottom w:val="none" w:sz="0" w:space="0" w:color="auto"/>
            <w:right w:val="none" w:sz="0" w:space="0" w:color="auto"/>
          </w:divBdr>
        </w:div>
        <w:div w:id="1308824460">
          <w:marLeft w:val="0"/>
          <w:marRight w:val="0"/>
          <w:marTop w:val="0"/>
          <w:marBottom w:val="0"/>
          <w:divBdr>
            <w:top w:val="none" w:sz="0" w:space="0" w:color="auto"/>
            <w:left w:val="none" w:sz="0" w:space="0" w:color="auto"/>
            <w:bottom w:val="none" w:sz="0" w:space="0" w:color="auto"/>
            <w:right w:val="none" w:sz="0" w:space="0" w:color="auto"/>
          </w:divBdr>
        </w:div>
        <w:div w:id="1896043389">
          <w:marLeft w:val="0"/>
          <w:marRight w:val="0"/>
          <w:marTop w:val="0"/>
          <w:marBottom w:val="0"/>
          <w:divBdr>
            <w:top w:val="none" w:sz="0" w:space="0" w:color="auto"/>
            <w:left w:val="none" w:sz="0" w:space="0" w:color="auto"/>
            <w:bottom w:val="none" w:sz="0" w:space="0" w:color="auto"/>
            <w:right w:val="none" w:sz="0" w:space="0" w:color="auto"/>
          </w:divBdr>
        </w:div>
        <w:div w:id="11733574">
          <w:marLeft w:val="0"/>
          <w:marRight w:val="0"/>
          <w:marTop w:val="0"/>
          <w:marBottom w:val="0"/>
          <w:divBdr>
            <w:top w:val="none" w:sz="0" w:space="0" w:color="auto"/>
            <w:left w:val="none" w:sz="0" w:space="0" w:color="auto"/>
            <w:bottom w:val="none" w:sz="0" w:space="0" w:color="auto"/>
            <w:right w:val="none" w:sz="0" w:space="0" w:color="auto"/>
          </w:divBdr>
        </w:div>
        <w:div w:id="816530902">
          <w:marLeft w:val="0"/>
          <w:marRight w:val="0"/>
          <w:marTop w:val="0"/>
          <w:marBottom w:val="0"/>
          <w:divBdr>
            <w:top w:val="none" w:sz="0" w:space="0" w:color="auto"/>
            <w:left w:val="none" w:sz="0" w:space="0" w:color="auto"/>
            <w:bottom w:val="none" w:sz="0" w:space="0" w:color="auto"/>
            <w:right w:val="none" w:sz="0" w:space="0" w:color="auto"/>
          </w:divBdr>
        </w:div>
        <w:div w:id="1138642683">
          <w:marLeft w:val="0"/>
          <w:marRight w:val="0"/>
          <w:marTop w:val="0"/>
          <w:marBottom w:val="0"/>
          <w:divBdr>
            <w:top w:val="none" w:sz="0" w:space="0" w:color="auto"/>
            <w:left w:val="none" w:sz="0" w:space="0" w:color="auto"/>
            <w:bottom w:val="none" w:sz="0" w:space="0" w:color="auto"/>
            <w:right w:val="none" w:sz="0" w:space="0" w:color="auto"/>
          </w:divBdr>
        </w:div>
        <w:div w:id="502862081">
          <w:marLeft w:val="0"/>
          <w:marRight w:val="0"/>
          <w:marTop w:val="0"/>
          <w:marBottom w:val="0"/>
          <w:divBdr>
            <w:top w:val="none" w:sz="0" w:space="0" w:color="auto"/>
            <w:left w:val="none" w:sz="0" w:space="0" w:color="auto"/>
            <w:bottom w:val="none" w:sz="0" w:space="0" w:color="auto"/>
            <w:right w:val="none" w:sz="0" w:space="0" w:color="auto"/>
          </w:divBdr>
        </w:div>
        <w:div w:id="1881748473">
          <w:marLeft w:val="0"/>
          <w:marRight w:val="0"/>
          <w:marTop w:val="0"/>
          <w:marBottom w:val="0"/>
          <w:divBdr>
            <w:top w:val="none" w:sz="0" w:space="0" w:color="auto"/>
            <w:left w:val="none" w:sz="0" w:space="0" w:color="auto"/>
            <w:bottom w:val="none" w:sz="0" w:space="0" w:color="auto"/>
            <w:right w:val="none" w:sz="0" w:space="0" w:color="auto"/>
          </w:divBdr>
        </w:div>
        <w:div w:id="1620142340">
          <w:marLeft w:val="0"/>
          <w:marRight w:val="0"/>
          <w:marTop w:val="0"/>
          <w:marBottom w:val="0"/>
          <w:divBdr>
            <w:top w:val="none" w:sz="0" w:space="0" w:color="auto"/>
            <w:left w:val="none" w:sz="0" w:space="0" w:color="auto"/>
            <w:bottom w:val="none" w:sz="0" w:space="0" w:color="auto"/>
            <w:right w:val="none" w:sz="0" w:space="0" w:color="auto"/>
          </w:divBdr>
        </w:div>
        <w:div w:id="2017536916">
          <w:marLeft w:val="0"/>
          <w:marRight w:val="0"/>
          <w:marTop w:val="0"/>
          <w:marBottom w:val="0"/>
          <w:divBdr>
            <w:top w:val="none" w:sz="0" w:space="0" w:color="auto"/>
            <w:left w:val="none" w:sz="0" w:space="0" w:color="auto"/>
            <w:bottom w:val="none" w:sz="0" w:space="0" w:color="auto"/>
            <w:right w:val="none" w:sz="0" w:space="0" w:color="auto"/>
          </w:divBdr>
        </w:div>
        <w:div w:id="1533955989">
          <w:marLeft w:val="0"/>
          <w:marRight w:val="0"/>
          <w:marTop w:val="0"/>
          <w:marBottom w:val="0"/>
          <w:divBdr>
            <w:top w:val="none" w:sz="0" w:space="0" w:color="auto"/>
            <w:left w:val="none" w:sz="0" w:space="0" w:color="auto"/>
            <w:bottom w:val="none" w:sz="0" w:space="0" w:color="auto"/>
            <w:right w:val="none" w:sz="0" w:space="0" w:color="auto"/>
          </w:divBdr>
        </w:div>
        <w:div w:id="813913331">
          <w:marLeft w:val="0"/>
          <w:marRight w:val="0"/>
          <w:marTop w:val="0"/>
          <w:marBottom w:val="0"/>
          <w:divBdr>
            <w:top w:val="none" w:sz="0" w:space="0" w:color="auto"/>
            <w:left w:val="none" w:sz="0" w:space="0" w:color="auto"/>
            <w:bottom w:val="none" w:sz="0" w:space="0" w:color="auto"/>
            <w:right w:val="none" w:sz="0" w:space="0" w:color="auto"/>
          </w:divBdr>
        </w:div>
        <w:div w:id="396242671">
          <w:marLeft w:val="0"/>
          <w:marRight w:val="0"/>
          <w:marTop w:val="0"/>
          <w:marBottom w:val="0"/>
          <w:divBdr>
            <w:top w:val="none" w:sz="0" w:space="0" w:color="auto"/>
            <w:left w:val="none" w:sz="0" w:space="0" w:color="auto"/>
            <w:bottom w:val="none" w:sz="0" w:space="0" w:color="auto"/>
            <w:right w:val="none" w:sz="0" w:space="0" w:color="auto"/>
          </w:divBdr>
        </w:div>
        <w:div w:id="185606146">
          <w:marLeft w:val="0"/>
          <w:marRight w:val="0"/>
          <w:marTop w:val="0"/>
          <w:marBottom w:val="0"/>
          <w:divBdr>
            <w:top w:val="none" w:sz="0" w:space="0" w:color="auto"/>
            <w:left w:val="none" w:sz="0" w:space="0" w:color="auto"/>
            <w:bottom w:val="none" w:sz="0" w:space="0" w:color="auto"/>
            <w:right w:val="none" w:sz="0" w:space="0" w:color="auto"/>
          </w:divBdr>
        </w:div>
        <w:div w:id="2103717871">
          <w:marLeft w:val="0"/>
          <w:marRight w:val="0"/>
          <w:marTop w:val="0"/>
          <w:marBottom w:val="0"/>
          <w:divBdr>
            <w:top w:val="none" w:sz="0" w:space="0" w:color="auto"/>
            <w:left w:val="none" w:sz="0" w:space="0" w:color="auto"/>
            <w:bottom w:val="none" w:sz="0" w:space="0" w:color="auto"/>
            <w:right w:val="none" w:sz="0" w:space="0" w:color="auto"/>
          </w:divBdr>
        </w:div>
        <w:div w:id="1739133848">
          <w:marLeft w:val="0"/>
          <w:marRight w:val="0"/>
          <w:marTop w:val="0"/>
          <w:marBottom w:val="0"/>
          <w:divBdr>
            <w:top w:val="none" w:sz="0" w:space="0" w:color="auto"/>
            <w:left w:val="none" w:sz="0" w:space="0" w:color="auto"/>
            <w:bottom w:val="none" w:sz="0" w:space="0" w:color="auto"/>
            <w:right w:val="none" w:sz="0" w:space="0" w:color="auto"/>
          </w:divBdr>
        </w:div>
        <w:div w:id="963386722">
          <w:marLeft w:val="0"/>
          <w:marRight w:val="0"/>
          <w:marTop w:val="0"/>
          <w:marBottom w:val="0"/>
          <w:divBdr>
            <w:top w:val="none" w:sz="0" w:space="0" w:color="auto"/>
            <w:left w:val="none" w:sz="0" w:space="0" w:color="auto"/>
            <w:bottom w:val="none" w:sz="0" w:space="0" w:color="auto"/>
            <w:right w:val="none" w:sz="0" w:space="0" w:color="auto"/>
          </w:divBdr>
        </w:div>
        <w:div w:id="999119950">
          <w:marLeft w:val="0"/>
          <w:marRight w:val="0"/>
          <w:marTop w:val="0"/>
          <w:marBottom w:val="0"/>
          <w:divBdr>
            <w:top w:val="none" w:sz="0" w:space="0" w:color="auto"/>
            <w:left w:val="none" w:sz="0" w:space="0" w:color="auto"/>
            <w:bottom w:val="none" w:sz="0" w:space="0" w:color="auto"/>
            <w:right w:val="none" w:sz="0" w:space="0" w:color="auto"/>
          </w:divBdr>
        </w:div>
        <w:div w:id="1121024850">
          <w:marLeft w:val="0"/>
          <w:marRight w:val="0"/>
          <w:marTop w:val="0"/>
          <w:marBottom w:val="0"/>
          <w:divBdr>
            <w:top w:val="none" w:sz="0" w:space="0" w:color="auto"/>
            <w:left w:val="none" w:sz="0" w:space="0" w:color="auto"/>
            <w:bottom w:val="none" w:sz="0" w:space="0" w:color="auto"/>
            <w:right w:val="none" w:sz="0" w:space="0" w:color="auto"/>
          </w:divBdr>
        </w:div>
        <w:div w:id="773794052">
          <w:marLeft w:val="0"/>
          <w:marRight w:val="0"/>
          <w:marTop w:val="0"/>
          <w:marBottom w:val="0"/>
          <w:divBdr>
            <w:top w:val="none" w:sz="0" w:space="0" w:color="auto"/>
            <w:left w:val="none" w:sz="0" w:space="0" w:color="auto"/>
            <w:bottom w:val="none" w:sz="0" w:space="0" w:color="auto"/>
            <w:right w:val="none" w:sz="0" w:space="0" w:color="auto"/>
          </w:divBdr>
        </w:div>
        <w:div w:id="322010970">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374619675">
          <w:marLeft w:val="0"/>
          <w:marRight w:val="0"/>
          <w:marTop w:val="0"/>
          <w:marBottom w:val="0"/>
          <w:divBdr>
            <w:top w:val="none" w:sz="0" w:space="0" w:color="auto"/>
            <w:left w:val="none" w:sz="0" w:space="0" w:color="auto"/>
            <w:bottom w:val="none" w:sz="0" w:space="0" w:color="auto"/>
            <w:right w:val="none" w:sz="0" w:space="0" w:color="auto"/>
          </w:divBdr>
        </w:div>
        <w:div w:id="701780554">
          <w:marLeft w:val="0"/>
          <w:marRight w:val="0"/>
          <w:marTop w:val="0"/>
          <w:marBottom w:val="0"/>
          <w:divBdr>
            <w:top w:val="none" w:sz="0" w:space="0" w:color="auto"/>
            <w:left w:val="none" w:sz="0" w:space="0" w:color="auto"/>
            <w:bottom w:val="none" w:sz="0" w:space="0" w:color="auto"/>
            <w:right w:val="none" w:sz="0" w:space="0" w:color="auto"/>
          </w:divBdr>
        </w:div>
        <w:div w:id="1928222408">
          <w:marLeft w:val="0"/>
          <w:marRight w:val="0"/>
          <w:marTop w:val="0"/>
          <w:marBottom w:val="0"/>
          <w:divBdr>
            <w:top w:val="none" w:sz="0" w:space="0" w:color="auto"/>
            <w:left w:val="none" w:sz="0" w:space="0" w:color="auto"/>
            <w:bottom w:val="none" w:sz="0" w:space="0" w:color="auto"/>
            <w:right w:val="none" w:sz="0" w:space="0" w:color="auto"/>
          </w:divBdr>
        </w:div>
        <w:div w:id="1621951746">
          <w:marLeft w:val="0"/>
          <w:marRight w:val="0"/>
          <w:marTop w:val="0"/>
          <w:marBottom w:val="0"/>
          <w:divBdr>
            <w:top w:val="none" w:sz="0" w:space="0" w:color="auto"/>
            <w:left w:val="none" w:sz="0" w:space="0" w:color="auto"/>
            <w:bottom w:val="none" w:sz="0" w:space="0" w:color="auto"/>
            <w:right w:val="none" w:sz="0" w:space="0" w:color="auto"/>
          </w:divBdr>
        </w:div>
        <w:div w:id="334263315">
          <w:marLeft w:val="0"/>
          <w:marRight w:val="0"/>
          <w:marTop w:val="0"/>
          <w:marBottom w:val="0"/>
          <w:divBdr>
            <w:top w:val="none" w:sz="0" w:space="0" w:color="auto"/>
            <w:left w:val="none" w:sz="0" w:space="0" w:color="auto"/>
            <w:bottom w:val="none" w:sz="0" w:space="0" w:color="auto"/>
            <w:right w:val="none" w:sz="0" w:space="0" w:color="auto"/>
          </w:divBdr>
        </w:div>
      </w:divsChild>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2628238">
      <w:bodyDiv w:val="1"/>
      <w:marLeft w:val="0"/>
      <w:marRight w:val="0"/>
      <w:marTop w:val="0"/>
      <w:marBottom w:val="0"/>
      <w:divBdr>
        <w:top w:val="none" w:sz="0" w:space="0" w:color="auto"/>
        <w:left w:val="none" w:sz="0" w:space="0" w:color="auto"/>
        <w:bottom w:val="none" w:sz="0" w:space="0" w:color="auto"/>
        <w:right w:val="none" w:sz="0" w:space="0" w:color="auto"/>
      </w:divBdr>
      <w:divsChild>
        <w:div w:id="463281754">
          <w:marLeft w:val="0"/>
          <w:marRight w:val="0"/>
          <w:marTop w:val="0"/>
          <w:marBottom w:val="0"/>
          <w:divBdr>
            <w:top w:val="none" w:sz="0" w:space="0" w:color="auto"/>
            <w:left w:val="none" w:sz="0" w:space="0" w:color="auto"/>
            <w:bottom w:val="none" w:sz="0" w:space="0" w:color="auto"/>
            <w:right w:val="none" w:sz="0" w:space="0" w:color="auto"/>
          </w:divBdr>
        </w:div>
        <w:div w:id="44645850">
          <w:marLeft w:val="0"/>
          <w:marRight w:val="0"/>
          <w:marTop w:val="0"/>
          <w:marBottom w:val="0"/>
          <w:divBdr>
            <w:top w:val="none" w:sz="0" w:space="0" w:color="auto"/>
            <w:left w:val="none" w:sz="0" w:space="0" w:color="auto"/>
            <w:bottom w:val="none" w:sz="0" w:space="0" w:color="auto"/>
            <w:right w:val="none" w:sz="0" w:space="0" w:color="auto"/>
          </w:divBdr>
        </w:div>
        <w:div w:id="1848783841">
          <w:marLeft w:val="0"/>
          <w:marRight w:val="0"/>
          <w:marTop w:val="0"/>
          <w:marBottom w:val="0"/>
          <w:divBdr>
            <w:top w:val="none" w:sz="0" w:space="0" w:color="auto"/>
            <w:left w:val="none" w:sz="0" w:space="0" w:color="auto"/>
            <w:bottom w:val="none" w:sz="0" w:space="0" w:color="auto"/>
            <w:right w:val="none" w:sz="0" w:space="0" w:color="auto"/>
          </w:divBdr>
        </w:div>
        <w:div w:id="1326783262">
          <w:marLeft w:val="0"/>
          <w:marRight w:val="0"/>
          <w:marTop w:val="0"/>
          <w:marBottom w:val="0"/>
          <w:divBdr>
            <w:top w:val="none" w:sz="0" w:space="0" w:color="auto"/>
            <w:left w:val="none" w:sz="0" w:space="0" w:color="auto"/>
            <w:bottom w:val="none" w:sz="0" w:space="0" w:color="auto"/>
            <w:right w:val="none" w:sz="0" w:space="0" w:color="auto"/>
          </w:divBdr>
        </w:div>
        <w:div w:id="1626691186">
          <w:marLeft w:val="0"/>
          <w:marRight w:val="0"/>
          <w:marTop w:val="0"/>
          <w:marBottom w:val="0"/>
          <w:divBdr>
            <w:top w:val="none" w:sz="0" w:space="0" w:color="auto"/>
            <w:left w:val="none" w:sz="0" w:space="0" w:color="auto"/>
            <w:bottom w:val="none" w:sz="0" w:space="0" w:color="auto"/>
            <w:right w:val="none" w:sz="0" w:space="0" w:color="auto"/>
          </w:divBdr>
        </w:div>
        <w:div w:id="1925336598">
          <w:marLeft w:val="0"/>
          <w:marRight w:val="0"/>
          <w:marTop w:val="0"/>
          <w:marBottom w:val="0"/>
          <w:divBdr>
            <w:top w:val="none" w:sz="0" w:space="0" w:color="auto"/>
            <w:left w:val="none" w:sz="0" w:space="0" w:color="auto"/>
            <w:bottom w:val="none" w:sz="0" w:space="0" w:color="auto"/>
            <w:right w:val="none" w:sz="0" w:space="0" w:color="auto"/>
          </w:divBdr>
        </w:div>
        <w:div w:id="888539031">
          <w:marLeft w:val="0"/>
          <w:marRight w:val="0"/>
          <w:marTop w:val="0"/>
          <w:marBottom w:val="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2146265">
      <w:bodyDiv w:val="1"/>
      <w:marLeft w:val="0"/>
      <w:marRight w:val="0"/>
      <w:marTop w:val="0"/>
      <w:marBottom w:val="0"/>
      <w:divBdr>
        <w:top w:val="none" w:sz="0" w:space="0" w:color="auto"/>
        <w:left w:val="none" w:sz="0" w:space="0" w:color="auto"/>
        <w:bottom w:val="none" w:sz="0" w:space="0" w:color="auto"/>
        <w:right w:val="none" w:sz="0" w:space="0" w:color="auto"/>
      </w:divBdr>
    </w:div>
    <w:div w:id="405303385">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1892092">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5971903">
      <w:bodyDiv w:val="1"/>
      <w:marLeft w:val="0"/>
      <w:marRight w:val="0"/>
      <w:marTop w:val="0"/>
      <w:marBottom w:val="0"/>
      <w:divBdr>
        <w:top w:val="none" w:sz="0" w:space="0" w:color="auto"/>
        <w:left w:val="none" w:sz="0" w:space="0" w:color="auto"/>
        <w:bottom w:val="none" w:sz="0" w:space="0" w:color="auto"/>
        <w:right w:val="none" w:sz="0" w:space="0" w:color="auto"/>
      </w:divBdr>
      <w:divsChild>
        <w:div w:id="1110660475">
          <w:marLeft w:val="0"/>
          <w:marRight w:val="0"/>
          <w:marTop w:val="0"/>
          <w:marBottom w:val="0"/>
          <w:divBdr>
            <w:top w:val="none" w:sz="0" w:space="0" w:color="auto"/>
            <w:left w:val="none" w:sz="0" w:space="0" w:color="auto"/>
            <w:bottom w:val="none" w:sz="0" w:space="0" w:color="auto"/>
            <w:right w:val="none" w:sz="0" w:space="0" w:color="auto"/>
          </w:divBdr>
        </w:div>
        <w:div w:id="5332828">
          <w:marLeft w:val="0"/>
          <w:marRight w:val="0"/>
          <w:marTop w:val="0"/>
          <w:marBottom w:val="0"/>
          <w:divBdr>
            <w:top w:val="none" w:sz="0" w:space="0" w:color="auto"/>
            <w:left w:val="none" w:sz="0" w:space="0" w:color="auto"/>
            <w:bottom w:val="none" w:sz="0" w:space="0" w:color="auto"/>
            <w:right w:val="none" w:sz="0" w:space="0" w:color="auto"/>
          </w:divBdr>
        </w:div>
        <w:div w:id="2144081596">
          <w:marLeft w:val="0"/>
          <w:marRight w:val="0"/>
          <w:marTop w:val="0"/>
          <w:marBottom w:val="0"/>
          <w:divBdr>
            <w:top w:val="none" w:sz="0" w:space="0" w:color="auto"/>
            <w:left w:val="none" w:sz="0" w:space="0" w:color="auto"/>
            <w:bottom w:val="none" w:sz="0" w:space="0" w:color="auto"/>
            <w:right w:val="none" w:sz="0" w:space="0" w:color="auto"/>
          </w:divBdr>
        </w:div>
        <w:div w:id="1225220587">
          <w:marLeft w:val="0"/>
          <w:marRight w:val="0"/>
          <w:marTop w:val="0"/>
          <w:marBottom w:val="0"/>
          <w:divBdr>
            <w:top w:val="none" w:sz="0" w:space="0" w:color="auto"/>
            <w:left w:val="none" w:sz="0" w:space="0" w:color="auto"/>
            <w:bottom w:val="none" w:sz="0" w:space="0" w:color="auto"/>
            <w:right w:val="none" w:sz="0" w:space="0" w:color="auto"/>
          </w:divBdr>
        </w:div>
        <w:div w:id="468598581">
          <w:marLeft w:val="0"/>
          <w:marRight w:val="0"/>
          <w:marTop w:val="0"/>
          <w:marBottom w:val="0"/>
          <w:divBdr>
            <w:top w:val="none" w:sz="0" w:space="0" w:color="auto"/>
            <w:left w:val="none" w:sz="0" w:space="0" w:color="auto"/>
            <w:bottom w:val="none" w:sz="0" w:space="0" w:color="auto"/>
            <w:right w:val="none" w:sz="0" w:space="0" w:color="auto"/>
          </w:divBdr>
        </w:div>
        <w:div w:id="1741827125">
          <w:marLeft w:val="0"/>
          <w:marRight w:val="0"/>
          <w:marTop w:val="0"/>
          <w:marBottom w:val="0"/>
          <w:divBdr>
            <w:top w:val="none" w:sz="0" w:space="0" w:color="auto"/>
            <w:left w:val="none" w:sz="0" w:space="0" w:color="auto"/>
            <w:bottom w:val="none" w:sz="0" w:space="0" w:color="auto"/>
            <w:right w:val="none" w:sz="0" w:space="0" w:color="auto"/>
          </w:divBdr>
        </w:div>
        <w:div w:id="175510125">
          <w:marLeft w:val="0"/>
          <w:marRight w:val="0"/>
          <w:marTop w:val="0"/>
          <w:marBottom w:val="0"/>
          <w:divBdr>
            <w:top w:val="none" w:sz="0" w:space="0" w:color="auto"/>
            <w:left w:val="none" w:sz="0" w:space="0" w:color="auto"/>
            <w:bottom w:val="none" w:sz="0" w:space="0" w:color="auto"/>
            <w:right w:val="none" w:sz="0" w:space="0" w:color="auto"/>
          </w:divBdr>
        </w:div>
        <w:div w:id="1659268506">
          <w:marLeft w:val="0"/>
          <w:marRight w:val="0"/>
          <w:marTop w:val="0"/>
          <w:marBottom w:val="0"/>
          <w:divBdr>
            <w:top w:val="none" w:sz="0" w:space="0" w:color="auto"/>
            <w:left w:val="none" w:sz="0" w:space="0" w:color="auto"/>
            <w:bottom w:val="none" w:sz="0" w:space="0" w:color="auto"/>
            <w:right w:val="none" w:sz="0" w:space="0" w:color="auto"/>
          </w:divBdr>
        </w:div>
        <w:div w:id="1684163019">
          <w:marLeft w:val="0"/>
          <w:marRight w:val="0"/>
          <w:marTop w:val="0"/>
          <w:marBottom w:val="0"/>
          <w:divBdr>
            <w:top w:val="none" w:sz="0" w:space="0" w:color="auto"/>
            <w:left w:val="none" w:sz="0" w:space="0" w:color="auto"/>
            <w:bottom w:val="none" w:sz="0" w:space="0" w:color="auto"/>
            <w:right w:val="none" w:sz="0" w:space="0" w:color="auto"/>
          </w:divBdr>
        </w:div>
        <w:div w:id="2097093750">
          <w:marLeft w:val="0"/>
          <w:marRight w:val="0"/>
          <w:marTop w:val="0"/>
          <w:marBottom w:val="0"/>
          <w:divBdr>
            <w:top w:val="none" w:sz="0" w:space="0" w:color="auto"/>
            <w:left w:val="none" w:sz="0" w:space="0" w:color="auto"/>
            <w:bottom w:val="none" w:sz="0" w:space="0" w:color="auto"/>
            <w:right w:val="none" w:sz="0" w:space="0" w:color="auto"/>
          </w:divBdr>
        </w:div>
        <w:div w:id="1630739274">
          <w:marLeft w:val="0"/>
          <w:marRight w:val="0"/>
          <w:marTop w:val="0"/>
          <w:marBottom w:val="0"/>
          <w:divBdr>
            <w:top w:val="none" w:sz="0" w:space="0" w:color="auto"/>
            <w:left w:val="none" w:sz="0" w:space="0" w:color="auto"/>
            <w:bottom w:val="none" w:sz="0" w:space="0" w:color="auto"/>
            <w:right w:val="none" w:sz="0" w:space="0" w:color="auto"/>
          </w:divBdr>
        </w:div>
        <w:div w:id="1783644088">
          <w:marLeft w:val="0"/>
          <w:marRight w:val="0"/>
          <w:marTop w:val="0"/>
          <w:marBottom w:val="0"/>
          <w:divBdr>
            <w:top w:val="none" w:sz="0" w:space="0" w:color="auto"/>
            <w:left w:val="none" w:sz="0" w:space="0" w:color="auto"/>
            <w:bottom w:val="none" w:sz="0" w:space="0" w:color="auto"/>
            <w:right w:val="none" w:sz="0" w:space="0" w:color="auto"/>
          </w:divBdr>
        </w:div>
        <w:div w:id="547183107">
          <w:marLeft w:val="0"/>
          <w:marRight w:val="0"/>
          <w:marTop w:val="0"/>
          <w:marBottom w:val="0"/>
          <w:divBdr>
            <w:top w:val="none" w:sz="0" w:space="0" w:color="auto"/>
            <w:left w:val="none" w:sz="0" w:space="0" w:color="auto"/>
            <w:bottom w:val="none" w:sz="0" w:space="0" w:color="auto"/>
            <w:right w:val="none" w:sz="0" w:space="0" w:color="auto"/>
          </w:divBdr>
        </w:div>
        <w:div w:id="1160541574">
          <w:marLeft w:val="0"/>
          <w:marRight w:val="0"/>
          <w:marTop w:val="0"/>
          <w:marBottom w:val="0"/>
          <w:divBdr>
            <w:top w:val="none" w:sz="0" w:space="0" w:color="auto"/>
            <w:left w:val="none" w:sz="0" w:space="0" w:color="auto"/>
            <w:bottom w:val="none" w:sz="0" w:space="0" w:color="auto"/>
            <w:right w:val="none" w:sz="0" w:space="0" w:color="auto"/>
          </w:divBdr>
        </w:div>
        <w:div w:id="852500717">
          <w:marLeft w:val="0"/>
          <w:marRight w:val="0"/>
          <w:marTop w:val="0"/>
          <w:marBottom w:val="0"/>
          <w:divBdr>
            <w:top w:val="none" w:sz="0" w:space="0" w:color="auto"/>
            <w:left w:val="none" w:sz="0" w:space="0" w:color="auto"/>
            <w:bottom w:val="none" w:sz="0" w:space="0" w:color="auto"/>
            <w:right w:val="none" w:sz="0" w:space="0" w:color="auto"/>
          </w:divBdr>
        </w:div>
        <w:div w:id="1049181482">
          <w:marLeft w:val="0"/>
          <w:marRight w:val="0"/>
          <w:marTop w:val="0"/>
          <w:marBottom w:val="0"/>
          <w:divBdr>
            <w:top w:val="none" w:sz="0" w:space="0" w:color="auto"/>
            <w:left w:val="none" w:sz="0" w:space="0" w:color="auto"/>
            <w:bottom w:val="none" w:sz="0" w:space="0" w:color="auto"/>
            <w:right w:val="none" w:sz="0" w:space="0" w:color="auto"/>
          </w:divBdr>
        </w:div>
        <w:div w:id="452332343">
          <w:marLeft w:val="0"/>
          <w:marRight w:val="0"/>
          <w:marTop w:val="0"/>
          <w:marBottom w:val="0"/>
          <w:divBdr>
            <w:top w:val="none" w:sz="0" w:space="0" w:color="auto"/>
            <w:left w:val="none" w:sz="0" w:space="0" w:color="auto"/>
            <w:bottom w:val="none" w:sz="0" w:space="0" w:color="auto"/>
            <w:right w:val="none" w:sz="0" w:space="0" w:color="auto"/>
          </w:divBdr>
        </w:div>
        <w:div w:id="1392147907">
          <w:marLeft w:val="0"/>
          <w:marRight w:val="0"/>
          <w:marTop w:val="0"/>
          <w:marBottom w:val="0"/>
          <w:divBdr>
            <w:top w:val="none" w:sz="0" w:space="0" w:color="auto"/>
            <w:left w:val="none" w:sz="0" w:space="0" w:color="auto"/>
            <w:bottom w:val="none" w:sz="0" w:space="0" w:color="auto"/>
            <w:right w:val="none" w:sz="0" w:space="0" w:color="auto"/>
          </w:divBdr>
        </w:div>
        <w:div w:id="1440488061">
          <w:marLeft w:val="0"/>
          <w:marRight w:val="0"/>
          <w:marTop w:val="0"/>
          <w:marBottom w:val="0"/>
          <w:divBdr>
            <w:top w:val="none" w:sz="0" w:space="0" w:color="auto"/>
            <w:left w:val="none" w:sz="0" w:space="0" w:color="auto"/>
            <w:bottom w:val="none" w:sz="0" w:space="0" w:color="auto"/>
            <w:right w:val="none" w:sz="0" w:space="0" w:color="auto"/>
          </w:divBdr>
        </w:div>
        <w:div w:id="1339845384">
          <w:marLeft w:val="0"/>
          <w:marRight w:val="0"/>
          <w:marTop w:val="0"/>
          <w:marBottom w:val="0"/>
          <w:divBdr>
            <w:top w:val="none" w:sz="0" w:space="0" w:color="auto"/>
            <w:left w:val="none" w:sz="0" w:space="0" w:color="auto"/>
            <w:bottom w:val="none" w:sz="0" w:space="0" w:color="auto"/>
            <w:right w:val="none" w:sz="0" w:space="0" w:color="auto"/>
          </w:divBdr>
        </w:div>
        <w:div w:id="1098792235">
          <w:marLeft w:val="0"/>
          <w:marRight w:val="0"/>
          <w:marTop w:val="0"/>
          <w:marBottom w:val="0"/>
          <w:divBdr>
            <w:top w:val="none" w:sz="0" w:space="0" w:color="auto"/>
            <w:left w:val="none" w:sz="0" w:space="0" w:color="auto"/>
            <w:bottom w:val="none" w:sz="0" w:space="0" w:color="auto"/>
            <w:right w:val="none" w:sz="0" w:space="0" w:color="auto"/>
          </w:divBdr>
        </w:div>
        <w:div w:id="797720388">
          <w:marLeft w:val="0"/>
          <w:marRight w:val="0"/>
          <w:marTop w:val="0"/>
          <w:marBottom w:val="0"/>
          <w:divBdr>
            <w:top w:val="none" w:sz="0" w:space="0" w:color="auto"/>
            <w:left w:val="none" w:sz="0" w:space="0" w:color="auto"/>
            <w:bottom w:val="none" w:sz="0" w:space="0" w:color="auto"/>
            <w:right w:val="none" w:sz="0" w:space="0" w:color="auto"/>
          </w:divBdr>
        </w:div>
        <w:div w:id="844053415">
          <w:marLeft w:val="0"/>
          <w:marRight w:val="0"/>
          <w:marTop w:val="0"/>
          <w:marBottom w:val="0"/>
          <w:divBdr>
            <w:top w:val="none" w:sz="0" w:space="0" w:color="auto"/>
            <w:left w:val="none" w:sz="0" w:space="0" w:color="auto"/>
            <w:bottom w:val="none" w:sz="0" w:space="0" w:color="auto"/>
            <w:right w:val="none" w:sz="0" w:space="0" w:color="auto"/>
          </w:divBdr>
        </w:div>
        <w:div w:id="535851270">
          <w:marLeft w:val="0"/>
          <w:marRight w:val="0"/>
          <w:marTop w:val="0"/>
          <w:marBottom w:val="0"/>
          <w:divBdr>
            <w:top w:val="none" w:sz="0" w:space="0" w:color="auto"/>
            <w:left w:val="none" w:sz="0" w:space="0" w:color="auto"/>
            <w:bottom w:val="none" w:sz="0" w:space="0" w:color="auto"/>
            <w:right w:val="none" w:sz="0" w:space="0" w:color="auto"/>
          </w:divBdr>
        </w:div>
        <w:div w:id="566957603">
          <w:marLeft w:val="0"/>
          <w:marRight w:val="0"/>
          <w:marTop w:val="0"/>
          <w:marBottom w:val="0"/>
          <w:divBdr>
            <w:top w:val="none" w:sz="0" w:space="0" w:color="auto"/>
            <w:left w:val="none" w:sz="0" w:space="0" w:color="auto"/>
            <w:bottom w:val="none" w:sz="0" w:space="0" w:color="auto"/>
            <w:right w:val="none" w:sz="0" w:space="0" w:color="auto"/>
          </w:divBdr>
        </w:div>
        <w:div w:id="1072310152">
          <w:marLeft w:val="0"/>
          <w:marRight w:val="0"/>
          <w:marTop w:val="0"/>
          <w:marBottom w:val="0"/>
          <w:divBdr>
            <w:top w:val="none" w:sz="0" w:space="0" w:color="auto"/>
            <w:left w:val="none" w:sz="0" w:space="0" w:color="auto"/>
            <w:bottom w:val="none" w:sz="0" w:space="0" w:color="auto"/>
            <w:right w:val="none" w:sz="0" w:space="0" w:color="auto"/>
          </w:divBdr>
        </w:div>
        <w:div w:id="381557716">
          <w:marLeft w:val="0"/>
          <w:marRight w:val="0"/>
          <w:marTop w:val="0"/>
          <w:marBottom w:val="0"/>
          <w:divBdr>
            <w:top w:val="none" w:sz="0" w:space="0" w:color="auto"/>
            <w:left w:val="none" w:sz="0" w:space="0" w:color="auto"/>
            <w:bottom w:val="none" w:sz="0" w:space="0" w:color="auto"/>
            <w:right w:val="none" w:sz="0" w:space="0" w:color="auto"/>
          </w:divBdr>
        </w:div>
      </w:divsChild>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085137">
      <w:bodyDiv w:val="1"/>
      <w:marLeft w:val="0"/>
      <w:marRight w:val="0"/>
      <w:marTop w:val="0"/>
      <w:marBottom w:val="0"/>
      <w:divBdr>
        <w:top w:val="none" w:sz="0" w:space="0" w:color="auto"/>
        <w:left w:val="none" w:sz="0" w:space="0" w:color="auto"/>
        <w:bottom w:val="none" w:sz="0" w:space="0" w:color="auto"/>
        <w:right w:val="none" w:sz="0" w:space="0" w:color="auto"/>
      </w:divBdr>
      <w:divsChild>
        <w:div w:id="301741780">
          <w:marLeft w:val="0"/>
          <w:marRight w:val="0"/>
          <w:marTop w:val="0"/>
          <w:marBottom w:val="0"/>
          <w:divBdr>
            <w:top w:val="none" w:sz="0" w:space="0" w:color="auto"/>
            <w:left w:val="none" w:sz="0" w:space="0" w:color="auto"/>
            <w:bottom w:val="none" w:sz="0" w:space="0" w:color="auto"/>
            <w:right w:val="none" w:sz="0" w:space="0" w:color="auto"/>
          </w:divBdr>
        </w:div>
        <w:div w:id="1938367289">
          <w:marLeft w:val="0"/>
          <w:marRight w:val="0"/>
          <w:marTop w:val="0"/>
          <w:marBottom w:val="0"/>
          <w:divBdr>
            <w:top w:val="none" w:sz="0" w:space="0" w:color="auto"/>
            <w:left w:val="none" w:sz="0" w:space="0" w:color="auto"/>
            <w:bottom w:val="none" w:sz="0" w:space="0" w:color="auto"/>
            <w:right w:val="none" w:sz="0" w:space="0" w:color="auto"/>
          </w:divBdr>
        </w:div>
        <w:div w:id="1516724633">
          <w:marLeft w:val="0"/>
          <w:marRight w:val="0"/>
          <w:marTop w:val="0"/>
          <w:marBottom w:val="0"/>
          <w:divBdr>
            <w:top w:val="none" w:sz="0" w:space="0" w:color="auto"/>
            <w:left w:val="none" w:sz="0" w:space="0" w:color="auto"/>
            <w:bottom w:val="none" w:sz="0" w:space="0" w:color="auto"/>
            <w:right w:val="none" w:sz="0" w:space="0" w:color="auto"/>
          </w:divBdr>
        </w:div>
        <w:div w:id="1147357639">
          <w:marLeft w:val="0"/>
          <w:marRight w:val="0"/>
          <w:marTop w:val="0"/>
          <w:marBottom w:val="0"/>
          <w:divBdr>
            <w:top w:val="none" w:sz="0" w:space="0" w:color="auto"/>
            <w:left w:val="none" w:sz="0" w:space="0" w:color="auto"/>
            <w:bottom w:val="none" w:sz="0" w:space="0" w:color="auto"/>
            <w:right w:val="none" w:sz="0" w:space="0" w:color="auto"/>
          </w:divBdr>
        </w:div>
        <w:div w:id="125709325">
          <w:marLeft w:val="0"/>
          <w:marRight w:val="0"/>
          <w:marTop w:val="0"/>
          <w:marBottom w:val="0"/>
          <w:divBdr>
            <w:top w:val="none" w:sz="0" w:space="0" w:color="auto"/>
            <w:left w:val="none" w:sz="0" w:space="0" w:color="auto"/>
            <w:bottom w:val="none" w:sz="0" w:space="0" w:color="auto"/>
            <w:right w:val="none" w:sz="0" w:space="0" w:color="auto"/>
          </w:divBdr>
        </w:div>
        <w:div w:id="289019580">
          <w:marLeft w:val="0"/>
          <w:marRight w:val="0"/>
          <w:marTop w:val="0"/>
          <w:marBottom w:val="0"/>
          <w:divBdr>
            <w:top w:val="none" w:sz="0" w:space="0" w:color="auto"/>
            <w:left w:val="none" w:sz="0" w:space="0" w:color="auto"/>
            <w:bottom w:val="none" w:sz="0" w:space="0" w:color="auto"/>
            <w:right w:val="none" w:sz="0" w:space="0" w:color="auto"/>
          </w:divBdr>
        </w:div>
        <w:div w:id="894120897">
          <w:marLeft w:val="0"/>
          <w:marRight w:val="0"/>
          <w:marTop w:val="0"/>
          <w:marBottom w:val="0"/>
          <w:divBdr>
            <w:top w:val="none" w:sz="0" w:space="0" w:color="auto"/>
            <w:left w:val="none" w:sz="0" w:space="0" w:color="auto"/>
            <w:bottom w:val="none" w:sz="0" w:space="0" w:color="auto"/>
            <w:right w:val="none" w:sz="0" w:space="0" w:color="auto"/>
          </w:divBdr>
        </w:div>
        <w:div w:id="2071877730">
          <w:marLeft w:val="0"/>
          <w:marRight w:val="0"/>
          <w:marTop w:val="0"/>
          <w:marBottom w:val="0"/>
          <w:divBdr>
            <w:top w:val="none" w:sz="0" w:space="0" w:color="auto"/>
            <w:left w:val="none" w:sz="0" w:space="0" w:color="auto"/>
            <w:bottom w:val="none" w:sz="0" w:space="0" w:color="auto"/>
            <w:right w:val="none" w:sz="0" w:space="0" w:color="auto"/>
          </w:divBdr>
        </w:div>
        <w:div w:id="1031805570">
          <w:marLeft w:val="0"/>
          <w:marRight w:val="0"/>
          <w:marTop w:val="0"/>
          <w:marBottom w:val="0"/>
          <w:divBdr>
            <w:top w:val="none" w:sz="0" w:space="0" w:color="auto"/>
            <w:left w:val="none" w:sz="0" w:space="0" w:color="auto"/>
            <w:bottom w:val="none" w:sz="0" w:space="0" w:color="auto"/>
            <w:right w:val="none" w:sz="0" w:space="0" w:color="auto"/>
          </w:divBdr>
        </w:div>
        <w:div w:id="76444021">
          <w:marLeft w:val="0"/>
          <w:marRight w:val="0"/>
          <w:marTop w:val="0"/>
          <w:marBottom w:val="0"/>
          <w:divBdr>
            <w:top w:val="none" w:sz="0" w:space="0" w:color="auto"/>
            <w:left w:val="none" w:sz="0" w:space="0" w:color="auto"/>
            <w:bottom w:val="none" w:sz="0" w:space="0" w:color="auto"/>
            <w:right w:val="none" w:sz="0" w:space="0" w:color="auto"/>
          </w:divBdr>
        </w:div>
        <w:div w:id="1155488819">
          <w:marLeft w:val="0"/>
          <w:marRight w:val="0"/>
          <w:marTop w:val="0"/>
          <w:marBottom w:val="0"/>
          <w:divBdr>
            <w:top w:val="none" w:sz="0" w:space="0" w:color="auto"/>
            <w:left w:val="none" w:sz="0" w:space="0" w:color="auto"/>
            <w:bottom w:val="none" w:sz="0" w:space="0" w:color="auto"/>
            <w:right w:val="none" w:sz="0" w:space="0" w:color="auto"/>
          </w:divBdr>
        </w:div>
        <w:div w:id="844133731">
          <w:marLeft w:val="0"/>
          <w:marRight w:val="0"/>
          <w:marTop w:val="0"/>
          <w:marBottom w:val="0"/>
          <w:divBdr>
            <w:top w:val="none" w:sz="0" w:space="0" w:color="auto"/>
            <w:left w:val="none" w:sz="0" w:space="0" w:color="auto"/>
            <w:bottom w:val="none" w:sz="0" w:space="0" w:color="auto"/>
            <w:right w:val="none" w:sz="0" w:space="0" w:color="auto"/>
          </w:divBdr>
        </w:div>
        <w:div w:id="289870799">
          <w:marLeft w:val="0"/>
          <w:marRight w:val="0"/>
          <w:marTop w:val="0"/>
          <w:marBottom w:val="0"/>
          <w:divBdr>
            <w:top w:val="none" w:sz="0" w:space="0" w:color="auto"/>
            <w:left w:val="none" w:sz="0" w:space="0" w:color="auto"/>
            <w:bottom w:val="none" w:sz="0" w:space="0" w:color="auto"/>
            <w:right w:val="none" w:sz="0" w:space="0" w:color="auto"/>
          </w:divBdr>
        </w:div>
        <w:div w:id="1978996102">
          <w:marLeft w:val="0"/>
          <w:marRight w:val="0"/>
          <w:marTop w:val="0"/>
          <w:marBottom w:val="0"/>
          <w:divBdr>
            <w:top w:val="none" w:sz="0" w:space="0" w:color="auto"/>
            <w:left w:val="none" w:sz="0" w:space="0" w:color="auto"/>
            <w:bottom w:val="none" w:sz="0" w:space="0" w:color="auto"/>
            <w:right w:val="none" w:sz="0" w:space="0" w:color="auto"/>
          </w:divBdr>
        </w:div>
        <w:div w:id="858010509">
          <w:marLeft w:val="0"/>
          <w:marRight w:val="0"/>
          <w:marTop w:val="0"/>
          <w:marBottom w:val="0"/>
          <w:divBdr>
            <w:top w:val="none" w:sz="0" w:space="0" w:color="auto"/>
            <w:left w:val="none" w:sz="0" w:space="0" w:color="auto"/>
            <w:bottom w:val="none" w:sz="0" w:space="0" w:color="auto"/>
            <w:right w:val="none" w:sz="0" w:space="0" w:color="auto"/>
          </w:divBdr>
        </w:div>
        <w:div w:id="1308048815">
          <w:marLeft w:val="0"/>
          <w:marRight w:val="0"/>
          <w:marTop w:val="0"/>
          <w:marBottom w:val="0"/>
          <w:divBdr>
            <w:top w:val="none" w:sz="0" w:space="0" w:color="auto"/>
            <w:left w:val="none" w:sz="0" w:space="0" w:color="auto"/>
            <w:bottom w:val="none" w:sz="0" w:space="0" w:color="auto"/>
            <w:right w:val="none" w:sz="0" w:space="0" w:color="auto"/>
          </w:divBdr>
        </w:div>
        <w:div w:id="2016491252">
          <w:marLeft w:val="0"/>
          <w:marRight w:val="0"/>
          <w:marTop w:val="0"/>
          <w:marBottom w:val="0"/>
          <w:divBdr>
            <w:top w:val="none" w:sz="0" w:space="0" w:color="auto"/>
            <w:left w:val="none" w:sz="0" w:space="0" w:color="auto"/>
            <w:bottom w:val="none" w:sz="0" w:space="0" w:color="auto"/>
            <w:right w:val="none" w:sz="0" w:space="0" w:color="auto"/>
          </w:divBdr>
        </w:div>
        <w:div w:id="1389571458">
          <w:marLeft w:val="0"/>
          <w:marRight w:val="0"/>
          <w:marTop w:val="0"/>
          <w:marBottom w:val="0"/>
          <w:divBdr>
            <w:top w:val="none" w:sz="0" w:space="0" w:color="auto"/>
            <w:left w:val="none" w:sz="0" w:space="0" w:color="auto"/>
            <w:bottom w:val="none" w:sz="0" w:space="0" w:color="auto"/>
            <w:right w:val="none" w:sz="0" w:space="0" w:color="auto"/>
          </w:divBdr>
        </w:div>
        <w:div w:id="1773550425">
          <w:marLeft w:val="0"/>
          <w:marRight w:val="0"/>
          <w:marTop w:val="0"/>
          <w:marBottom w:val="0"/>
          <w:divBdr>
            <w:top w:val="none" w:sz="0" w:space="0" w:color="auto"/>
            <w:left w:val="none" w:sz="0" w:space="0" w:color="auto"/>
            <w:bottom w:val="none" w:sz="0" w:space="0" w:color="auto"/>
            <w:right w:val="none" w:sz="0" w:space="0" w:color="auto"/>
          </w:divBdr>
        </w:div>
        <w:div w:id="1625765449">
          <w:marLeft w:val="0"/>
          <w:marRight w:val="0"/>
          <w:marTop w:val="0"/>
          <w:marBottom w:val="0"/>
          <w:divBdr>
            <w:top w:val="none" w:sz="0" w:space="0" w:color="auto"/>
            <w:left w:val="none" w:sz="0" w:space="0" w:color="auto"/>
            <w:bottom w:val="none" w:sz="0" w:space="0" w:color="auto"/>
            <w:right w:val="none" w:sz="0" w:space="0" w:color="auto"/>
          </w:divBdr>
        </w:div>
        <w:div w:id="527841031">
          <w:marLeft w:val="0"/>
          <w:marRight w:val="0"/>
          <w:marTop w:val="0"/>
          <w:marBottom w:val="0"/>
          <w:divBdr>
            <w:top w:val="none" w:sz="0" w:space="0" w:color="auto"/>
            <w:left w:val="none" w:sz="0" w:space="0" w:color="auto"/>
            <w:bottom w:val="none" w:sz="0" w:space="0" w:color="auto"/>
            <w:right w:val="none" w:sz="0" w:space="0" w:color="auto"/>
          </w:divBdr>
        </w:div>
        <w:div w:id="801850999">
          <w:marLeft w:val="0"/>
          <w:marRight w:val="0"/>
          <w:marTop w:val="0"/>
          <w:marBottom w:val="0"/>
          <w:divBdr>
            <w:top w:val="none" w:sz="0" w:space="0" w:color="auto"/>
            <w:left w:val="none" w:sz="0" w:space="0" w:color="auto"/>
            <w:bottom w:val="none" w:sz="0" w:space="0" w:color="auto"/>
            <w:right w:val="none" w:sz="0" w:space="0" w:color="auto"/>
          </w:divBdr>
        </w:div>
        <w:div w:id="1559242292">
          <w:marLeft w:val="0"/>
          <w:marRight w:val="0"/>
          <w:marTop w:val="0"/>
          <w:marBottom w:val="0"/>
          <w:divBdr>
            <w:top w:val="none" w:sz="0" w:space="0" w:color="auto"/>
            <w:left w:val="none" w:sz="0" w:space="0" w:color="auto"/>
            <w:bottom w:val="none" w:sz="0" w:space="0" w:color="auto"/>
            <w:right w:val="none" w:sz="0" w:space="0" w:color="auto"/>
          </w:divBdr>
        </w:div>
        <w:div w:id="747313189">
          <w:marLeft w:val="0"/>
          <w:marRight w:val="0"/>
          <w:marTop w:val="0"/>
          <w:marBottom w:val="0"/>
          <w:divBdr>
            <w:top w:val="none" w:sz="0" w:space="0" w:color="auto"/>
            <w:left w:val="none" w:sz="0" w:space="0" w:color="auto"/>
            <w:bottom w:val="none" w:sz="0" w:space="0" w:color="auto"/>
            <w:right w:val="none" w:sz="0" w:space="0" w:color="auto"/>
          </w:divBdr>
        </w:div>
        <w:div w:id="1354574469">
          <w:marLeft w:val="0"/>
          <w:marRight w:val="0"/>
          <w:marTop w:val="0"/>
          <w:marBottom w:val="0"/>
          <w:divBdr>
            <w:top w:val="none" w:sz="0" w:space="0" w:color="auto"/>
            <w:left w:val="none" w:sz="0" w:space="0" w:color="auto"/>
            <w:bottom w:val="none" w:sz="0" w:space="0" w:color="auto"/>
            <w:right w:val="none" w:sz="0" w:space="0" w:color="auto"/>
          </w:divBdr>
        </w:div>
        <w:div w:id="991832233">
          <w:marLeft w:val="0"/>
          <w:marRight w:val="0"/>
          <w:marTop w:val="0"/>
          <w:marBottom w:val="0"/>
          <w:divBdr>
            <w:top w:val="none" w:sz="0" w:space="0" w:color="auto"/>
            <w:left w:val="none" w:sz="0" w:space="0" w:color="auto"/>
            <w:bottom w:val="none" w:sz="0" w:space="0" w:color="auto"/>
            <w:right w:val="none" w:sz="0" w:space="0" w:color="auto"/>
          </w:divBdr>
        </w:div>
        <w:div w:id="1875578822">
          <w:marLeft w:val="0"/>
          <w:marRight w:val="0"/>
          <w:marTop w:val="0"/>
          <w:marBottom w:val="0"/>
          <w:divBdr>
            <w:top w:val="none" w:sz="0" w:space="0" w:color="auto"/>
            <w:left w:val="none" w:sz="0" w:space="0" w:color="auto"/>
            <w:bottom w:val="none" w:sz="0" w:space="0" w:color="auto"/>
            <w:right w:val="none" w:sz="0" w:space="0" w:color="auto"/>
          </w:divBdr>
        </w:div>
        <w:div w:id="846869653">
          <w:marLeft w:val="0"/>
          <w:marRight w:val="0"/>
          <w:marTop w:val="0"/>
          <w:marBottom w:val="0"/>
          <w:divBdr>
            <w:top w:val="none" w:sz="0" w:space="0" w:color="auto"/>
            <w:left w:val="none" w:sz="0" w:space="0" w:color="auto"/>
            <w:bottom w:val="none" w:sz="0" w:space="0" w:color="auto"/>
            <w:right w:val="none" w:sz="0" w:space="0" w:color="auto"/>
          </w:divBdr>
        </w:div>
        <w:div w:id="1064597147">
          <w:marLeft w:val="0"/>
          <w:marRight w:val="0"/>
          <w:marTop w:val="0"/>
          <w:marBottom w:val="0"/>
          <w:divBdr>
            <w:top w:val="none" w:sz="0" w:space="0" w:color="auto"/>
            <w:left w:val="none" w:sz="0" w:space="0" w:color="auto"/>
            <w:bottom w:val="none" w:sz="0" w:space="0" w:color="auto"/>
            <w:right w:val="none" w:sz="0" w:space="0" w:color="auto"/>
          </w:divBdr>
        </w:div>
        <w:div w:id="1267541744">
          <w:marLeft w:val="0"/>
          <w:marRight w:val="0"/>
          <w:marTop w:val="0"/>
          <w:marBottom w:val="0"/>
          <w:divBdr>
            <w:top w:val="none" w:sz="0" w:space="0" w:color="auto"/>
            <w:left w:val="none" w:sz="0" w:space="0" w:color="auto"/>
            <w:bottom w:val="none" w:sz="0" w:space="0" w:color="auto"/>
            <w:right w:val="none" w:sz="0" w:space="0" w:color="auto"/>
          </w:divBdr>
        </w:div>
        <w:div w:id="1652980970">
          <w:marLeft w:val="0"/>
          <w:marRight w:val="0"/>
          <w:marTop w:val="0"/>
          <w:marBottom w:val="0"/>
          <w:divBdr>
            <w:top w:val="none" w:sz="0" w:space="0" w:color="auto"/>
            <w:left w:val="none" w:sz="0" w:space="0" w:color="auto"/>
            <w:bottom w:val="none" w:sz="0" w:space="0" w:color="auto"/>
            <w:right w:val="none" w:sz="0" w:space="0" w:color="auto"/>
          </w:divBdr>
        </w:div>
        <w:div w:id="1087076062">
          <w:marLeft w:val="0"/>
          <w:marRight w:val="0"/>
          <w:marTop w:val="0"/>
          <w:marBottom w:val="0"/>
          <w:divBdr>
            <w:top w:val="none" w:sz="0" w:space="0" w:color="auto"/>
            <w:left w:val="none" w:sz="0" w:space="0" w:color="auto"/>
            <w:bottom w:val="none" w:sz="0" w:space="0" w:color="auto"/>
            <w:right w:val="none" w:sz="0" w:space="0" w:color="auto"/>
          </w:divBdr>
        </w:div>
        <w:div w:id="1356615470">
          <w:marLeft w:val="0"/>
          <w:marRight w:val="0"/>
          <w:marTop w:val="0"/>
          <w:marBottom w:val="0"/>
          <w:divBdr>
            <w:top w:val="none" w:sz="0" w:space="0" w:color="auto"/>
            <w:left w:val="none" w:sz="0" w:space="0" w:color="auto"/>
            <w:bottom w:val="none" w:sz="0" w:space="0" w:color="auto"/>
            <w:right w:val="none" w:sz="0" w:space="0" w:color="auto"/>
          </w:divBdr>
        </w:div>
        <w:div w:id="685909580">
          <w:marLeft w:val="0"/>
          <w:marRight w:val="0"/>
          <w:marTop w:val="0"/>
          <w:marBottom w:val="0"/>
          <w:divBdr>
            <w:top w:val="none" w:sz="0" w:space="0" w:color="auto"/>
            <w:left w:val="none" w:sz="0" w:space="0" w:color="auto"/>
            <w:bottom w:val="none" w:sz="0" w:space="0" w:color="auto"/>
            <w:right w:val="none" w:sz="0" w:space="0" w:color="auto"/>
          </w:divBdr>
        </w:div>
        <w:div w:id="1034421791">
          <w:marLeft w:val="0"/>
          <w:marRight w:val="0"/>
          <w:marTop w:val="0"/>
          <w:marBottom w:val="0"/>
          <w:divBdr>
            <w:top w:val="none" w:sz="0" w:space="0" w:color="auto"/>
            <w:left w:val="none" w:sz="0" w:space="0" w:color="auto"/>
            <w:bottom w:val="none" w:sz="0" w:space="0" w:color="auto"/>
            <w:right w:val="none" w:sz="0" w:space="0" w:color="auto"/>
          </w:divBdr>
        </w:div>
        <w:div w:id="1586382447">
          <w:marLeft w:val="0"/>
          <w:marRight w:val="0"/>
          <w:marTop w:val="0"/>
          <w:marBottom w:val="0"/>
          <w:divBdr>
            <w:top w:val="none" w:sz="0" w:space="0" w:color="auto"/>
            <w:left w:val="none" w:sz="0" w:space="0" w:color="auto"/>
            <w:bottom w:val="none" w:sz="0" w:space="0" w:color="auto"/>
            <w:right w:val="none" w:sz="0" w:space="0" w:color="auto"/>
          </w:divBdr>
        </w:div>
        <w:div w:id="484929344">
          <w:marLeft w:val="0"/>
          <w:marRight w:val="0"/>
          <w:marTop w:val="0"/>
          <w:marBottom w:val="0"/>
          <w:divBdr>
            <w:top w:val="none" w:sz="0" w:space="0" w:color="auto"/>
            <w:left w:val="none" w:sz="0" w:space="0" w:color="auto"/>
            <w:bottom w:val="none" w:sz="0" w:space="0" w:color="auto"/>
            <w:right w:val="none" w:sz="0" w:space="0" w:color="auto"/>
          </w:divBdr>
        </w:div>
        <w:div w:id="628164716">
          <w:marLeft w:val="0"/>
          <w:marRight w:val="0"/>
          <w:marTop w:val="0"/>
          <w:marBottom w:val="0"/>
          <w:divBdr>
            <w:top w:val="none" w:sz="0" w:space="0" w:color="auto"/>
            <w:left w:val="none" w:sz="0" w:space="0" w:color="auto"/>
            <w:bottom w:val="none" w:sz="0" w:space="0" w:color="auto"/>
            <w:right w:val="none" w:sz="0" w:space="0" w:color="auto"/>
          </w:divBdr>
        </w:div>
        <w:div w:id="296422423">
          <w:marLeft w:val="0"/>
          <w:marRight w:val="0"/>
          <w:marTop w:val="0"/>
          <w:marBottom w:val="0"/>
          <w:divBdr>
            <w:top w:val="none" w:sz="0" w:space="0" w:color="auto"/>
            <w:left w:val="none" w:sz="0" w:space="0" w:color="auto"/>
            <w:bottom w:val="none" w:sz="0" w:space="0" w:color="auto"/>
            <w:right w:val="none" w:sz="0" w:space="0" w:color="auto"/>
          </w:divBdr>
        </w:div>
        <w:div w:id="1242519840">
          <w:marLeft w:val="0"/>
          <w:marRight w:val="0"/>
          <w:marTop w:val="0"/>
          <w:marBottom w:val="0"/>
          <w:divBdr>
            <w:top w:val="none" w:sz="0" w:space="0" w:color="auto"/>
            <w:left w:val="none" w:sz="0" w:space="0" w:color="auto"/>
            <w:bottom w:val="none" w:sz="0" w:space="0" w:color="auto"/>
            <w:right w:val="none" w:sz="0" w:space="0" w:color="auto"/>
          </w:divBdr>
        </w:div>
        <w:div w:id="1202206894">
          <w:marLeft w:val="0"/>
          <w:marRight w:val="0"/>
          <w:marTop w:val="0"/>
          <w:marBottom w:val="0"/>
          <w:divBdr>
            <w:top w:val="none" w:sz="0" w:space="0" w:color="auto"/>
            <w:left w:val="none" w:sz="0" w:space="0" w:color="auto"/>
            <w:bottom w:val="none" w:sz="0" w:space="0" w:color="auto"/>
            <w:right w:val="none" w:sz="0" w:space="0" w:color="auto"/>
          </w:divBdr>
        </w:div>
        <w:div w:id="52704705">
          <w:marLeft w:val="0"/>
          <w:marRight w:val="0"/>
          <w:marTop w:val="0"/>
          <w:marBottom w:val="0"/>
          <w:divBdr>
            <w:top w:val="none" w:sz="0" w:space="0" w:color="auto"/>
            <w:left w:val="none" w:sz="0" w:space="0" w:color="auto"/>
            <w:bottom w:val="none" w:sz="0" w:space="0" w:color="auto"/>
            <w:right w:val="none" w:sz="0" w:space="0" w:color="auto"/>
          </w:divBdr>
        </w:div>
        <w:div w:id="1004937894">
          <w:marLeft w:val="0"/>
          <w:marRight w:val="0"/>
          <w:marTop w:val="0"/>
          <w:marBottom w:val="0"/>
          <w:divBdr>
            <w:top w:val="none" w:sz="0" w:space="0" w:color="auto"/>
            <w:left w:val="none" w:sz="0" w:space="0" w:color="auto"/>
            <w:bottom w:val="none" w:sz="0" w:space="0" w:color="auto"/>
            <w:right w:val="none" w:sz="0" w:space="0" w:color="auto"/>
          </w:divBdr>
        </w:div>
        <w:div w:id="1410349238">
          <w:marLeft w:val="0"/>
          <w:marRight w:val="0"/>
          <w:marTop w:val="0"/>
          <w:marBottom w:val="0"/>
          <w:divBdr>
            <w:top w:val="none" w:sz="0" w:space="0" w:color="auto"/>
            <w:left w:val="none" w:sz="0" w:space="0" w:color="auto"/>
            <w:bottom w:val="none" w:sz="0" w:space="0" w:color="auto"/>
            <w:right w:val="none" w:sz="0" w:space="0" w:color="auto"/>
          </w:divBdr>
        </w:div>
        <w:div w:id="691805507">
          <w:marLeft w:val="0"/>
          <w:marRight w:val="0"/>
          <w:marTop w:val="0"/>
          <w:marBottom w:val="0"/>
          <w:divBdr>
            <w:top w:val="none" w:sz="0" w:space="0" w:color="auto"/>
            <w:left w:val="none" w:sz="0" w:space="0" w:color="auto"/>
            <w:bottom w:val="none" w:sz="0" w:space="0" w:color="auto"/>
            <w:right w:val="none" w:sz="0" w:space="0" w:color="auto"/>
          </w:divBdr>
        </w:div>
        <w:div w:id="317808660">
          <w:marLeft w:val="0"/>
          <w:marRight w:val="0"/>
          <w:marTop w:val="0"/>
          <w:marBottom w:val="0"/>
          <w:divBdr>
            <w:top w:val="none" w:sz="0" w:space="0" w:color="auto"/>
            <w:left w:val="none" w:sz="0" w:space="0" w:color="auto"/>
            <w:bottom w:val="none" w:sz="0" w:space="0" w:color="auto"/>
            <w:right w:val="none" w:sz="0" w:space="0" w:color="auto"/>
          </w:divBdr>
        </w:div>
        <w:div w:id="133570739">
          <w:marLeft w:val="0"/>
          <w:marRight w:val="0"/>
          <w:marTop w:val="0"/>
          <w:marBottom w:val="0"/>
          <w:divBdr>
            <w:top w:val="none" w:sz="0" w:space="0" w:color="auto"/>
            <w:left w:val="none" w:sz="0" w:space="0" w:color="auto"/>
            <w:bottom w:val="none" w:sz="0" w:space="0" w:color="auto"/>
            <w:right w:val="none" w:sz="0" w:space="0" w:color="auto"/>
          </w:divBdr>
        </w:div>
        <w:div w:id="7021957">
          <w:marLeft w:val="0"/>
          <w:marRight w:val="0"/>
          <w:marTop w:val="0"/>
          <w:marBottom w:val="0"/>
          <w:divBdr>
            <w:top w:val="none" w:sz="0" w:space="0" w:color="auto"/>
            <w:left w:val="none" w:sz="0" w:space="0" w:color="auto"/>
            <w:bottom w:val="none" w:sz="0" w:space="0" w:color="auto"/>
            <w:right w:val="none" w:sz="0" w:space="0" w:color="auto"/>
          </w:divBdr>
        </w:div>
        <w:div w:id="1632442627">
          <w:marLeft w:val="0"/>
          <w:marRight w:val="0"/>
          <w:marTop w:val="0"/>
          <w:marBottom w:val="0"/>
          <w:divBdr>
            <w:top w:val="none" w:sz="0" w:space="0" w:color="auto"/>
            <w:left w:val="none" w:sz="0" w:space="0" w:color="auto"/>
            <w:bottom w:val="none" w:sz="0" w:space="0" w:color="auto"/>
            <w:right w:val="none" w:sz="0" w:space="0" w:color="auto"/>
          </w:divBdr>
        </w:div>
        <w:div w:id="361563784">
          <w:marLeft w:val="0"/>
          <w:marRight w:val="0"/>
          <w:marTop w:val="0"/>
          <w:marBottom w:val="0"/>
          <w:divBdr>
            <w:top w:val="none" w:sz="0" w:space="0" w:color="auto"/>
            <w:left w:val="none" w:sz="0" w:space="0" w:color="auto"/>
            <w:bottom w:val="none" w:sz="0" w:space="0" w:color="auto"/>
            <w:right w:val="none" w:sz="0" w:space="0" w:color="auto"/>
          </w:divBdr>
        </w:div>
        <w:div w:id="467357948">
          <w:marLeft w:val="0"/>
          <w:marRight w:val="0"/>
          <w:marTop w:val="0"/>
          <w:marBottom w:val="0"/>
          <w:divBdr>
            <w:top w:val="none" w:sz="0" w:space="0" w:color="auto"/>
            <w:left w:val="none" w:sz="0" w:space="0" w:color="auto"/>
            <w:bottom w:val="none" w:sz="0" w:space="0" w:color="auto"/>
            <w:right w:val="none" w:sz="0" w:space="0" w:color="auto"/>
          </w:divBdr>
        </w:div>
        <w:div w:id="2046367823">
          <w:marLeft w:val="0"/>
          <w:marRight w:val="0"/>
          <w:marTop w:val="0"/>
          <w:marBottom w:val="0"/>
          <w:divBdr>
            <w:top w:val="none" w:sz="0" w:space="0" w:color="auto"/>
            <w:left w:val="none" w:sz="0" w:space="0" w:color="auto"/>
            <w:bottom w:val="none" w:sz="0" w:space="0" w:color="auto"/>
            <w:right w:val="none" w:sz="0" w:space="0" w:color="auto"/>
          </w:divBdr>
        </w:div>
        <w:div w:id="461659780">
          <w:marLeft w:val="0"/>
          <w:marRight w:val="0"/>
          <w:marTop w:val="0"/>
          <w:marBottom w:val="0"/>
          <w:divBdr>
            <w:top w:val="none" w:sz="0" w:space="0" w:color="auto"/>
            <w:left w:val="none" w:sz="0" w:space="0" w:color="auto"/>
            <w:bottom w:val="none" w:sz="0" w:space="0" w:color="auto"/>
            <w:right w:val="none" w:sz="0" w:space="0" w:color="auto"/>
          </w:divBdr>
        </w:div>
        <w:div w:id="400182160">
          <w:marLeft w:val="0"/>
          <w:marRight w:val="0"/>
          <w:marTop w:val="0"/>
          <w:marBottom w:val="0"/>
          <w:divBdr>
            <w:top w:val="none" w:sz="0" w:space="0" w:color="auto"/>
            <w:left w:val="none" w:sz="0" w:space="0" w:color="auto"/>
            <w:bottom w:val="none" w:sz="0" w:space="0" w:color="auto"/>
            <w:right w:val="none" w:sz="0" w:space="0" w:color="auto"/>
          </w:divBdr>
        </w:div>
        <w:div w:id="1980763210">
          <w:marLeft w:val="0"/>
          <w:marRight w:val="0"/>
          <w:marTop w:val="0"/>
          <w:marBottom w:val="0"/>
          <w:divBdr>
            <w:top w:val="none" w:sz="0" w:space="0" w:color="auto"/>
            <w:left w:val="none" w:sz="0" w:space="0" w:color="auto"/>
            <w:bottom w:val="none" w:sz="0" w:space="0" w:color="auto"/>
            <w:right w:val="none" w:sz="0" w:space="0" w:color="auto"/>
          </w:divBdr>
        </w:div>
        <w:div w:id="1983730943">
          <w:marLeft w:val="0"/>
          <w:marRight w:val="0"/>
          <w:marTop w:val="0"/>
          <w:marBottom w:val="0"/>
          <w:divBdr>
            <w:top w:val="none" w:sz="0" w:space="0" w:color="auto"/>
            <w:left w:val="none" w:sz="0" w:space="0" w:color="auto"/>
            <w:bottom w:val="none" w:sz="0" w:space="0" w:color="auto"/>
            <w:right w:val="none" w:sz="0" w:space="0" w:color="auto"/>
          </w:divBdr>
        </w:div>
        <w:div w:id="1753308278">
          <w:marLeft w:val="0"/>
          <w:marRight w:val="0"/>
          <w:marTop w:val="0"/>
          <w:marBottom w:val="0"/>
          <w:divBdr>
            <w:top w:val="none" w:sz="0" w:space="0" w:color="auto"/>
            <w:left w:val="none" w:sz="0" w:space="0" w:color="auto"/>
            <w:bottom w:val="none" w:sz="0" w:space="0" w:color="auto"/>
            <w:right w:val="none" w:sz="0" w:space="0" w:color="auto"/>
          </w:divBdr>
        </w:div>
        <w:div w:id="807478964">
          <w:marLeft w:val="0"/>
          <w:marRight w:val="0"/>
          <w:marTop w:val="0"/>
          <w:marBottom w:val="0"/>
          <w:divBdr>
            <w:top w:val="none" w:sz="0" w:space="0" w:color="auto"/>
            <w:left w:val="none" w:sz="0" w:space="0" w:color="auto"/>
            <w:bottom w:val="none" w:sz="0" w:space="0" w:color="auto"/>
            <w:right w:val="none" w:sz="0" w:space="0" w:color="auto"/>
          </w:divBdr>
        </w:div>
        <w:div w:id="1274022935">
          <w:marLeft w:val="0"/>
          <w:marRight w:val="0"/>
          <w:marTop w:val="0"/>
          <w:marBottom w:val="0"/>
          <w:divBdr>
            <w:top w:val="none" w:sz="0" w:space="0" w:color="auto"/>
            <w:left w:val="none" w:sz="0" w:space="0" w:color="auto"/>
            <w:bottom w:val="none" w:sz="0" w:space="0" w:color="auto"/>
            <w:right w:val="none" w:sz="0" w:space="0" w:color="auto"/>
          </w:divBdr>
        </w:div>
        <w:div w:id="1719546390">
          <w:marLeft w:val="0"/>
          <w:marRight w:val="0"/>
          <w:marTop w:val="0"/>
          <w:marBottom w:val="0"/>
          <w:divBdr>
            <w:top w:val="none" w:sz="0" w:space="0" w:color="auto"/>
            <w:left w:val="none" w:sz="0" w:space="0" w:color="auto"/>
            <w:bottom w:val="none" w:sz="0" w:space="0" w:color="auto"/>
            <w:right w:val="none" w:sz="0" w:space="0" w:color="auto"/>
          </w:divBdr>
        </w:div>
        <w:div w:id="85804631">
          <w:marLeft w:val="0"/>
          <w:marRight w:val="0"/>
          <w:marTop w:val="0"/>
          <w:marBottom w:val="0"/>
          <w:divBdr>
            <w:top w:val="none" w:sz="0" w:space="0" w:color="auto"/>
            <w:left w:val="none" w:sz="0" w:space="0" w:color="auto"/>
            <w:bottom w:val="none" w:sz="0" w:space="0" w:color="auto"/>
            <w:right w:val="none" w:sz="0" w:space="0" w:color="auto"/>
          </w:divBdr>
        </w:div>
      </w:divsChild>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5013090">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9720200">
      <w:bodyDiv w:val="1"/>
      <w:marLeft w:val="0"/>
      <w:marRight w:val="0"/>
      <w:marTop w:val="0"/>
      <w:marBottom w:val="0"/>
      <w:divBdr>
        <w:top w:val="none" w:sz="0" w:space="0" w:color="auto"/>
        <w:left w:val="none" w:sz="0" w:space="0" w:color="auto"/>
        <w:bottom w:val="none" w:sz="0" w:space="0" w:color="auto"/>
        <w:right w:val="none" w:sz="0" w:space="0" w:color="auto"/>
      </w:divBdr>
      <w:divsChild>
        <w:div w:id="1347363044">
          <w:marLeft w:val="0"/>
          <w:marRight w:val="0"/>
          <w:marTop w:val="0"/>
          <w:marBottom w:val="0"/>
          <w:divBdr>
            <w:top w:val="none" w:sz="0" w:space="0" w:color="auto"/>
            <w:left w:val="none" w:sz="0" w:space="0" w:color="auto"/>
            <w:bottom w:val="none" w:sz="0" w:space="0" w:color="auto"/>
            <w:right w:val="none" w:sz="0" w:space="0" w:color="auto"/>
          </w:divBdr>
        </w:div>
        <w:div w:id="1549534829">
          <w:marLeft w:val="0"/>
          <w:marRight w:val="0"/>
          <w:marTop w:val="0"/>
          <w:marBottom w:val="0"/>
          <w:divBdr>
            <w:top w:val="none" w:sz="0" w:space="0" w:color="auto"/>
            <w:left w:val="none" w:sz="0" w:space="0" w:color="auto"/>
            <w:bottom w:val="none" w:sz="0" w:space="0" w:color="auto"/>
            <w:right w:val="none" w:sz="0" w:space="0" w:color="auto"/>
          </w:divBdr>
        </w:div>
        <w:div w:id="2057390198">
          <w:marLeft w:val="0"/>
          <w:marRight w:val="0"/>
          <w:marTop w:val="0"/>
          <w:marBottom w:val="0"/>
          <w:divBdr>
            <w:top w:val="none" w:sz="0" w:space="0" w:color="auto"/>
            <w:left w:val="none" w:sz="0" w:space="0" w:color="auto"/>
            <w:bottom w:val="none" w:sz="0" w:space="0" w:color="auto"/>
            <w:right w:val="none" w:sz="0" w:space="0" w:color="auto"/>
          </w:divBdr>
        </w:div>
        <w:div w:id="1743679429">
          <w:marLeft w:val="0"/>
          <w:marRight w:val="0"/>
          <w:marTop w:val="0"/>
          <w:marBottom w:val="0"/>
          <w:divBdr>
            <w:top w:val="none" w:sz="0" w:space="0" w:color="auto"/>
            <w:left w:val="none" w:sz="0" w:space="0" w:color="auto"/>
            <w:bottom w:val="none" w:sz="0" w:space="0" w:color="auto"/>
            <w:right w:val="none" w:sz="0" w:space="0" w:color="auto"/>
          </w:divBdr>
        </w:div>
        <w:div w:id="2027749545">
          <w:marLeft w:val="0"/>
          <w:marRight w:val="0"/>
          <w:marTop w:val="0"/>
          <w:marBottom w:val="0"/>
          <w:divBdr>
            <w:top w:val="none" w:sz="0" w:space="0" w:color="auto"/>
            <w:left w:val="none" w:sz="0" w:space="0" w:color="auto"/>
            <w:bottom w:val="none" w:sz="0" w:space="0" w:color="auto"/>
            <w:right w:val="none" w:sz="0" w:space="0" w:color="auto"/>
          </w:divBdr>
        </w:div>
        <w:div w:id="1352486835">
          <w:marLeft w:val="0"/>
          <w:marRight w:val="0"/>
          <w:marTop w:val="0"/>
          <w:marBottom w:val="0"/>
          <w:divBdr>
            <w:top w:val="none" w:sz="0" w:space="0" w:color="auto"/>
            <w:left w:val="none" w:sz="0" w:space="0" w:color="auto"/>
            <w:bottom w:val="none" w:sz="0" w:space="0" w:color="auto"/>
            <w:right w:val="none" w:sz="0" w:space="0" w:color="auto"/>
          </w:divBdr>
        </w:div>
        <w:div w:id="848905424">
          <w:marLeft w:val="0"/>
          <w:marRight w:val="0"/>
          <w:marTop w:val="0"/>
          <w:marBottom w:val="0"/>
          <w:divBdr>
            <w:top w:val="none" w:sz="0" w:space="0" w:color="auto"/>
            <w:left w:val="none" w:sz="0" w:space="0" w:color="auto"/>
            <w:bottom w:val="none" w:sz="0" w:space="0" w:color="auto"/>
            <w:right w:val="none" w:sz="0" w:space="0" w:color="auto"/>
          </w:divBdr>
        </w:div>
        <w:div w:id="2109152825">
          <w:marLeft w:val="0"/>
          <w:marRight w:val="0"/>
          <w:marTop w:val="0"/>
          <w:marBottom w:val="0"/>
          <w:divBdr>
            <w:top w:val="none" w:sz="0" w:space="0" w:color="auto"/>
            <w:left w:val="none" w:sz="0" w:space="0" w:color="auto"/>
            <w:bottom w:val="none" w:sz="0" w:space="0" w:color="auto"/>
            <w:right w:val="none" w:sz="0" w:space="0" w:color="auto"/>
          </w:divBdr>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68888788">
      <w:bodyDiv w:val="1"/>
      <w:marLeft w:val="0"/>
      <w:marRight w:val="0"/>
      <w:marTop w:val="0"/>
      <w:marBottom w:val="0"/>
      <w:divBdr>
        <w:top w:val="none" w:sz="0" w:space="0" w:color="auto"/>
        <w:left w:val="none" w:sz="0" w:space="0" w:color="auto"/>
        <w:bottom w:val="none" w:sz="0" w:space="0" w:color="auto"/>
        <w:right w:val="none" w:sz="0" w:space="0" w:color="auto"/>
      </w:divBdr>
      <w:divsChild>
        <w:div w:id="1012220147">
          <w:marLeft w:val="0"/>
          <w:marRight w:val="0"/>
          <w:marTop w:val="0"/>
          <w:marBottom w:val="0"/>
          <w:divBdr>
            <w:top w:val="none" w:sz="0" w:space="0" w:color="auto"/>
            <w:left w:val="none" w:sz="0" w:space="0" w:color="auto"/>
            <w:bottom w:val="none" w:sz="0" w:space="0" w:color="auto"/>
            <w:right w:val="none" w:sz="0" w:space="0" w:color="auto"/>
          </w:divBdr>
        </w:div>
        <w:div w:id="1225339875">
          <w:marLeft w:val="0"/>
          <w:marRight w:val="0"/>
          <w:marTop w:val="0"/>
          <w:marBottom w:val="0"/>
          <w:divBdr>
            <w:top w:val="none" w:sz="0" w:space="0" w:color="auto"/>
            <w:left w:val="none" w:sz="0" w:space="0" w:color="auto"/>
            <w:bottom w:val="none" w:sz="0" w:space="0" w:color="auto"/>
            <w:right w:val="none" w:sz="0" w:space="0" w:color="auto"/>
          </w:divBdr>
        </w:div>
        <w:div w:id="732002470">
          <w:marLeft w:val="0"/>
          <w:marRight w:val="0"/>
          <w:marTop w:val="0"/>
          <w:marBottom w:val="0"/>
          <w:divBdr>
            <w:top w:val="none" w:sz="0" w:space="0" w:color="auto"/>
            <w:left w:val="none" w:sz="0" w:space="0" w:color="auto"/>
            <w:bottom w:val="none" w:sz="0" w:space="0" w:color="auto"/>
            <w:right w:val="none" w:sz="0" w:space="0" w:color="auto"/>
          </w:divBdr>
        </w:div>
        <w:div w:id="842940307">
          <w:marLeft w:val="0"/>
          <w:marRight w:val="0"/>
          <w:marTop w:val="0"/>
          <w:marBottom w:val="0"/>
          <w:divBdr>
            <w:top w:val="none" w:sz="0" w:space="0" w:color="auto"/>
            <w:left w:val="none" w:sz="0" w:space="0" w:color="auto"/>
            <w:bottom w:val="none" w:sz="0" w:space="0" w:color="auto"/>
            <w:right w:val="none" w:sz="0" w:space="0" w:color="auto"/>
          </w:divBdr>
        </w:div>
        <w:div w:id="2003316120">
          <w:marLeft w:val="0"/>
          <w:marRight w:val="0"/>
          <w:marTop w:val="0"/>
          <w:marBottom w:val="0"/>
          <w:divBdr>
            <w:top w:val="none" w:sz="0" w:space="0" w:color="auto"/>
            <w:left w:val="none" w:sz="0" w:space="0" w:color="auto"/>
            <w:bottom w:val="none" w:sz="0" w:space="0" w:color="auto"/>
            <w:right w:val="none" w:sz="0" w:space="0" w:color="auto"/>
          </w:divBdr>
        </w:div>
        <w:div w:id="645817446">
          <w:marLeft w:val="0"/>
          <w:marRight w:val="0"/>
          <w:marTop w:val="0"/>
          <w:marBottom w:val="0"/>
          <w:divBdr>
            <w:top w:val="none" w:sz="0" w:space="0" w:color="auto"/>
            <w:left w:val="none" w:sz="0" w:space="0" w:color="auto"/>
            <w:bottom w:val="none" w:sz="0" w:space="0" w:color="auto"/>
            <w:right w:val="none" w:sz="0" w:space="0" w:color="auto"/>
          </w:divBdr>
        </w:div>
        <w:div w:id="1444038395">
          <w:marLeft w:val="0"/>
          <w:marRight w:val="0"/>
          <w:marTop w:val="0"/>
          <w:marBottom w:val="0"/>
          <w:divBdr>
            <w:top w:val="none" w:sz="0" w:space="0" w:color="auto"/>
            <w:left w:val="none" w:sz="0" w:space="0" w:color="auto"/>
            <w:bottom w:val="none" w:sz="0" w:space="0" w:color="auto"/>
            <w:right w:val="none" w:sz="0" w:space="0" w:color="auto"/>
          </w:divBdr>
        </w:div>
      </w:divsChild>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402483215">
          <w:marLeft w:val="0"/>
          <w:marRight w:val="0"/>
          <w:marTop w:val="0"/>
          <w:marBottom w:val="0"/>
          <w:divBdr>
            <w:top w:val="none" w:sz="0" w:space="0" w:color="auto"/>
            <w:left w:val="none" w:sz="0" w:space="0" w:color="auto"/>
            <w:bottom w:val="none" w:sz="0" w:space="0" w:color="auto"/>
            <w:right w:val="none" w:sz="0" w:space="0" w:color="auto"/>
          </w:divBdr>
        </w:div>
        <w:div w:id="1916551141">
          <w:marLeft w:val="0"/>
          <w:marRight w:val="0"/>
          <w:marTop w:val="0"/>
          <w:marBottom w:val="0"/>
          <w:divBdr>
            <w:top w:val="none" w:sz="0" w:space="0" w:color="auto"/>
            <w:left w:val="none" w:sz="0" w:space="0" w:color="auto"/>
            <w:bottom w:val="none" w:sz="0" w:space="0" w:color="auto"/>
            <w:right w:val="none" w:sz="0" w:space="0" w:color="auto"/>
          </w:divBdr>
        </w:div>
        <w:div w:id="1487356758">
          <w:marLeft w:val="0"/>
          <w:marRight w:val="0"/>
          <w:marTop w:val="0"/>
          <w:marBottom w:val="0"/>
          <w:divBdr>
            <w:top w:val="none" w:sz="0" w:space="0" w:color="auto"/>
            <w:left w:val="none" w:sz="0" w:space="0" w:color="auto"/>
            <w:bottom w:val="none" w:sz="0" w:space="0" w:color="auto"/>
            <w:right w:val="none" w:sz="0" w:space="0" w:color="auto"/>
          </w:divBdr>
        </w:div>
        <w:div w:id="1474525322">
          <w:marLeft w:val="0"/>
          <w:marRight w:val="0"/>
          <w:marTop w:val="0"/>
          <w:marBottom w:val="0"/>
          <w:divBdr>
            <w:top w:val="none" w:sz="0" w:space="0" w:color="auto"/>
            <w:left w:val="none" w:sz="0" w:space="0" w:color="auto"/>
            <w:bottom w:val="none" w:sz="0" w:space="0" w:color="auto"/>
            <w:right w:val="none" w:sz="0" w:space="0" w:color="auto"/>
          </w:divBdr>
        </w:div>
        <w:div w:id="2120446784">
          <w:marLeft w:val="0"/>
          <w:marRight w:val="0"/>
          <w:marTop w:val="0"/>
          <w:marBottom w:val="0"/>
          <w:divBdr>
            <w:top w:val="none" w:sz="0" w:space="0" w:color="auto"/>
            <w:left w:val="none" w:sz="0" w:space="0" w:color="auto"/>
            <w:bottom w:val="none" w:sz="0" w:space="0" w:color="auto"/>
            <w:right w:val="none" w:sz="0" w:space="0" w:color="auto"/>
          </w:divBdr>
        </w:div>
        <w:div w:id="2107193222">
          <w:marLeft w:val="0"/>
          <w:marRight w:val="0"/>
          <w:marTop w:val="0"/>
          <w:marBottom w:val="0"/>
          <w:divBdr>
            <w:top w:val="none" w:sz="0" w:space="0" w:color="auto"/>
            <w:left w:val="none" w:sz="0" w:space="0" w:color="auto"/>
            <w:bottom w:val="none" w:sz="0" w:space="0" w:color="auto"/>
            <w:right w:val="none" w:sz="0" w:space="0" w:color="auto"/>
          </w:divBdr>
        </w:div>
        <w:div w:id="474838922">
          <w:marLeft w:val="0"/>
          <w:marRight w:val="0"/>
          <w:marTop w:val="0"/>
          <w:marBottom w:val="0"/>
          <w:divBdr>
            <w:top w:val="none" w:sz="0" w:space="0" w:color="auto"/>
            <w:left w:val="none" w:sz="0" w:space="0" w:color="auto"/>
            <w:bottom w:val="none" w:sz="0" w:space="0" w:color="auto"/>
            <w:right w:val="none" w:sz="0" w:space="0" w:color="auto"/>
          </w:divBdr>
        </w:div>
      </w:divsChild>
    </w:div>
    <w:div w:id="823476847">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2304289">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7494581">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319847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7877919">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6680890">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25077268">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5070439">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6013634">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39593044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3984232">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72670342">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45293715">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6157252">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86054159">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1654223">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5141195">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92882727">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7224843">
      <w:bodyDiv w:val="1"/>
      <w:marLeft w:val="0"/>
      <w:marRight w:val="0"/>
      <w:marTop w:val="0"/>
      <w:marBottom w:val="0"/>
      <w:divBdr>
        <w:top w:val="none" w:sz="0" w:space="0" w:color="auto"/>
        <w:left w:val="none" w:sz="0" w:space="0" w:color="auto"/>
        <w:bottom w:val="none" w:sz="0" w:space="0" w:color="auto"/>
        <w:right w:val="none" w:sz="0" w:space="0" w:color="auto"/>
      </w:divBdr>
      <w:divsChild>
        <w:div w:id="1029843432">
          <w:marLeft w:val="0"/>
          <w:marRight w:val="0"/>
          <w:marTop w:val="0"/>
          <w:marBottom w:val="0"/>
          <w:divBdr>
            <w:top w:val="none" w:sz="0" w:space="0" w:color="auto"/>
            <w:left w:val="none" w:sz="0" w:space="0" w:color="auto"/>
            <w:bottom w:val="none" w:sz="0" w:space="0" w:color="auto"/>
            <w:right w:val="none" w:sz="0" w:space="0" w:color="auto"/>
          </w:divBdr>
        </w:div>
        <w:div w:id="1135685308">
          <w:marLeft w:val="0"/>
          <w:marRight w:val="0"/>
          <w:marTop w:val="0"/>
          <w:marBottom w:val="0"/>
          <w:divBdr>
            <w:top w:val="none" w:sz="0" w:space="0" w:color="auto"/>
            <w:left w:val="none" w:sz="0" w:space="0" w:color="auto"/>
            <w:bottom w:val="none" w:sz="0" w:space="0" w:color="auto"/>
            <w:right w:val="none" w:sz="0" w:space="0" w:color="auto"/>
          </w:divBdr>
        </w:div>
        <w:div w:id="1767918679">
          <w:marLeft w:val="0"/>
          <w:marRight w:val="0"/>
          <w:marTop w:val="0"/>
          <w:marBottom w:val="0"/>
          <w:divBdr>
            <w:top w:val="none" w:sz="0" w:space="0" w:color="auto"/>
            <w:left w:val="none" w:sz="0" w:space="0" w:color="auto"/>
            <w:bottom w:val="none" w:sz="0" w:space="0" w:color="auto"/>
            <w:right w:val="none" w:sz="0" w:space="0" w:color="auto"/>
          </w:divBdr>
        </w:div>
        <w:div w:id="932663190">
          <w:marLeft w:val="0"/>
          <w:marRight w:val="0"/>
          <w:marTop w:val="0"/>
          <w:marBottom w:val="0"/>
          <w:divBdr>
            <w:top w:val="none" w:sz="0" w:space="0" w:color="auto"/>
            <w:left w:val="none" w:sz="0" w:space="0" w:color="auto"/>
            <w:bottom w:val="none" w:sz="0" w:space="0" w:color="auto"/>
            <w:right w:val="none" w:sz="0" w:space="0" w:color="auto"/>
          </w:divBdr>
        </w:div>
        <w:div w:id="1402167938">
          <w:marLeft w:val="0"/>
          <w:marRight w:val="0"/>
          <w:marTop w:val="0"/>
          <w:marBottom w:val="0"/>
          <w:divBdr>
            <w:top w:val="none" w:sz="0" w:space="0" w:color="auto"/>
            <w:left w:val="none" w:sz="0" w:space="0" w:color="auto"/>
            <w:bottom w:val="none" w:sz="0" w:space="0" w:color="auto"/>
            <w:right w:val="none" w:sz="0" w:space="0" w:color="auto"/>
          </w:divBdr>
        </w:div>
        <w:div w:id="665088091">
          <w:marLeft w:val="0"/>
          <w:marRight w:val="0"/>
          <w:marTop w:val="0"/>
          <w:marBottom w:val="0"/>
          <w:divBdr>
            <w:top w:val="none" w:sz="0" w:space="0" w:color="auto"/>
            <w:left w:val="none" w:sz="0" w:space="0" w:color="auto"/>
            <w:bottom w:val="none" w:sz="0" w:space="0" w:color="auto"/>
            <w:right w:val="none" w:sz="0" w:space="0" w:color="auto"/>
          </w:divBdr>
        </w:div>
        <w:div w:id="1857577477">
          <w:marLeft w:val="0"/>
          <w:marRight w:val="0"/>
          <w:marTop w:val="0"/>
          <w:marBottom w:val="0"/>
          <w:divBdr>
            <w:top w:val="none" w:sz="0" w:space="0" w:color="auto"/>
            <w:left w:val="none" w:sz="0" w:space="0" w:color="auto"/>
            <w:bottom w:val="none" w:sz="0" w:space="0" w:color="auto"/>
            <w:right w:val="none" w:sz="0" w:space="0" w:color="auto"/>
          </w:divBdr>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649582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77506179">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0716462">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2145840">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footer" Target="footer6.xml"/><Relationship Id="rId26" Type="http://schemas.openxmlformats.org/officeDocument/2006/relationships/image" Target="media/image8.png"/><Relationship Id="rId39" Type="http://schemas.openxmlformats.org/officeDocument/2006/relationships/image" Target="media/image19.png"/><Relationship Id="rId21" Type="http://schemas.openxmlformats.org/officeDocument/2006/relationships/hyperlink" Target="mailto:botas.petrol-ibm@hs01.kep.tr" TargetMode="External"/><Relationship Id="rId34" Type="http://schemas.openxmlformats.org/officeDocument/2006/relationships/image" Target="media/image14.png"/><Relationship Id="rId42" Type="http://schemas.openxmlformats.org/officeDocument/2006/relationships/image" Target="media/image22.emf"/><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5.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5.png"/><Relationship Id="rId28" Type="http://schemas.openxmlformats.org/officeDocument/2006/relationships/hyperlink" Target="https://tureng.com/tr/turkce-ingilizce/liquefied%20petroleum%20gases" TargetMode="External"/><Relationship Id="rId36" Type="http://schemas.openxmlformats.org/officeDocument/2006/relationships/image" Target="media/image16.png"/><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image" Target="media/image11.png"/><Relationship Id="rId44" Type="http://schemas.openxmlformats.org/officeDocument/2006/relationships/image" Target="media/image23.e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footer" Target="footer7.xml"/><Relationship Id="rId27" Type="http://schemas.openxmlformats.org/officeDocument/2006/relationships/hyperlink" Target="https://tureng.com/tr/turkce-ingilizce/liquefied%20petroleum%20gases"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footer" Target="footer8.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ounal\AppData\Local\Microsoft\Windows\INetCache\Content.Outlook\W82H2XQI\2022%20KURUL%20&#304;STAT&#304;ST&#304;K.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779287314486167E-2"/>
          <c:y val="0.14058748431803952"/>
          <c:w val="0.88989483293993299"/>
          <c:h val="0.73415959827273802"/>
        </c:manualLayout>
      </c:layout>
      <c:bar3DChart>
        <c:barDir val="col"/>
        <c:grouping val="clustered"/>
        <c:varyColors val="0"/>
        <c:ser>
          <c:idx val="0"/>
          <c:order val="0"/>
          <c:tx>
            <c:strRef>
              <c:f>'2022 KARARLAR - TABLO'!$B$6:$C$6</c:f>
              <c:strCache>
                <c:ptCount val="2"/>
                <c:pt idx="0">
                  <c:v>2022 YILI DAİRELERE GÖRE ALINAN KURUL KARARLARI</c:v>
                </c:pt>
                <c:pt idx="1">
                  <c:v>Alınan Karar Sayısı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'2022 KARARLAR - TABLO'!$D$2:$U$5</c:f>
              <c:strCache>
                <c:ptCount val="14"/>
                <c:pt idx="1">
                  <c:v>EPD</c:v>
                </c:pt>
                <c:pt idx="2">
                  <c:v>DDB</c:v>
                </c:pt>
                <c:pt idx="3">
                  <c:v>TDB</c:v>
                </c:pt>
                <c:pt idx="4">
                  <c:v>KDB</c:v>
                </c:pt>
                <c:pt idx="5">
                  <c:v>DPD</c:v>
                </c:pt>
                <c:pt idx="6">
                  <c:v>PPD</c:v>
                </c:pt>
                <c:pt idx="7">
                  <c:v>EDD</c:v>
                </c:pt>
                <c:pt idx="8">
                  <c:v>LPG</c:v>
                </c:pt>
                <c:pt idx="9">
                  <c:v>IKD</c:v>
                </c:pt>
                <c:pt idx="10">
                  <c:v>SGD</c:v>
                </c:pt>
                <c:pt idx="11">
                  <c:v>HDB</c:v>
                </c:pt>
                <c:pt idx="12">
                  <c:v>BİD</c:v>
                </c:pt>
                <c:pt idx="13">
                  <c:v>KHM</c:v>
                </c:pt>
              </c:strCache>
            </c:strRef>
          </c:cat>
          <c:val>
            <c:numRef>
              <c:f>'2022 KARARLAR - TABLO'!$D$6:$Q$6</c:f>
              <c:numCache>
                <c:formatCode>0</c:formatCode>
                <c:ptCount val="14"/>
                <c:pt idx="1">
                  <c:v>1942</c:v>
                </c:pt>
                <c:pt idx="2">
                  <c:v>1093</c:v>
                </c:pt>
                <c:pt idx="3">
                  <c:v>614</c:v>
                </c:pt>
                <c:pt idx="4">
                  <c:v>442</c:v>
                </c:pt>
                <c:pt idx="5">
                  <c:v>213</c:v>
                </c:pt>
                <c:pt idx="6">
                  <c:v>134</c:v>
                </c:pt>
                <c:pt idx="7">
                  <c:v>84</c:v>
                </c:pt>
                <c:pt idx="8">
                  <c:v>38</c:v>
                </c:pt>
                <c:pt idx="9">
                  <c:v>23</c:v>
                </c:pt>
                <c:pt idx="10">
                  <c:v>17</c:v>
                </c:pt>
                <c:pt idx="11">
                  <c:v>2</c:v>
                </c:pt>
                <c:pt idx="12">
                  <c:v>0</c:v>
                </c:pt>
                <c:pt idx="13">
                  <c:v>0</c:v>
                </c:pt>
              </c:numCache>
            </c:numRef>
          </c:val>
          <c:extLst>
            <c:ext xmlns:c16="http://schemas.microsoft.com/office/drawing/2014/chart" uri="{C3380CC4-5D6E-409C-BE32-E72D297353CC}">
              <c16:uniqueId val="{00000000-8C8B-4071-AABA-BDA246C1B461}"/>
            </c:ext>
          </c:extLst>
        </c:ser>
        <c:dLbls>
          <c:showLegendKey val="0"/>
          <c:showVal val="0"/>
          <c:showCatName val="0"/>
          <c:showSerName val="0"/>
          <c:showPercent val="0"/>
          <c:showBubbleSize val="0"/>
        </c:dLbls>
        <c:gapWidth val="150"/>
        <c:shape val="box"/>
        <c:axId val="196588672"/>
        <c:axId val="196590208"/>
        <c:axId val="0"/>
      </c:bar3DChart>
      <c:catAx>
        <c:axId val="196588672"/>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6590208"/>
        <c:crosses val="autoZero"/>
        <c:auto val="1"/>
        <c:lblAlgn val="ctr"/>
        <c:lblOffset val="100"/>
        <c:noMultiLvlLbl val="0"/>
      </c:catAx>
      <c:valAx>
        <c:axId val="19659020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6588672"/>
        <c:crosses val="autoZero"/>
        <c:crossBetween val="between"/>
      </c:valAx>
      <c:spPr>
        <a:noFill/>
        <a:ln>
          <a:noFill/>
        </a:ln>
        <a:effectLst/>
      </c:spPr>
    </c:plotArea>
    <c:plotVisOnly val="1"/>
    <c:dispBlanksAs val="gap"/>
    <c:showDLblsOverMax val="0"/>
  </c:chart>
  <c:spPr>
    <a:solidFill>
      <a:srgbClr val="FFC000">
        <a:alpha val="39000"/>
      </a:srgbClr>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4F6771-3CDC-4BD2-95C2-6F3B9FD11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236</Pages>
  <Words>100566</Words>
  <Characters>573227</Characters>
  <Application>Microsoft Office Word</Application>
  <DocSecurity>0</DocSecurity>
  <Lines>4776</Lines>
  <Paragraphs>1344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ENERGY MARKET REGULATORY AUTHORITY</vt:lpstr>
      <vt:lpstr>ENERGY MARKET REGULATORY AUTHORITY</vt:lpstr>
    </vt:vector>
  </TitlesOfParts>
  <Company>ENERJİ PİYASASI DÜZENLEME KURUMU</Company>
  <LinksUpToDate>false</LinksUpToDate>
  <CharactersWithSpaces>672449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MARKET REGULATORY AUTHORITY</dc:title>
  <dc:subject>2022 ACTIVITY REPORT</dc:subject>
  <dc:creator>Serhat KÜÇÜKÇAPRAZ</dc:creator>
  <cp:keywords/>
  <dc:description/>
  <cp:lastModifiedBy>Sezen KAHRAMAN</cp:lastModifiedBy>
  <cp:revision>28</cp:revision>
  <cp:lastPrinted>2016-03-30T13:56:00Z</cp:lastPrinted>
  <dcterms:created xsi:type="dcterms:W3CDTF">2023-08-10T06:56:00Z</dcterms:created>
  <dcterms:modified xsi:type="dcterms:W3CDTF">2023-11-03T13:09:00Z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-1397484064</vt:i4>
  </property>
</Properties>
</file>